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21"/>
          <w:szCs w:val="2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PLAN ESTRATÉGICO PARA LA ENSEÑANZA DEL PENSAMIENTO COMPUTACIONAL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LA INSTITUCIÓN EDUCATIVA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yellow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yellow"/>
          <w:rtl w:val="0"/>
        </w:rPr>
        <w:t xml:space="preserve">Incluir nombre de la I.E y logo institucional)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(Plantilla institucional editable)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Fecha de elaboración: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yellow"/>
          <w:rtl w:val="0"/>
        </w:rPr>
        <w:t xml:space="preserve">Escriba el día, mes y año donde inicia la formulación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Equipo responsable: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yellow"/>
          <w:rtl w:val="0"/>
        </w:rPr>
        <w:t xml:space="preserve">Nombres, roles o cargos de quienes construyen y ejecutan el plan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Periodicidad de actualización: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anual ____  bienal ___  trienal____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4mxs9n7iyoh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Contexto general del pensamiento computacional en la 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yellow"/>
          <w:rtl w:val="0"/>
        </w:rPr>
        <w:t xml:space="preserve">Complete la información requerida que aplique para su sede)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la fecha de elaboración de este documento en la sede se enseña T.I desde el grado _________________ hasta el grado  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Actualmente, sí ____  no ____  está incluido el pensamiento computacional en el plan de área de tecnología e informática y sí _____ no____ se está fomentando el desarrollo de estas habilidades desde otras áreas.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Liste las otras áreas en las que se enseña pensamiento computacional: 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Sí ____  No ____ se cuenta con docentes formados en pensamiento computacional.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Sí ____  No ____ contamos con al menos una sala de informática.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Contamos con los siguientes recursos para el desarrollo del pensamiento computacional (liste los recursos y materiales con los que cuente la sede, incluyendo microprocesadores, computadores, tabletas, kits de robótica y/o sensores, materiales desconectados, software educativo, etc):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6bxlb291ixzk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 de la enseñanza del pensamiento computacional en la 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yellow"/>
          <w:rtl w:val="0"/>
        </w:rPr>
        <w:t xml:space="preserve">Trate de formular un objetivo que tenga un tiempo, sea alcanzable y medible, tipo Smart. Ejemplo: Para diciembre de 2028, lograr que al menos el 80% de los estudiantes de último grado de secundaria fortalezcan sus habilidades de resolución de problemas mediante el uso de herramientas tecnológicas, evidenciado en proyectos y evaluaciones prácticas realizadas durante el año académico.)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lxriu16r63qk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Visión institu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cional del pensami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ento computacional</w:t>
      </w:r>
    </w:p>
    <w:p w:rsidR="00000000" w:rsidDel="00000000" w:rsidP="00000000" w:rsidRDefault="00000000" w:rsidRPr="00000000" w14:paraId="0000002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yellow"/>
          <w:rtl w:val="0"/>
        </w:rPr>
        <w:t xml:space="preserve">Seleccione las habilidades que espera la institución que desarrollen los estudiantes en Pensamiento Computacional)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Nuestros egresados y egresadas deberían contar con las siguientes habilidades en relación con el pensamiento computacional y el manejo de las 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la información relevante de un problema.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Descomponer problemas en pasos o subproblemas.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Identificar patrones y relaciones en variables, datos o problemas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Diseñar algoritmos o procedimientos claros para resolver problemas o tareas.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Evaluar y mejorar algoritmos y soluciones para hacerlas más eficientes.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Identificar problemas del entorno y proponer soluciones computacionales para ellas.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Programar soluciones usando un lenguaje de bloques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Programar soluciones usando un lenguaje de texto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Diseñar y construir prototipos de proyectos de computación física (robótica móvil, domótica, etc)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Recoger datos mediante observación, sensores, herramientas digitales o desconectadas, analizar los datos, procesarlos y comunicar los resultados con claridad.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Utilizar simulaciones para hacer predicciones, comparar escenarios y entender las interrelaciones entre distintas variables.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Crear, evaluar y refinar modelos de aprendizaje automático (Inteligencia Artificial)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Utilizar de forma ética y segura herramientas de Inteligencia Artificial.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sesgos y riesgos en herramientas digitales e Inteligencia Artificial.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Tomar decisiones informadas a partir de datos de fuentes confiables.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Crear e interactuar con modelos de objetos tridimensionales de escenarios como los que se utilizan en realidad virtual y aumentada.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Diseñar aplicaciones para dispositivos móviles.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Diseñar e imprimir objetos en 3D.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Diseñar videojuegos.</w:t>
      </w:r>
    </w:p>
    <w:p w:rsidR="00000000" w:rsidDel="00000000" w:rsidP="00000000" w:rsidRDefault="00000000" w:rsidRPr="00000000" w14:paraId="00000042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Otras habilidades: ________________________________________________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 institucionales para promover el desarrollo de estas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Seleccione a continuación las acciones a nivel institucional con las que busca promover el pensamiento computacional en su institución educativa: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Comunicación y liderazgo de la 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Institucionalizar el pensamiento computacional, plantear estrategias de comunicación y difusión del pensamiento computacional dirigidas a la comunidad educativa.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 a conocer los avances de las y los estudiantes de la institución en el desarrollo de habilidades de pensamiento computacional mediante la participación en competencias, ferias, muestras de proyectos o eventos internos y externos.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a las y los estudiantes de media, y sus padres, madres y personas cuidadoras, sobre las carreras y las oportunidades de trayectorias laborales, incluyendo las emergentes, que se relacionan con pensamiento computacional y tecnología.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al Consejo Académico sobre la implementación y el seguimiento de este plan estratégico de pensamiento computacional en la sede.</w:t>
      </w:r>
    </w:p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Intervención curricular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Asegurar que el pensamiento computacional se aplique de forma práctica al menos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 un periodo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académico en cada grado.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Definir una progresión mínima de aprendizajes asociados al pensamiento computacional por ciclos (primaria–básica–media).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Actualizar el Plan de Área de tecnología e informática para incluir subhabilidades de pensamiento computacional, prácticas de datos, de modelación, de resolución computacional de problemas, pensamiento sistémico y uso ético de la Inteligencia Artificial.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Incorporar en el Plan de las áreas en las que se enseña pensamiento computacional y en las clases correspondientes actividades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modelación, simulación, recolección, procesamiento y visualización de datos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complejidad adecuada para los diferentes grados.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recursos suficientes y adecuados para la enseñanza del pensamiento computacional, como dispositivos, microcontroladores, sensores, kits, conectividad, computadores, herramientas desconectadas, entre otros.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Integrar el pensamiento computacional en otras áreas, especialmente las áreas STEM (ciencias, matemáticas y otras áreas técnicas).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Usar guías pedagógicas de pensamiento computacional, retos Bebras y otros recursos didácticos semejantes para apoyar el desarrollo de clases.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Fomentar la resolución de retos o proyectos basados en problemas del entorno y otros cercanos a los intereses de los/las estudiantes, que integren programación y/o computación física.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que el Plan de Área de las asignaturas donde se enseña pensamiento computacional incorpore principios de equidad de género, inclusión educativa y accesibilidad, de manera que responda a las necesidades de estudiantes con discapacidad, talentos excepcionales, necesidades educativas especiales, así como poblaciones subrepresentadas y estudiantes con baja autoeficacia en STEM o en el uso de las tecnologías.</w:t>
      </w:r>
    </w:p>
    <w:p w:rsidR="00000000" w:rsidDel="00000000" w:rsidP="00000000" w:rsidRDefault="00000000" w:rsidRPr="00000000" w14:paraId="00000055">
      <w:pPr>
        <w:spacing w:after="240" w:befor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Estrategias didácticas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en las clases de tecnología e informática, estrategias pedagógicas como el ciclo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Usa–Modifica–Crea, PRIMM, ondas semánticas, actividades desconectadas y conectadas, programación por pares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preguntas de Parsons,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otras,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todos los niveles.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en las demás áreas en que se fomente el pensamiento computacional, estrategias pedagógicas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 desconectadas y conectadas, y prácticas de la taxonomía de Weintrop,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otras,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todos los niveles.</w:t>
      </w:r>
    </w:p>
    <w:p w:rsidR="00000000" w:rsidDel="00000000" w:rsidP="00000000" w:rsidRDefault="00000000" w:rsidRPr="00000000" w14:paraId="00000059">
      <w:pPr>
        <w:spacing w:after="240" w:befor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Formación y trabajo colaborativo entre docentes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formación docente continua y frecuente asociada a pensamiento computacional y tecnología, alineada con las necesidades de la institución y del plan de estudios.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Fomentar acciones de trabajo colaborativo, mentoría y observación y retroalimentación entre pares, como estrategias para el aprendizaje y el apoyo entre docentes.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Sistematizar y socializar casos de éxito y aprendizajes de la sede en torno al pensamiento computacional.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el trabajo colaborativo y el intercambio de experiencias educativas en pensamiento computacional con docentes de otras sedes a nivel local, regional y nacional.</w:t>
        <w:br w:type="textWrapping"/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ind w:lef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Monitoreo y seguimiento a este plan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fin de hacer un seguimiento al avance y las acciones propuestas en este plan, implementaremos las siguientes acciones: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Revisar el avance semestral de la implementación de las diferentes acciones e informar de este al Consejo Académico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Realizar una prueba diagnóstica de los conocimientos y habilidades de pensamiento computacional de las y los estudiantes, utilizando herramientas estandarizadas para este fin. Ej. Retos Bebras, preguntas de la prueba PISA en habilidades digitales, etc.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Analizar el desempeño académico de las y los estudiantes, con el fin de detectar brechas en el progreso entre algunos subgrupos (ej. niños versus niñas, estudiantes con discapacidad vs estudiantes sin discapacidad, etc).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Registrar los temas abordados y la cantidad de horas de formación en pensamiento computacional que recibieron los/las docentes de las áreas en las que este se enseña.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wc30476kb9l8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 Aprobado po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highlight w:val="yellow"/>
        </w:rPr>
      </w:pP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yellow"/>
          <w:rtl w:val="0"/>
        </w:rPr>
        <w:t xml:space="preserve">(contar al menos con la firma del rector/a)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: _________________________________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______________________________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_______________________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: _________________________________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_______________________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Ejemplo de posible cronograma de implementación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_________________   Periodicidad de revisión y actualización: semestral</w:t>
      </w:r>
    </w:p>
    <w:sdt>
      <w:sdtPr>
        <w:lock w:val="contentLocked"/>
        <w:id w:val="2039640179"/>
        <w:tag w:val="goog_rdk_0"/>
      </w:sdtPr>
      <w:sdtContent>
        <w:tbl>
          <w:tblPr>
            <w:tblStyle w:val="Table1"/>
            <w:tblW w:w="916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915"/>
            <w:gridCol w:w="1605"/>
            <w:gridCol w:w="1290"/>
            <w:gridCol w:w="1875"/>
            <w:gridCol w:w="1755"/>
            <w:tblGridChange w:id="0">
              <w:tblGrid>
                <w:gridCol w:w="1725"/>
                <w:gridCol w:w="915"/>
                <w:gridCol w:w="1605"/>
                <w:gridCol w:w="1290"/>
                <w:gridCol w:w="1875"/>
                <w:gridCol w:w="17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Actividad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Fecha inicio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Fecha estimada finalización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Duración en meses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Responsable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Verificado por: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TDC1">
    <w:name w:val="toc 1"/>
    <w:basedOn w:val="Normal"/>
    <w:next w:val="Normal"/>
    <w:autoRedefine w:val="1"/>
    <w:uiPriority w:val="39"/>
    <w:unhideWhenUsed w:val="1"/>
    <w:rsid w:val="00F82846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F82846"/>
    <w:pPr>
      <w:spacing w:after="100"/>
      <w:ind w:left="220"/>
    </w:pPr>
  </w:style>
  <w:style w:type="paragraph" w:styleId="TDC3">
    <w:name w:val="toc 3"/>
    <w:basedOn w:val="Normal"/>
    <w:next w:val="Normal"/>
    <w:autoRedefine w:val="1"/>
    <w:uiPriority w:val="39"/>
    <w:unhideWhenUsed w:val="1"/>
    <w:rsid w:val="00F82846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 w:val="1"/>
    <w:rsid w:val="00F8284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P8XxNG+/XoeCkJcIoltVmENfA==">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