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361AD" w14:textId="77777777" w:rsidR="001F260D" w:rsidRDefault="001F260D" w:rsidP="001F6AE2">
      <w:pPr>
        <w:jc w:val="both"/>
        <w:rPr>
          <w:rFonts w:ascii="Arial Narrow" w:hAnsi="Arial Narrow" w:cs="Arial"/>
          <w:sz w:val="22"/>
          <w:szCs w:val="22"/>
          <w:lang w:val="es-ES_tradnl"/>
        </w:rPr>
      </w:pPr>
    </w:p>
    <w:p w14:paraId="0156ECFD" w14:textId="77777777"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7ECE4FCB" w14:textId="77777777" w:rsidR="00916E2B"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566E67">
        <w:rPr>
          <w:rFonts w:ascii="Arial Narrow" w:eastAsia="Batang" w:hAnsi="Arial Narrow" w:cs="Arial"/>
          <w:b/>
          <w:caps/>
          <w:sz w:val="22"/>
          <w:szCs w:val="22"/>
          <w:lang w:eastAsia="ko-KR"/>
        </w:rPr>
        <w:t xml:space="preserve">Proyecto de RESOLUCIÓN </w:t>
      </w:r>
    </w:p>
    <w:p w14:paraId="4BD80D31" w14:textId="77777777"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3A7EEC24" w14:textId="77777777" w:rsidR="008E463A" w:rsidRDefault="00A76820" w:rsidP="00252479">
      <w:pPr>
        <w:jc w:val="both"/>
        <w:rPr>
          <w:rFonts w:ascii="Arial Narrow" w:hAnsi="Arial Narrow" w:cs="Arial"/>
          <w:b/>
          <w:color w:val="000000"/>
          <w:sz w:val="22"/>
          <w:szCs w:val="22"/>
        </w:rPr>
      </w:pPr>
      <w:r w:rsidRPr="00A76820">
        <w:rPr>
          <w:rFonts w:ascii="Arial Narrow" w:eastAsia="Batang" w:hAnsi="Arial Narrow" w:cs="Arial"/>
          <w:b/>
          <w:caps/>
          <w:sz w:val="22"/>
          <w:szCs w:val="22"/>
          <w:lang w:val="es-ES" w:eastAsia="ko-KR"/>
        </w:rPr>
        <w:t xml:space="preserve">“Por la cual se deroga la Resolución MinTIC </w:t>
      </w:r>
      <w:proofErr w:type="spellStart"/>
      <w:r w:rsidRPr="00A76820">
        <w:rPr>
          <w:rFonts w:ascii="Arial Narrow" w:eastAsia="Batang" w:hAnsi="Arial Narrow" w:cs="Arial"/>
          <w:b/>
          <w:caps/>
          <w:sz w:val="22"/>
          <w:szCs w:val="22"/>
          <w:lang w:val="es-ES" w:eastAsia="ko-KR"/>
        </w:rPr>
        <w:t>N°</w:t>
      </w:r>
      <w:proofErr w:type="spellEnd"/>
      <w:r w:rsidRPr="00A76820">
        <w:rPr>
          <w:rFonts w:ascii="Arial Narrow" w:eastAsia="Batang" w:hAnsi="Arial Narrow" w:cs="Arial"/>
          <w:b/>
          <w:caps/>
          <w:sz w:val="22"/>
          <w:szCs w:val="22"/>
          <w:lang w:val="es-ES" w:eastAsia="ko-KR"/>
        </w:rPr>
        <w:t xml:space="preserve"> 3160 del 6 de diciembre de 2017”</w:t>
      </w:r>
    </w:p>
    <w:p w14:paraId="3235E4AA" w14:textId="77777777" w:rsidR="00C46816" w:rsidRDefault="00C46816" w:rsidP="00252479">
      <w:pPr>
        <w:jc w:val="both"/>
        <w:rPr>
          <w:rFonts w:ascii="Arial Narrow" w:hAnsi="Arial Narrow" w:cs="Arial"/>
          <w:b/>
          <w:color w:val="000000"/>
          <w:sz w:val="22"/>
          <w:szCs w:val="22"/>
        </w:rPr>
      </w:pPr>
    </w:p>
    <w:p w14:paraId="58922174" w14:textId="4235221D" w:rsidR="00C46816" w:rsidRPr="001E42C9" w:rsidRDefault="00C46816" w:rsidP="00C46816">
      <w:pPr>
        <w:jc w:val="center"/>
        <w:rPr>
          <w:rFonts w:ascii="Arial Narrow" w:hAnsi="Arial Narrow" w:cs="Arial"/>
          <w:b/>
          <w:sz w:val="22"/>
          <w:szCs w:val="22"/>
        </w:rPr>
      </w:pPr>
      <w:r w:rsidRPr="00A76820">
        <w:rPr>
          <w:rFonts w:ascii="Arial Narrow" w:hAnsi="Arial Narrow" w:cs="Arial"/>
          <w:b/>
          <w:sz w:val="22"/>
          <w:szCs w:val="22"/>
        </w:rPr>
        <w:t xml:space="preserve">Bogotá D.C., </w:t>
      </w:r>
      <w:r w:rsidR="00C81FBB">
        <w:rPr>
          <w:rFonts w:ascii="Arial Narrow" w:hAnsi="Arial Narrow" w:cs="Arial"/>
          <w:b/>
          <w:sz w:val="22"/>
          <w:szCs w:val="22"/>
        </w:rPr>
        <w:t xml:space="preserve">octubre </w:t>
      </w:r>
      <w:r w:rsidRPr="00A76820">
        <w:rPr>
          <w:rFonts w:ascii="Arial Narrow" w:hAnsi="Arial Narrow" w:cs="Arial"/>
          <w:b/>
          <w:sz w:val="22"/>
          <w:szCs w:val="22"/>
        </w:rPr>
        <w:t>de (</w:t>
      </w:r>
      <w:r w:rsidR="00A76820" w:rsidRPr="00A76820">
        <w:rPr>
          <w:rFonts w:ascii="Arial Narrow" w:hAnsi="Arial Narrow" w:cs="Arial"/>
          <w:b/>
          <w:sz w:val="22"/>
          <w:szCs w:val="22"/>
        </w:rPr>
        <w:t>2019</w:t>
      </w:r>
      <w:r w:rsidRPr="00A76820">
        <w:rPr>
          <w:rFonts w:ascii="Arial Narrow" w:hAnsi="Arial Narrow" w:cs="Arial"/>
          <w:b/>
          <w:sz w:val="22"/>
          <w:szCs w:val="22"/>
        </w:rPr>
        <w:t>)</w:t>
      </w:r>
    </w:p>
    <w:p w14:paraId="791A34DB" w14:textId="77777777" w:rsidR="00C46816" w:rsidRPr="001E42C9" w:rsidRDefault="00C46816" w:rsidP="00C46816">
      <w:pPr>
        <w:jc w:val="center"/>
        <w:rPr>
          <w:rFonts w:ascii="Arial Narrow" w:hAnsi="Arial Narrow" w:cs="Arial"/>
          <w:b/>
          <w:sz w:val="22"/>
          <w:szCs w:val="22"/>
        </w:rPr>
      </w:pPr>
    </w:p>
    <w:p w14:paraId="00A0D90A" w14:textId="77777777" w:rsidR="00C46816" w:rsidRPr="001E42C9" w:rsidRDefault="00C46816" w:rsidP="001037F9">
      <w:pPr>
        <w:rPr>
          <w:rFonts w:ascii="Arial Narrow" w:hAnsi="Arial Narrow" w:cs="Arial"/>
          <w:b/>
          <w:sz w:val="22"/>
          <w:szCs w:val="22"/>
        </w:rPr>
      </w:pPr>
    </w:p>
    <w:p w14:paraId="35B3154C" w14:textId="77777777" w:rsidR="00C46816" w:rsidRPr="001E42C9" w:rsidRDefault="00C46816" w:rsidP="00C46816">
      <w:pPr>
        <w:jc w:val="both"/>
        <w:rPr>
          <w:rFonts w:ascii="Arial Narrow" w:hAnsi="Arial Narrow" w:cs="Arial"/>
          <w:b/>
          <w:sz w:val="22"/>
          <w:szCs w:val="22"/>
        </w:rPr>
      </w:pPr>
    </w:p>
    <w:p w14:paraId="3244D516" w14:textId="77777777" w:rsidR="00584CD6" w:rsidRPr="001E42C9" w:rsidRDefault="00584CD6" w:rsidP="00584CD6">
      <w:pPr>
        <w:ind w:left="705" w:hanging="705"/>
        <w:rPr>
          <w:rFonts w:ascii="Arial Narrow" w:hAnsi="Arial Narrow" w:cs="Arial"/>
          <w:b/>
          <w:sz w:val="22"/>
          <w:szCs w:val="22"/>
          <w:lang w:val="es-ES_tradnl"/>
        </w:rPr>
      </w:pPr>
      <w:r>
        <w:rPr>
          <w:rFonts w:ascii="Arial Narrow" w:hAnsi="Arial Narrow" w:cs="Arial"/>
          <w:b/>
          <w:sz w:val="22"/>
          <w:szCs w:val="22"/>
          <w:lang w:val="es-ES_tradnl"/>
        </w:rPr>
        <w:t>1.</w:t>
      </w:r>
      <w:r>
        <w:rPr>
          <w:rFonts w:ascii="Arial Narrow" w:hAnsi="Arial Narrow" w:cs="Arial"/>
          <w:b/>
          <w:sz w:val="22"/>
          <w:szCs w:val="22"/>
          <w:lang w:val="es-ES_tradnl"/>
        </w:rPr>
        <w:tab/>
      </w:r>
      <w:r w:rsidRPr="001E42C9">
        <w:rPr>
          <w:rFonts w:ascii="Arial Narrow" w:hAnsi="Arial Narrow" w:cs="Arial"/>
          <w:b/>
          <w:sz w:val="22"/>
          <w:szCs w:val="22"/>
          <w:lang w:val="es-ES_tradnl"/>
        </w:rPr>
        <w:t xml:space="preserve">Antecedentes y las razones de oportunidad y conveniencia que justifican la expedición </w:t>
      </w:r>
      <w:r>
        <w:rPr>
          <w:rFonts w:ascii="Arial Narrow" w:hAnsi="Arial Narrow" w:cs="Arial"/>
          <w:b/>
          <w:sz w:val="22"/>
          <w:szCs w:val="22"/>
          <w:lang w:val="es-ES_tradnl"/>
        </w:rPr>
        <w:t>de la norma</w:t>
      </w:r>
    </w:p>
    <w:p w14:paraId="15AF6F15" w14:textId="77777777" w:rsidR="00584CD6" w:rsidRDefault="00584CD6" w:rsidP="00584CD6">
      <w:pPr>
        <w:jc w:val="both"/>
        <w:rPr>
          <w:rFonts w:ascii="Arial Narrow" w:hAnsi="Arial Narrow" w:cs="Arial"/>
          <w:sz w:val="22"/>
          <w:szCs w:val="22"/>
          <w:lang w:val="es-ES_tradnl"/>
        </w:rPr>
      </w:pPr>
    </w:p>
    <w:p w14:paraId="27DD1871" w14:textId="2E02A977" w:rsidR="0000738B" w:rsidRDefault="00EA2D7B" w:rsidP="00584CD6">
      <w:pPr>
        <w:jc w:val="both"/>
        <w:rPr>
          <w:rFonts w:ascii="Arial Narrow" w:hAnsi="Arial Narrow" w:cs="Arial"/>
          <w:sz w:val="22"/>
          <w:szCs w:val="22"/>
          <w:lang w:val="es-ES_tradnl"/>
        </w:rPr>
      </w:pPr>
      <w:r w:rsidRPr="00EA2D7B">
        <w:rPr>
          <w:rFonts w:ascii="Arial Narrow" w:hAnsi="Arial Narrow" w:cs="Arial"/>
          <w:sz w:val="22"/>
          <w:szCs w:val="22"/>
          <w:lang w:val="es-ES_tradnl"/>
        </w:rPr>
        <w:t>El Ministerio de Tecnologías de la Información y las Comunicaciones expidió la Resolución 3160 de</w:t>
      </w:r>
      <w:r w:rsidR="001A5BB4">
        <w:rPr>
          <w:rFonts w:ascii="Arial Narrow" w:hAnsi="Arial Narrow" w:cs="Arial"/>
          <w:sz w:val="22"/>
          <w:szCs w:val="22"/>
          <w:lang w:val="es-ES_tradnl"/>
        </w:rPr>
        <w:t>l 6 de diciembre de</w:t>
      </w:r>
      <w:r w:rsidRPr="00EA2D7B">
        <w:rPr>
          <w:rFonts w:ascii="Arial Narrow" w:hAnsi="Arial Narrow" w:cs="Arial"/>
          <w:sz w:val="22"/>
          <w:szCs w:val="22"/>
          <w:lang w:val="es-ES_tradnl"/>
        </w:rPr>
        <w:t xml:space="preserve"> 2017, </w:t>
      </w:r>
      <w:r w:rsidR="001A5BB4">
        <w:rPr>
          <w:rFonts w:ascii="Arial Narrow" w:hAnsi="Arial Narrow" w:cs="Arial"/>
          <w:sz w:val="22"/>
          <w:szCs w:val="22"/>
          <w:lang w:val="es-ES_tradnl"/>
        </w:rPr>
        <w:t xml:space="preserve">por la cual se adoptó la Política Pública de Vigilancia Preventiva, con el fin de </w:t>
      </w:r>
      <w:r w:rsidR="001A5BB4" w:rsidRPr="001A5BB4">
        <w:rPr>
          <w:rFonts w:ascii="Arial Narrow" w:hAnsi="Arial Narrow" w:cs="Arial"/>
          <w:sz w:val="22"/>
          <w:szCs w:val="22"/>
          <w:lang w:val="es-ES_tradnl"/>
        </w:rPr>
        <w:t xml:space="preserve">implementar un conjunto de acciones </w:t>
      </w:r>
      <w:r w:rsidR="0000738B">
        <w:rPr>
          <w:rFonts w:ascii="Arial Narrow" w:hAnsi="Arial Narrow" w:cs="Arial"/>
          <w:sz w:val="22"/>
          <w:szCs w:val="22"/>
          <w:lang w:val="es-ES_tradnl"/>
        </w:rPr>
        <w:t>encaminada</w:t>
      </w:r>
      <w:r w:rsidR="000C0FAE">
        <w:rPr>
          <w:rFonts w:ascii="Arial Narrow" w:hAnsi="Arial Narrow" w:cs="Arial"/>
          <w:sz w:val="22"/>
          <w:szCs w:val="22"/>
          <w:lang w:val="es-ES_tradnl"/>
        </w:rPr>
        <w:t>s</w:t>
      </w:r>
      <w:r w:rsidR="0000738B">
        <w:rPr>
          <w:rFonts w:ascii="Arial Narrow" w:hAnsi="Arial Narrow" w:cs="Arial"/>
          <w:sz w:val="22"/>
          <w:szCs w:val="22"/>
          <w:lang w:val="es-ES_tradnl"/>
        </w:rPr>
        <w:t xml:space="preserve"> a contribuir al crecimiento y desarrollo del sector, al bienestar de los usuarios, a optimizar la prestación de los servicios y prevenir la ocurrencia de incumplimientos de las obligaciones legales, reglamentarias</w:t>
      </w:r>
      <w:r w:rsidR="003D7BD6">
        <w:rPr>
          <w:rFonts w:ascii="Arial Narrow" w:hAnsi="Arial Narrow" w:cs="Arial"/>
          <w:sz w:val="22"/>
          <w:szCs w:val="22"/>
          <w:lang w:val="es-ES_tradnl"/>
        </w:rPr>
        <w:t xml:space="preserve"> o regulatorias, a través de la integración de los actores del sector, el fomento de la cultura de cumplimiento, la modernización, aplicación y divulgación de instrumentos de vigilancia y control.</w:t>
      </w:r>
    </w:p>
    <w:p w14:paraId="4C65C603" w14:textId="77777777" w:rsidR="0000738B" w:rsidRDefault="0000738B" w:rsidP="00584CD6">
      <w:pPr>
        <w:jc w:val="both"/>
        <w:rPr>
          <w:rFonts w:ascii="Arial Narrow" w:hAnsi="Arial Narrow" w:cs="Arial"/>
          <w:sz w:val="22"/>
          <w:szCs w:val="22"/>
          <w:lang w:val="es-ES_tradnl"/>
        </w:rPr>
      </w:pPr>
    </w:p>
    <w:p w14:paraId="27EA8BC6" w14:textId="2BC6585C" w:rsidR="00412DB2" w:rsidRDefault="003D7BD6" w:rsidP="00584CD6">
      <w:pPr>
        <w:jc w:val="both"/>
        <w:rPr>
          <w:rFonts w:ascii="Arial Narrow" w:hAnsi="Arial Narrow" w:cs="Arial"/>
          <w:sz w:val="22"/>
          <w:szCs w:val="22"/>
          <w:lang w:val="es-ES_tradnl"/>
        </w:rPr>
      </w:pPr>
      <w:r>
        <w:rPr>
          <w:rFonts w:ascii="Arial Narrow" w:hAnsi="Arial Narrow" w:cs="Arial"/>
          <w:sz w:val="22"/>
          <w:szCs w:val="22"/>
          <w:lang w:val="es-ES_tradnl"/>
        </w:rPr>
        <w:t xml:space="preserve">Dentro de las medidas adoptadas por la política se establecieron, entre otras, </w:t>
      </w:r>
      <w:r w:rsidRPr="003D7BD6">
        <w:rPr>
          <w:rFonts w:ascii="Arial Narrow" w:hAnsi="Arial Narrow" w:cs="Arial"/>
          <w:sz w:val="22"/>
          <w:szCs w:val="22"/>
          <w:lang w:val="es-ES_tradnl"/>
        </w:rPr>
        <w:t>la posibilidad de suscribir acuerdos de mejora entre el Ministerio y los proveedores de redes y servicios de telecomunicaciones, concesionarios de los servicios de radiodifusión sonora, operadores de los servicios postales y demás sujetos de vigilancia y control por parte del Ministerio</w:t>
      </w:r>
      <w:r>
        <w:rPr>
          <w:rFonts w:ascii="Arial Narrow" w:hAnsi="Arial Narrow" w:cs="Arial"/>
          <w:sz w:val="22"/>
          <w:szCs w:val="22"/>
          <w:lang w:val="es-ES_tradnl"/>
        </w:rPr>
        <w:t xml:space="preserve">, </w:t>
      </w:r>
      <w:r w:rsidR="00B17D4B">
        <w:rPr>
          <w:rFonts w:ascii="Arial Narrow" w:hAnsi="Arial Narrow" w:cs="Arial"/>
          <w:sz w:val="22"/>
          <w:szCs w:val="22"/>
          <w:lang w:val="es-ES_tradnl"/>
        </w:rPr>
        <w:t xml:space="preserve">con el objeto de superar las dificultades identificadas frente al cumplimiento de las obligaciones a las que se encuentran sujetos los vigilados y sin </w:t>
      </w:r>
      <w:r w:rsidR="00815637">
        <w:rPr>
          <w:rFonts w:ascii="Arial Narrow" w:hAnsi="Arial Narrow" w:cs="Arial"/>
          <w:sz w:val="22"/>
          <w:szCs w:val="22"/>
          <w:lang w:val="es-ES_tradnl"/>
        </w:rPr>
        <w:t xml:space="preserve">que </w:t>
      </w:r>
      <w:r w:rsidR="00B17D4B" w:rsidRPr="00B17D4B">
        <w:rPr>
          <w:rFonts w:ascii="Arial Narrow" w:hAnsi="Arial Narrow" w:cs="Arial"/>
          <w:sz w:val="22"/>
          <w:szCs w:val="22"/>
          <w:lang w:val="es-ES_tradnl"/>
        </w:rPr>
        <w:t xml:space="preserve">necesariamente </w:t>
      </w:r>
      <w:r w:rsidR="00B17D4B">
        <w:rPr>
          <w:rFonts w:ascii="Arial Narrow" w:hAnsi="Arial Narrow" w:cs="Arial"/>
          <w:sz w:val="22"/>
          <w:szCs w:val="22"/>
          <w:lang w:val="es-ES_tradnl"/>
        </w:rPr>
        <w:t xml:space="preserve">se </w:t>
      </w:r>
      <w:r w:rsidR="00815637" w:rsidRPr="00B17D4B">
        <w:rPr>
          <w:rFonts w:ascii="Arial Narrow" w:hAnsi="Arial Narrow" w:cs="Arial"/>
          <w:sz w:val="22"/>
          <w:szCs w:val="22"/>
          <w:lang w:val="es-ES_tradnl"/>
        </w:rPr>
        <w:t>deb</w:t>
      </w:r>
      <w:r w:rsidR="00815637">
        <w:rPr>
          <w:rFonts w:ascii="Arial Narrow" w:hAnsi="Arial Narrow" w:cs="Arial"/>
          <w:sz w:val="22"/>
          <w:szCs w:val="22"/>
          <w:lang w:val="es-ES_tradnl"/>
        </w:rPr>
        <w:t>iera</w:t>
      </w:r>
      <w:r w:rsidR="00815637" w:rsidRPr="00B17D4B">
        <w:rPr>
          <w:rFonts w:ascii="Arial Narrow" w:hAnsi="Arial Narrow" w:cs="Arial"/>
          <w:sz w:val="22"/>
          <w:szCs w:val="22"/>
          <w:lang w:val="es-ES_tradnl"/>
        </w:rPr>
        <w:t xml:space="preserve"> </w:t>
      </w:r>
      <w:r w:rsidR="00B17D4B" w:rsidRPr="00B17D4B">
        <w:rPr>
          <w:rFonts w:ascii="Arial Narrow" w:hAnsi="Arial Narrow" w:cs="Arial"/>
          <w:sz w:val="22"/>
          <w:szCs w:val="22"/>
          <w:lang w:val="es-ES_tradnl"/>
        </w:rPr>
        <w:t>acudir a la imposición de sanciones</w:t>
      </w:r>
      <w:r w:rsidR="00B17D4B">
        <w:rPr>
          <w:rFonts w:ascii="Arial Narrow" w:hAnsi="Arial Narrow" w:cs="Arial"/>
          <w:sz w:val="22"/>
          <w:szCs w:val="22"/>
          <w:lang w:val="es-ES_tradnl"/>
        </w:rPr>
        <w:t xml:space="preserve">. Así mismo, </w:t>
      </w:r>
      <w:r w:rsidR="00B17D4B" w:rsidRPr="00B17D4B">
        <w:rPr>
          <w:rFonts w:ascii="Arial Narrow" w:hAnsi="Arial Narrow" w:cs="Arial"/>
          <w:sz w:val="22"/>
          <w:szCs w:val="22"/>
          <w:lang w:val="es-ES_tradnl"/>
        </w:rPr>
        <w:t xml:space="preserve">también contempló un reconocimiento diferencial a los prestadores que </w:t>
      </w:r>
      <w:r w:rsidR="00815637" w:rsidRPr="00B17D4B">
        <w:rPr>
          <w:rFonts w:ascii="Arial Narrow" w:hAnsi="Arial Narrow" w:cs="Arial"/>
          <w:sz w:val="22"/>
          <w:szCs w:val="22"/>
          <w:lang w:val="es-ES_tradnl"/>
        </w:rPr>
        <w:t>t</w:t>
      </w:r>
      <w:r w:rsidR="00815637">
        <w:rPr>
          <w:rFonts w:ascii="Arial Narrow" w:hAnsi="Arial Narrow" w:cs="Arial"/>
          <w:sz w:val="22"/>
          <w:szCs w:val="22"/>
          <w:lang w:val="es-ES_tradnl"/>
        </w:rPr>
        <w:t>uvieran</w:t>
      </w:r>
      <w:r w:rsidR="00815637" w:rsidRPr="00B17D4B">
        <w:rPr>
          <w:rFonts w:ascii="Arial Narrow" w:hAnsi="Arial Narrow" w:cs="Arial"/>
          <w:sz w:val="22"/>
          <w:szCs w:val="22"/>
          <w:lang w:val="es-ES_tradnl"/>
        </w:rPr>
        <w:t xml:space="preserve"> </w:t>
      </w:r>
      <w:r w:rsidR="00B17D4B" w:rsidRPr="00B17D4B">
        <w:rPr>
          <w:rFonts w:ascii="Arial Narrow" w:hAnsi="Arial Narrow" w:cs="Arial"/>
          <w:sz w:val="22"/>
          <w:szCs w:val="22"/>
          <w:lang w:val="es-ES_tradnl"/>
        </w:rPr>
        <w:t>una cultura del cumplimiento, que se vería reflejado periódicamente en publicaciones en la página web del Ministerio.</w:t>
      </w:r>
    </w:p>
    <w:p w14:paraId="233BC0EA" w14:textId="466490EC" w:rsidR="0009167E" w:rsidRDefault="0009167E" w:rsidP="00584CD6">
      <w:pPr>
        <w:jc w:val="both"/>
        <w:rPr>
          <w:rFonts w:ascii="Arial Narrow" w:hAnsi="Arial Narrow" w:cs="Arial"/>
          <w:sz w:val="22"/>
          <w:szCs w:val="22"/>
          <w:lang w:val="es-ES_tradnl"/>
        </w:rPr>
      </w:pPr>
    </w:p>
    <w:p w14:paraId="2B324B63" w14:textId="3B5151D8" w:rsidR="007E3076" w:rsidRDefault="0009167E" w:rsidP="00584CD6">
      <w:pPr>
        <w:jc w:val="both"/>
        <w:rPr>
          <w:rFonts w:ascii="Arial Narrow" w:hAnsi="Arial Narrow" w:cs="Arial"/>
          <w:sz w:val="22"/>
          <w:szCs w:val="22"/>
          <w:lang w:val="es-ES_tradnl"/>
        </w:rPr>
      </w:pPr>
      <w:r>
        <w:rPr>
          <w:rFonts w:ascii="Arial Narrow" w:hAnsi="Arial Narrow" w:cs="Arial"/>
          <w:sz w:val="22"/>
          <w:szCs w:val="22"/>
          <w:lang w:val="es-ES_tradnl"/>
        </w:rPr>
        <w:t xml:space="preserve">Sin embargo, luego de analizar </w:t>
      </w:r>
      <w:r w:rsidR="007B235B">
        <w:rPr>
          <w:rFonts w:ascii="Arial Narrow" w:hAnsi="Arial Narrow" w:cs="Arial"/>
          <w:sz w:val="22"/>
          <w:szCs w:val="22"/>
          <w:lang w:val="es-ES_tradnl"/>
        </w:rPr>
        <w:t xml:space="preserve">la experiencia a lo largo de la </w:t>
      </w:r>
      <w:r w:rsidR="00493D34">
        <w:rPr>
          <w:rFonts w:ascii="Arial Narrow" w:hAnsi="Arial Narrow" w:cs="Arial"/>
          <w:sz w:val="22"/>
          <w:szCs w:val="22"/>
          <w:lang w:val="es-ES_tradnl"/>
        </w:rPr>
        <w:t>implementación</w:t>
      </w:r>
      <w:r w:rsidR="007B235B">
        <w:rPr>
          <w:rFonts w:ascii="Arial Narrow" w:hAnsi="Arial Narrow" w:cs="Arial"/>
          <w:sz w:val="22"/>
          <w:szCs w:val="22"/>
          <w:lang w:val="es-ES_tradnl"/>
        </w:rPr>
        <w:t xml:space="preserve"> de</w:t>
      </w:r>
      <w:r w:rsidRPr="0009167E">
        <w:rPr>
          <w:rFonts w:ascii="Arial Narrow" w:hAnsi="Arial Narrow" w:cs="Arial"/>
          <w:sz w:val="22"/>
          <w:szCs w:val="22"/>
          <w:lang w:val="es-ES_tradnl"/>
        </w:rPr>
        <w:t xml:space="preserve"> la política pública, este Ministerio</w:t>
      </w:r>
      <w:r w:rsidR="007B235B">
        <w:rPr>
          <w:rFonts w:ascii="Arial Narrow" w:hAnsi="Arial Narrow" w:cs="Arial"/>
          <w:sz w:val="22"/>
          <w:szCs w:val="22"/>
          <w:lang w:val="es-ES_tradnl"/>
        </w:rPr>
        <w:t>, en primer lugar,</w:t>
      </w:r>
      <w:r w:rsidRPr="0009167E">
        <w:rPr>
          <w:rFonts w:ascii="Arial Narrow" w:hAnsi="Arial Narrow" w:cs="Arial"/>
          <w:sz w:val="22"/>
          <w:szCs w:val="22"/>
          <w:lang w:val="es-ES_tradnl"/>
        </w:rPr>
        <w:t xml:space="preserve"> </w:t>
      </w:r>
      <w:r w:rsidR="00493D34">
        <w:rPr>
          <w:rFonts w:ascii="Arial Narrow" w:hAnsi="Arial Narrow" w:cs="Arial"/>
          <w:sz w:val="22"/>
          <w:szCs w:val="22"/>
          <w:lang w:val="es-ES_tradnl"/>
        </w:rPr>
        <w:t>evidenci</w:t>
      </w:r>
      <w:r w:rsidR="0004629C">
        <w:rPr>
          <w:rFonts w:ascii="Arial Narrow" w:hAnsi="Arial Narrow" w:cs="Arial"/>
          <w:sz w:val="22"/>
          <w:szCs w:val="22"/>
          <w:lang w:val="es-ES_tradnl"/>
        </w:rPr>
        <w:t>ó</w:t>
      </w:r>
      <w:r w:rsidR="00493D34">
        <w:rPr>
          <w:rFonts w:ascii="Arial Narrow" w:hAnsi="Arial Narrow" w:cs="Arial"/>
          <w:sz w:val="22"/>
          <w:szCs w:val="22"/>
          <w:lang w:val="es-ES_tradnl"/>
        </w:rPr>
        <w:t xml:space="preserve"> que ésta no garantizó el cumplimiento de las obligaciones legales, reglamentarias o regulatorias a cargo a los vigilados, </w:t>
      </w:r>
      <w:r w:rsidR="00853A13">
        <w:rPr>
          <w:rFonts w:ascii="Arial Narrow" w:hAnsi="Arial Narrow" w:cs="Arial"/>
          <w:sz w:val="22"/>
          <w:szCs w:val="22"/>
          <w:lang w:val="es-ES_tradnl"/>
        </w:rPr>
        <w:t>pues</w:t>
      </w:r>
      <w:r w:rsidR="00493D34">
        <w:rPr>
          <w:rFonts w:ascii="Arial Narrow" w:hAnsi="Arial Narrow" w:cs="Arial"/>
          <w:sz w:val="22"/>
          <w:szCs w:val="22"/>
          <w:lang w:val="es-ES_tradnl"/>
        </w:rPr>
        <w:t xml:space="preserve"> se suscribieron un total de </w:t>
      </w:r>
      <w:r w:rsidR="00493D34" w:rsidRPr="00493D34">
        <w:rPr>
          <w:rFonts w:ascii="Arial Narrow" w:hAnsi="Arial Narrow" w:cs="Arial"/>
          <w:sz w:val="22"/>
          <w:szCs w:val="22"/>
          <w:lang w:val="es-ES_tradnl"/>
        </w:rPr>
        <w:t>225 acuerdos de mejora, de los cuales solamente se cumplieron a cabalidad 37, lo que equivale a una tasa de cumplimiento inferior al 55%.</w:t>
      </w:r>
      <w:r w:rsidR="00493D34">
        <w:rPr>
          <w:rFonts w:ascii="Arial Narrow" w:hAnsi="Arial Narrow" w:cs="Arial"/>
          <w:sz w:val="22"/>
          <w:szCs w:val="22"/>
          <w:lang w:val="es-ES_tradnl"/>
        </w:rPr>
        <w:t xml:space="preserve"> </w:t>
      </w:r>
      <w:r w:rsidR="007E3076">
        <w:rPr>
          <w:rFonts w:ascii="Arial Narrow" w:hAnsi="Arial Narrow" w:cs="Arial"/>
          <w:sz w:val="22"/>
          <w:szCs w:val="22"/>
          <w:lang w:val="es-ES_tradnl"/>
        </w:rPr>
        <w:t xml:space="preserve">Así mismo, </w:t>
      </w:r>
      <w:r w:rsidR="009F4BD9">
        <w:rPr>
          <w:rFonts w:ascii="Arial Narrow" w:hAnsi="Arial Narrow" w:cs="Arial"/>
          <w:sz w:val="22"/>
          <w:szCs w:val="22"/>
          <w:lang w:val="es-ES_tradnl"/>
        </w:rPr>
        <w:t xml:space="preserve">se debe reafirmar la </w:t>
      </w:r>
      <w:r w:rsidR="009F4BD9" w:rsidRPr="009F4BD9">
        <w:rPr>
          <w:rFonts w:ascii="Arial Narrow" w:hAnsi="Arial Narrow" w:cs="Arial"/>
          <w:sz w:val="22"/>
          <w:szCs w:val="22"/>
          <w:lang w:val="es-ES_tradnl"/>
        </w:rPr>
        <w:t xml:space="preserve">potestad sancionadora con que cuenta el Ministerio de Tecnologías de la Información y las Comunicaciones </w:t>
      </w:r>
      <w:r w:rsidR="009F4BD9">
        <w:rPr>
          <w:rFonts w:ascii="Arial Narrow" w:hAnsi="Arial Narrow" w:cs="Arial"/>
          <w:sz w:val="22"/>
          <w:szCs w:val="22"/>
          <w:lang w:val="es-ES_tradnl"/>
        </w:rPr>
        <w:t xml:space="preserve">que </w:t>
      </w:r>
      <w:r w:rsidR="009F4BD9" w:rsidRPr="009F4BD9">
        <w:rPr>
          <w:rFonts w:ascii="Arial Narrow" w:hAnsi="Arial Narrow" w:cs="Arial"/>
          <w:sz w:val="22"/>
          <w:szCs w:val="22"/>
          <w:lang w:val="es-ES_tradnl"/>
        </w:rPr>
        <w:t>permite asegurar la realización de los fines del Estado, así como el cumplimiento de los objetivos trazados por la misma entidad y se concibe como un poder de actuación que, al ser ejercido de conformidad con el ordenamiento jurídico vigente, produce situaciones jurídicas en las que otros sujetos quedan obligados. Tal potestad se confiere con carácter inalienable, irrenunciable, obligatoria y con reserva de ley y no se limita a la imposición de sanciones</w:t>
      </w:r>
      <w:r w:rsidR="007A2F5C">
        <w:rPr>
          <w:rFonts w:ascii="Arial Narrow" w:hAnsi="Arial Narrow" w:cs="Arial"/>
          <w:sz w:val="22"/>
          <w:szCs w:val="22"/>
          <w:lang w:val="es-ES_tradnl"/>
        </w:rPr>
        <w:t>-.</w:t>
      </w:r>
    </w:p>
    <w:p w14:paraId="0FB45629" w14:textId="77777777" w:rsidR="007E3076" w:rsidRDefault="007E3076" w:rsidP="00584CD6">
      <w:pPr>
        <w:jc w:val="both"/>
        <w:rPr>
          <w:rFonts w:ascii="Arial Narrow" w:hAnsi="Arial Narrow" w:cs="Arial"/>
          <w:sz w:val="22"/>
          <w:szCs w:val="22"/>
          <w:lang w:val="es-ES_tradnl"/>
        </w:rPr>
      </w:pPr>
    </w:p>
    <w:p w14:paraId="6CB6827E" w14:textId="39BD9F04" w:rsidR="00493D34" w:rsidRDefault="00493D34" w:rsidP="00584CD6">
      <w:pPr>
        <w:jc w:val="both"/>
        <w:rPr>
          <w:rFonts w:ascii="Arial Narrow" w:hAnsi="Arial Narrow" w:cs="Arial"/>
          <w:sz w:val="22"/>
          <w:szCs w:val="22"/>
          <w:lang w:val="es-ES_tradnl"/>
        </w:rPr>
      </w:pPr>
      <w:r>
        <w:rPr>
          <w:rFonts w:ascii="Arial Narrow" w:hAnsi="Arial Narrow" w:cs="Arial"/>
          <w:sz w:val="22"/>
          <w:szCs w:val="22"/>
          <w:lang w:val="es-ES_tradnl"/>
        </w:rPr>
        <w:t>De igual manera, en cuanto al</w:t>
      </w:r>
      <w:r w:rsidR="00D83A60">
        <w:rPr>
          <w:rFonts w:ascii="Arial Narrow" w:hAnsi="Arial Narrow" w:cs="Arial"/>
          <w:sz w:val="22"/>
          <w:szCs w:val="22"/>
          <w:lang w:val="es-ES_tradnl"/>
        </w:rPr>
        <w:t xml:space="preserve"> reconocimiento diferencial a los prestadores que tengan una cultura de cumplimiento, se ha concluido que </w:t>
      </w:r>
      <w:r w:rsidR="00D83A60" w:rsidRPr="00D83A60">
        <w:rPr>
          <w:rFonts w:ascii="Arial Narrow" w:hAnsi="Arial Narrow" w:cs="Arial"/>
          <w:sz w:val="22"/>
          <w:szCs w:val="22"/>
          <w:lang w:val="es-ES_tradnl"/>
        </w:rPr>
        <w:t>el cumplimiento estricto – y valga decir exclusivo – de las obligaciones legales y regulatorias, no puede ser objeto de incentivo más allá del mismo principio constitucional de legalidad.</w:t>
      </w:r>
      <w:r w:rsidR="00D83A60">
        <w:rPr>
          <w:rFonts w:ascii="Arial Narrow" w:hAnsi="Arial Narrow" w:cs="Arial"/>
          <w:sz w:val="22"/>
          <w:szCs w:val="22"/>
          <w:lang w:val="es-ES_tradnl"/>
        </w:rPr>
        <w:t xml:space="preserve"> </w:t>
      </w:r>
    </w:p>
    <w:p w14:paraId="2997FE7C" w14:textId="470A9617" w:rsidR="00A62E66" w:rsidRDefault="00A62E66" w:rsidP="00584CD6">
      <w:pPr>
        <w:jc w:val="both"/>
        <w:rPr>
          <w:rFonts w:ascii="Arial Narrow" w:hAnsi="Arial Narrow" w:cs="Arial"/>
          <w:sz w:val="22"/>
          <w:szCs w:val="22"/>
          <w:lang w:val="es-ES_tradnl"/>
        </w:rPr>
      </w:pPr>
    </w:p>
    <w:p w14:paraId="7C2CCF49" w14:textId="3A8A243C" w:rsidR="00A62E66" w:rsidRDefault="00A62E66" w:rsidP="00584CD6">
      <w:pPr>
        <w:jc w:val="both"/>
        <w:rPr>
          <w:rFonts w:ascii="Arial Narrow" w:hAnsi="Arial Narrow" w:cs="Arial"/>
          <w:sz w:val="22"/>
          <w:szCs w:val="22"/>
          <w:lang w:val="es-ES_tradnl"/>
        </w:rPr>
      </w:pPr>
      <w:r>
        <w:rPr>
          <w:rFonts w:ascii="Arial Narrow" w:hAnsi="Arial Narrow" w:cs="Arial"/>
          <w:sz w:val="22"/>
          <w:szCs w:val="22"/>
          <w:lang w:val="es-ES_tradnl"/>
        </w:rPr>
        <w:lastRenderedPageBreak/>
        <w:t xml:space="preserve">Por todo lo anterior, este Ministerio revisó </w:t>
      </w:r>
      <w:r w:rsidRPr="00A62E66">
        <w:rPr>
          <w:rFonts w:ascii="Arial Narrow" w:hAnsi="Arial Narrow" w:cs="Arial"/>
          <w:sz w:val="22"/>
          <w:szCs w:val="22"/>
          <w:lang w:val="es-ES_tradnl"/>
        </w:rPr>
        <w:t xml:space="preserve">experiencias internacionales en materia regulatoria y sancionatoria </w:t>
      </w:r>
      <w:r>
        <w:rPr>
          <w:rFonts w:ascii="Arial Narrow" w:hAnsi="Arial Narrow" w:cs="Arial"/>
          <w:sz w:val="22"/>
          <w:szCs w:val="22"/>
          <w:lang w:val="es-ES_tradnl"/>
        </w:rPr>
        <w:t>y</w:t>
      </w:r>
      <w:r w:rsidRPr="00A62E66">
        <w:rPr>
          <w:rFonts w:ascii="Arial Narrow" w:hAnsi="Arial Narrow" w:cs="Arial"/>
          <w:sz w:val="22"/>
          <w:szCs w:val="22"/>
          <w:lang w:val="es-ES_tradnl"/>
        </w:rPr>
        <w:t xml:space="preserve"> pudo establecer que en ninguno de los países cuyo ordenamiento jurídico fue objeto de revisión, la facultad sancionatoria otorgada a través de instrumentos legales es desplazada por la implementación de acuerdos suscritos entre la autoridad de regulación y/o supervisión (en países como Reino Unido, EEUU, México, Argentina, entre otros, el regulador igualmente hace las veces de autoridad de vigilancia y control), que conllevaran la finalización inmediata y el archivo de las investigaciones correspondientes. Por el contrario, en varios de ellos – como es el caso de Perú – su autoridad de regulación, supervisión, vigilancia y </w:t>
      </w:r>
      <w:proofErr w:type="gramStart"/>
      <w:r w:rsidRPr="00A62E66">
        <w:rPr>
          <w:rFonts w:ascii="Arial Narrow" w:hAnsi="Arial Narrow" w:cs="Arial"/>
          <w:sz w:val="22"/>
          <w:szCs w:val="22"/>
          <w:lang w:val="es-ES_tradnl"/>
        </w:rPr>
        <w:t>control,</w:t>
      </w:r>
      <w:proofErr w:type="gramEnd"/>
      <w:r w:rsidRPr="00A62E66">
        <w:rPr>
          <w:rFonts w:ascii="Arial Narrow" w:hAnsi="Arial Narrow" w:cs="Arial"/>
          <w:sz w:val="22"/>
          <w:szCs w:val="22"/>
          <w:lang w:val="es-ES_tradnl"/>
        </w:rPr>
        <w:t xml:space="preserve"> tiene la facultad de imponer sanciones dentro de su ámbito de competencia por el incumplimiento de obligaciones derivadas de normas legales o técnicas, así como las obligaciones contraídas por los concesionarios en los respectivos contratos de concesión, sin condicionamiento alguno.</w:t>
      </w:r>
    </w:p>
    <w:p w14:paraId="0CBE790B" w14:textId="02365B4A" w:rsidR="00B74B50" w:rsidRDefault="00B74B50" w:rsidP="00584CD6">
      <w:pPr>
        <w:jc w:val="both"/>
        <w:rPr>
          <w:rFonts w:ascii="Arial Narrow" w:hAnsi="Arial Narrow" w:cs="Arial"/>
          <w:sz w:val="22"/>
          <w:szCs w:val="22"/>
          <w:lang w:val="es-ES_tradnl"/>
        </w:rPr>
      </w:pPr>
    </w:p>
    <w:p w14:paraId="7A58D383" w14:textId="58E72FDB" w:rsidR="00B74B50" w:rsidRDefault="00B74B50" w:rsidP="00584CD6">
      <w:pPr>
        <w:jc w:val="both"/>
        <w:rPr>
          <w:rFonts w:ascii="Arial Narrow" w:hAnsi="Arial Narrow" w:cs="Arial"/>
          <w:sz w:val="22"/>
          <w:szCs w:val="22"/>
          <w:lang w:val="es-ES_tradnl"/>
        </w:rPr>
      </w:pPr>
      <w:r>
        <w:rPr>
          <w:rFonts w:ascii="Arial Narrow" w:hAnsi="Arial Narrow" w:cs="Arial"/>
          <w:sz w:val="22"/>
          <w:szCs w:val="22"/>
          <w:lang w:val="es-ES_tradnl"/>
        </w:rPr>
        <w:t>Por esta razón, se impulsaron por parte del Gobierno Nacional</w:t>
      </w:r>
      <w:r w:rsidR="0006278E">
        <w:rPr>
          <w:rFonts w:ascii="Arial Narrow" w:hAnsi="Arial Narrow" w:cs="Arial"/>
          <w:sz w:val="22"/>
          <w:szCs w:val="22"/>
          <w:lang w:val="es-ES_tradnl"/>
        </w:rPr>
        <w:t xml:space="preserve"> </w:t>
      </w:r>
      <w:r w:rsidR="0006278E" w:rsidRPr="0006278E">
        <w:rPr>
          <w:rFonts w:ascii="Arial Narrow" w:hAnsi="Arial Narrow" w:cs="Arial"/>
          <w:sz w:val="22"/>
          <w:szCs w:val="22"/>
          <w:lang w:val="es-ES_tradnl"/>
        </w:rPr>
        <w:t>las Leyes 1955 y 1978 de 2019</w:t>
      </w:r>
      <w:r w:rsidR="0006278E">
        <w:rPr>
          <w:rFonts w:ascii="Arial Narrow" w:hAnsi="Arial Narrow" w:cs="Arial"/>
          <w:sz w:val="22"/>
          <w:szCs w:val="22"/>
          <w:lang w:val="es-ES_tradnl"/>
        </w:rPr>
        <w:t>, que modificaron el</w:t>
      </w:r>
      <w:r w:rsidR="0006278E" w:rsidRPr="0006278E">
        <w:rPr>
          <w:rFonts w:ascii="Arial Narrow" w:hAnsi="Arial Narrow" w:cs="Arial"/>
          <w:sz w:val="22"/>
          <w:szCs w:val="22"/>
          <w:lang w:val="es-ES_tradnl"/>
        </w:rPr>
        <w:t xml:space="preserve"> procedimiento administrativo sancionatorio que rige las actuaciones de vigilancia y control del MinTIC, </w:t>
      </w:r>
      <w:r w:rsidR="0006278E">
        <w:rPr>
          <w:rFonts w:ascii="Arial Narrow" w:hAnsi="Arial Narrow" w:cs="Arial"/>
          <w:sz w:val="22"/>
          <w:szCs w:val="22"/>
          <w:lang w:val="es-ES_tradnl"/>
        </w:rPr>
        <w:t xml:space="preserve">que </w:t>
      </w:r>
      <w:r w:rsidR="0006278E" w:rsidRPr="0006278E">
        <w:rPr>
          <w:rFonts w:ascii="Arial Narrow" w:hAnsi="Arial Narrow" w:cs="Arial"/>
          <w:sz w:val="22"/>
          <w:szCs w:val="22"/>
          <w:lang w:val="es-ES_tradnl"/>
        </w:rPr>
        <w:t xml:space="preserve">hacen innecesario </w:t>
      </w:r>
      <w:r w:rsidR="00815637">
        <w:rPr>
          <w:rFonts w:ascii="Arial Narrow" w:hAnsi="Arial Narrow" w:cs="Arial"/>
          <w:sz w:val="22"/>
          <w:szCs w:val="22"/>
          <w:lang w:val="es-ES_tradnl"/>
        </w:rPr>
        <w:t>mantener vigente lo dispuesto en</w:t>
      </w:r>
      <w:r w:rsidR="0006278E" w:rsidRPr="0006278E">
        <w:rPr>
          <w:rFonts w:ascii="Arial Narrow" w:hAnsi="Arial Narrow" w:cs="Arial"/>
          <w:sz w:val="22"/>
          <w:szCs w:val="22"/>
          <w:lang w:val="es-ES_tradnl"/>
        </w:rPr>
        <w:t xml:space="preserve"> la Resolución </w:t>
      </w:r>
      <w:proofErr w:type="spellStart"/>
      <w:r w:rsidR="0006278E" w:rsidRPr="0006278E">
        <w:rPr>
          <w:rFonts w:ascii="Arial Narrow" w:hAnsi="Arial Narrow" w:cs="Arial"/>
          <w:sz w:val="22"/>
          <w:szCs w:val="22"/>
          <w:lang w:val="es-ES_tradnl"/>
        </w:rPr>
        <w:t>N°</w:t>
      </w:r>
      <w:proofErr w:type="spellEnd"/>
      <w:r w:rsidR="0006278E" w:rsidRPr="0006278E">
        <w:rPr>
          <w:rFonts w:ascii="Arial Narrow" w:hAnsi="Arial Narrow" w:cs="Arial"/>
          <w:sz w:val="22"/>
          <w:szCs w:val="22"/>
          <w:lang w:val="es-ES_tradnl"/>
        </w:rPr>
        <w:t xml:space="preserve"> 3160 de 2017, pues dichas reformas legales incorporan atenuantes sancionatorios que fomentan el cumplimiento normativo al  reconocer las medidas tomadas por los prestadores y operadores que logren acreditar en el curso de las actuaciones administrativas sancionatorias destinadas </w:t>
      </w:r>
      <w:r w:rsidR="00815637">
        <w:rPr>
          <w:rFonts w:ascii="Arial Narrow" w:hAnsi="Arial Narrow" w:cs="Arial"/>
          <w:sz w:val="22"/>
          <w:szCs w:val="22"/>
          <w:lang w:val="es-ES_tradnl"/>
        </w:rPr>
        <w:t xml:space="preserve">-en principio- </w:t>
      </w:r>
      <w:r w:rsidR="0006278E" w:rsidRPr="0006278E">
        <w:rPr>
          <w:rFonts w:ascii="Arial Narrow" w:hAnsi="Arial Narrow" w:cs="Arial"/>
          <w:sz w:val="22"/>
          <w:szCs w:val="22"/>
          <w:lang w:val="es-ES_tradnl"/>
        </w:rPr>
        <w:t>a producir el cese de los actos u omisiones que dieron lugar al inicio de la actuación administrativa</w:t>
      </w:r>
      <w:r w:rsidR="0006278E">
        <w:rPr>
          <w:rFonts w:ascii="Arial Narrow" w:hAnsi="Arial Narrow" w:cs="Arial"/>
          <w:sz w:val="22"/>
          <w:szCs w:val="22"/>
          <w:lang w:val="es-ES_tradnl"/>
        </w:rPr>
        <w:t>.</w:t>
      </w:r>
    </w:p>
    <w:p w14:paraId="7BD6659E" w14:textId="77777777" w:rsidR="00584CD6" w:rsidRPr="001E42C9" w:rsidRDefault="00584CD6" w:rsidP="00584CD6">
      <w:pPr>
        <w:jc w:val="both"/>
        <w:rPr>
          <w:rFonts w:ascii="Arial Narrow" w:hAnsi="Arial Narrow" w:cs="Arial"/>
          <w:sz w:val="22"/>
          <w:szCs w:val="22"/>
          <w:lang w:val="es-ES_tradnl"/>
        </w:rPr>
      </w:pPr>
    </w:p>
    <w:p w14:paraId="6B055B00"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2.</w:t>
      </w:r>
      <w:r>
        <w:rPr>
          <w:rFonts w:ascii="Arial Narrow" w:hAnsi="Arial Narrow" w:cs="Arial"/>
          <w:b/>
          <w:sz w:val="22"/>
          <w:szCs w:val="22"/>
          <w:lang w:val="es-ES_tradnl"/>
        </w:rPr>
        <w:tab/>
      </w:r>
      <w:r w:rsidRPr="001E42C9">
        <w:rPr>
          <w:rFonts w:ascii="Arial Narrow" w:hAnsi="Arial Narrow" w:cs="Arial"/>
          <w:b/>
          <w:sz w:val="22"/>
          <w:szCs w:val="22"/>
          <w:lang w:val="es-ES_tradnl"/>
        </w:rPr>
        <w:t>Ámbito de aplicación</w:t>
      </w:r>
      <w:r>
        <w:rPr>
          <w:rFonts w:ascii="Arial Narrow" w:hAnsi="Arial Narrow" w:cs="Arial"/>
          <w:b/>
          <w:sz w:val="22"/>
          <w:szCs w:val="22"/>
          <w:lang w:val="es-ES_tradnl"/>
        </w:rPr>
        <w:t xml:space="preserve"> </w:t>
      </w:r>
      <w:r w:rsidRPr="001E42C9">
        <w:rPr>
          <w:rFonts w:ascii="Arial Narrow" w:hAnsi="Arial Narrow" w:cs="Arial"/>
          <w:b/>
          <w:sz w:val="22"/>
          <w:szCs w:val="22"/>
          <w:lang w:val="es-ES_tradnl"/>
        </w:rPr>
        <w:t xml:space="preserve">del </w:t>
      </w:r>
      <w:r>
        <w:rPr>
          <w:rFonts w:ascii="Arial Narrow" w:hAnsi="Arial Narrow" w:cs="Arial"/>
          <w:b/>
          <w:sz w:val="22"/>
          <w:szCs w:val="22"/>
          <w:lang w:val="es-ES_tradnl"/>
        </w:rPr>
        <w:t>acto administrativo</w:t>
      </w:r>
    </w:p>
    <w:p w14:paraId="478111E6" w14:textId="77777777" w:rsidR="00584CD6" w:rsidRPr="001E42C9" w:rsidRDefault="00584CD6" w:rsidP="00584CD6">
      <w:pPr>
        <w:jc w:val="both"/>
        <w:rPr>
          <w:rFonts w:ascii="Arial Narrow" w:hAnsi="Arial Narrow" w:cs="Arial"/>
          <w:sz w:val="22"/>
          <w:szCs w:val="22"/>
          <w:lang w:val="es-ES_tradnl"/>
        </w:rPr>
      </w:pPr>
    </w:p>
    <w:p w14:paraId="3D988AFB" w14:textId="428AC9FE" w:rsidR="00584CD6" w:rsidRDefault="00107C29" w:rsidP="00584CD6">
      <w:pPr>
        <w:jc w:val="both"/>
        <w:rPr>
          <w:rFonts w:ascii="Arial Narrow" w:hAnsi="Arial Narrow" w:cs="Arial"/>
          <w:sz w:val="22"/>
          <w:szCs w:val="22"/>
          <w:lang w:val="es-ES_tradnl"/>
        </w:rPr>
      </w:pPr>
      <w:r>
        <w:rPr>
          <w:rFonts w:ascii="Arial Narrow" w:hAnsi="Arial Narrow" w:cs="Arial"/>
          <w:sz w:val="22"/>
          <w:szCs w:val="22"/>
          <w:lang w:val="es-ES_tradnl"/>
        </w:rPr>
        <w:t>Como se trata de una derogatoria no tiene ámbito de aplicación.</w:t>
      </w:r>
    </w:p>
    <w:p w14:paraId="2018A4A4" w14:textId="77777777" w:rsidR="00584CD6" w:rsidRPr="001E42C9" w:rsidRDefault="00584CD6" w:rsidP="00584CD6">
      <w:pPr>
        <w:jc w:val="both"/>
        <w:rPr>
          <w:rFonts w:ascii="Arial Narrow" w:hAnsi="Arial Narrow" w:cs="Arial"/>
          <w:sz w:val="22"/>
          <w:szCs w:val="22"/>
          <w:lang w:val="es-ES_tradnl"/>
        </w:rPr>
      </w:pPr>
    </w:p>
    <w:p w14:paraId="6C70D8CE"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3.</w:t>
      </w:r>
      <w:r>
        <w:rPr>
          <w:rFonts w:ascii="Arial Narrow" w:hAnsi="Arial Narrow" w:cs="Arial"/>
          <w:b/>
          <w:sz w:val="22"/>
          <w:szCs w:val="22"/>
          <w:lang w:val="es-ES_tradnl"/>
        </w:rPr>
        <w:tab/>
        <w:t>Estudio preliminar de v</w:t>
      </w:r>
      <w:r w:rsidRPr="001E42C9">
        <w:rPr>
          <w:rFonts w:ascii="Arial Narrow" w:hAnsi="Arial Narrow" w:cs="Arial"/>
          <w:b/>
          <w:sz w:val="22"/>
          <w:szCs w:val="22"/>
          <w:lang w:val="es-ES_tradnl"/>
        </w:rPr>
        <w:t>iabilidad jurídica</w:t>
      </w:r>
      <w:r>
        <w:rPr>
          <w:rFonts w:ascii="Arial Narrow" w:hAnsi="Arial Narrow" w:cs="Arial"/>
          <w:b/>
          <w:sz w:val="22"/>
          <w:szCs w:val="22"/>
          <w:lang w:val="es-ES_tradnl"/>
        </w:rPr>
        <w:t xml:space="preserve"> de la expedición de la norma</w:t>
      </w:r>
      <w:r w:rsidRPr="001E42C9">
        <w:rPr>
          <w:rFonts w:ascii="Arial Narrow" w:hAnsi="Arial Narrow" w:cs="Arial"/>
          <w:b/>
          <w:sz w:val="22"/>
          <w:szCs w:val="22"/>
          <w:lang w:val="es-ES_tradnl"/>
        </w:rPr>
        <w:t xml:space="preserve"> </w:t>
      </w:r>
    </w:p>
    <w:p w14:paraId="403A3DA3" w14:textId="77777777" w:rsidR="00584CD6" w:rsidRPr="001E42C9" w:rsidRDefault="00584CD6" w:rsidP="00584CD6">
      <w:pPr>
        <w:jc w:val="both"/>
        <w:rPr>
          <w:rFonts w:ascii="Arial Narrow" w:hAnsi="Arial Narrow" w:cs="Arial"/>
          <w:sz w:val="22"/>
          <w:szCs w:val="22"/>
          <w:lang w:val="es-ES_tradnl"/>
        </w:rPr>
      </w:pPr>
    </w:p>
    <w:p w14:paraId="155B7826" w14:textId="77777777" w:rsidR="00584CD6" w:rsidRPr="00B94214" w:rsidRDefault="00584CD6" w:rsidP="00584CD6">
      <w:pPr>
        <w:widowControl w:val="0"/>
        <w:autoSpaceDE w:val="0"/>
        <w:autoSpaceDN w:val="0"/>
        <w:adjustRightInd w:val="0"/>
        <w:ind w:left="705" w:hanging="705"/>
        <w:contextualSpacing/>
        <w:jc w:val="both"/>
        <w:rPr>
          <w:rFonts w:ascii="Arial Narrow" w:hAnsi="Arial Narrow" w:cs="Arial"/>
          <w:sz w:val="22"/>
          <w:szCs w:val="22"/>
        </w:rPr>
      </w:pPr>
      <w:r>
        <w:rPr>
          <w:rFonts w:ascii="Arial Narrow" w:hAnsi="Arial Narrow" w:cs="Arial"/>
          <w:b/>
          <w:sz w:val="22"/>
          <w:szCs w:val="22"/>
        </w:rPr>
        <w:t>3.1.</w:t>
      </w:r>
      <w:r>
        <w:rPr>
          <w:rFonts w:ascii="Arial Narrow" w:hAnsi="Arial Narrow" w:cs="Arial"/>
          <w:b/>
          <w:sz w:val="22"/>
          <w:szCs w:val="22"/>
        </w:rPr>
        <w:tab/>
      </w:r>
      <w:r w:rsidRPr="00B94214">
        <w:rPr>
          <w:rFonts w:ascii="Arial Narrow" w:hAnsi="Arial Narrow" w:cs="Arial"/>
          <w:sz w:val="22"/>
          <w:szCs w:val="22"/>
        </w:rPr>
        <w:t xml:space="preserve">Análisis expreso y detallado de las normas que otorgan competencia para la expedición del </w:t>
      </w:r>
      <w:r w:rsidRPr="00B94214">
        <w:rPr>
          <w:rFonts w:ascii="Arial Narrow" w:hAnsi="Arial Narrow" w:cs="Arial"/>
          <w:sz w:val="22"/>
          <w:szCs w:val="22"/>
          <w:lang w:val="es-ES_tradnl"/>
        </w:rPr>
        <w:t>acto administrativo:</w:t>
      </w:r>
    </w:p>
    <w:p w14:paraId="711D0CCA" w14:textId="77777777" w:rsidR="00584CD6" w:rsidRPr="001E42C9" w:rsidRDefault="00584CD6" w:rsidP="00584CD6">
      <w:pPr>
        <w:widowControl w:val="0"/>
        <w:autoSpaceDE w:val="0"/>
        <w:autoSpaceDN w:val="0"/>
        <w:adjustRightInd w:val="0"/>
        <w:contextualSpacing/>
        <w:jc w:val="both"/>
        <w:rPr>
          <w:rFonts w:ascii="Arial Narrow" w:hAnsi="Arial Narrow" w:cs="Arial"/>
          <w:b/>
          <w:sz w:val="22"/>
          <w:szCs w:val="22"/>
        </w:rPr>
      </w:pPr>
    </w:p>
    <w:p w14:paraId="35365967" w14:textId="3823CA3D" w:rsidR="00107C29" w:rsidRDefault="00584CD6" w:rsidP="00584CD6">
      <w:pPr>
        <w:contextualSpacing/>
        <w:jc w:val="both"/>
        <w:rPr>
          <w:rFonts w:ascii="Arial Narrow" w:hAnsi="Arial Narrow" w:cs="Arial"/>
          <w:sz w:val="22"/>
          <w:szCs w:val="22"/>
        </w:rPr>
      </w:pPr>
      <w:r w:rsidRPr="001E42C9">
        <w:rPr>
          <w:rFonts w:ascii="Arial Narrow" w:hAnsi="Arial Narrow" w:cs="Arial"/>
          <w:sz w:val="22"/>
          <w:szCs w:val="22"/>
        </w:rPr>
        <w:t xml:space="preserve">Las </w:t>
      </w:r>
      <w:r w:rsidR="00815637">
        <w:rPr>
          <w:rFonts w:ascii="Arial Narrow" w:hAnsi="Arial Narrow" w:cs="Arial"/>
          <w:sz w:val="22"/>
          <w:szCs w:val="22"/>
        </w:rPr>
        <w:t>disposiciones</w:t>
      </w:r>
      <w:r w:rsidR="00815637" w:rsidRPr="001E42C9">
        <w:rPr>
          <w:rFonts w:ascii="Arial Narrow" w:hAnsi="Arial Narrow" w:cs="Arial"/>
          <w:sz w:val="22"/>
          <w:szCs w:val="22"/>
        </w:rPr>
        <w:t xml:space="preserve"> </w:t>
      </w:r>
      <w:r w:rsidRPr="001E42C9">
        <w:rPr>
          <w:rFonts w:ascii="Arial Narrow" w:hAnsi="Arial Narrow" w:cs="Arial"/>
          <w:sz w:val="22"/>
          <w:szCs w:val="22"/>
        </w:rPr>
        <w:t xml:space="preserve">que otorgan la competencia para la expedición del </w:t>
      </w:r>
      <w:r>
        <w:rPr>
          <w:rFonts w:ascii="Arial Narrow" w:hAnsi="Arial Narrow" w:cs="Arial"/>
          <w:sz w:val="22"/>
          <w:szCs w:val="22"/>
        </w:rPr>
        <w:t>acto administrativo</w:t>
      </w:r>
      <w:r w:rsidRPr="001E42C9">
        <w:rPr>
          <w:rFonts w:ascii="Arial Narrow" w:hAnsi="Arial Narrow" w:cs="Arial"/>
          <w:sz w:val="22"/>
          <w:szCs w:val="22"/>
        </w:rPr>
        <w:t xml:space="preserve"> están contenidas </w:t>
      </w:r>
      <w:r>
        <w:rPr>
          <w:rFonts w:ascii="Arial Narrow" w:hAnsi="Arial Narrow" w:cs="Arial"/>
          <w:sz w:val="22"/>
          <w:szCs w:val="22"/>
        </w:rPr>
        <w:t xml:space="preserve">en las siguientes normas: </w:t>
      </w:r>
    </w:p>
    <w:p w14:paraId="74EAB0DC" w14:textId="6A8FDC5C" w:rsidR="00107C29" w:rsidRDefault="00107C29" w:rsidP="00584CD6">
      <w:pPr>
        <w:contextualSpacing/>
        <w:jc w:val="both"/>
        <w:rPr>
          <w:rFonts w:ascii="Arial Narrow" w:hAnsi="Arial Narrow" w:cs="Arial"/>
          <w:sz w:val="22"/>
          <w:szCs w:val="22"/>
        </w:rPr>
      </w:pPr>
    </w:p>
    <w:p w14:paraId="2C0599C1" w14:textId="3DD1D2E9" w:rsidR="00107C29" w:rsidRDefault="00DF659D" w:rsidP="00584CD6">
      <w:pPr>
        <w:contextualSpacing/>
        <w:jc w:val="both"/>
        <w:rPr>
          <w:rFonts w:ascii="Arial Narrow" w:hAnsi="Arial Narrow" w:cs="Arial"/>
          <w:sz w:val="22"/>
          <w:szCs w:val="22"/>
        </w:rPr>
      </w:pPr>
      <w:r>
        <w:rPr>
          <w:rFonts w:ascii="Arial Narrow" w:hAnsi="Arial Narrow" w:cs="Arial"/>
          <w:sz w:val="22"/>
          <w:szCs w:val="22"/>
        </w:rPr>
        <w:t>El numeral 1 del artículo del artículo 17 de la Ley 1341 de 2009, modificado por el artículo 13 de la Ley 1978 de 2019, establece que corresponde al Ministerio de Tecnologías de la Información y las Comunicaciones d</w:t>
      </w:r>
      <w:r w:rsidRPr="00DF659D">
        <w:rPr>
          <w:rFonts w:ascii="Arial Narrow" w:hAnsi="Arial Narrow" w:cs="Arial"/>
          <w:sz w:val="22"/>
          <w:szCs w:val="22"/>
        </w:rPr>
        <w:t>iseñar, formular, adoptar y promover las políticas, planes, programas y proyectos del sector de Tecnologías de la Información y las Comunicaciones, en correspondencia con la Constitución Política y la Ley, con el fin de promover la inversión y el cierre de la brecha digital, contribuir al desarrollo económico, social y político de la Nación, y elevar el bienestar de los colombianos.</w:t>
      </w:r>
    </w:p>
    <w:p w14:paraId="35950C3D" w14:textId="3203409A" w:rsidR="00DF659D" w:rsidRDefault="00DF659D" w:rsidP="00584CD6">
      <w:pPr>
        <w:contextualSpacing/>
        <w:jc w:val="both"/>
        <w:rPr>
          <w:rFonts w:ascii="Arial Narrow" w:hAnsi="Arial Narrow" w:cs="Arial"/>
          <w:sz w:val="22"/>
          <w:szCs w:val="22"/>
        </w:rPr>
      </w:pPr>
    </w:p>
    <w:p w14:paraId="41D20F83" w14:textId="6905B3AF" w:rsidR="00DF659D" w:rsidRDefault="00DF659D" w:rsidP="00584CD6">
      <w:pPr>
        <w:contextualSpacing/>
        <w:jc w:val="both"/>
        <w:rPr>
          <w:rFonts w:ascii="Arial Narrow" w:hAnsi="Arial Narrow" w:cs="Arial"/>
          <w:sz w:val="22"/>
          <w:szCs w:val="22"/>
        </w:rPr>
      </w:pPr>
      <w:r>
        <w:rPr>
          <w:rFonts w:ascii="Arial Narrow" w:hAnsi="Arial Narrow" w:cs="Arial"/>
          <w:sz w:val="22"/>
          <w:szCs w:val="22"/>
        </w:rPr>
        <w:t>El numeral 4 del artículo del artículo 17 de la Ley 1341 de 2009, modificado por el artículo 13 de la Ley 1978 de 2019, establece que corresponde al Ministerio de Tecnologías de la Información y las Comunicaciones d</w:t>
      </w:r>
      <w:r w:rsidRPr="00DF659D">
        <w:rPr>
          <w:rFonts w:ascii="Arial Narrow" w:hAnsi="Arial Narrow" w:cs="Arial"/>
          <w:sz w:val="22"/>
          <w:szCs w:val="22"/>
        </w:rPr>
        <w:t xml:space="preserve">efinir la política pública y adelantar la inspección, vigilancia y el control del sector de Tecnologías de la Información y las Comunicaciones, incluyendo el servicio de televisión abierta radiodifundida y el servicio de radiodifusión sonora, con excepción de aquellas funciones de inspección, vigilancia y control expresamente asignadas en </w:t>
      </w:r>
      <w:r w:rsidR="00815637">
        <w:rPr>
          <w:rFonts w:ascii="Arial Narrow" w:hAnsi="Arial Narrow" w:cs="Arial"/>
          <w:sz w:val="22"/>
          <w:szCs w:val="22"/>
        </w:rPr>
        <w:t>dicha</w:t>
      </w:r>
      <w:r w:rsidRPr="00DF659D">
        <w:rPr>
          <w:rFonts w:ascii="Arial Narrow" w:hAnsi="Arial Narrow" w:cs="Arial"/>
          <w:sz w:val="22"/>
          <w:szCs w:val="22"/>
        </w:rPr>
        <w:t xml:space="preserve"> Ley a la Comisión de Regulación de Comunicaciones y a la Agencia Nacional del Espectro.</w:t>
      </w:r>
    </w:p>
    <w:p w14:paraId="42050968" w14:textId="5646BEE2" w:rsidR="00DF7654" w:rsidRDefault="00DF7654" w:rsidP="00584CD6">
      <w:pPr>
        <w:contextualSpacing/>
        <w:jc w:val="both"/>
        <w:rPr>
          <w:rFonts w:ascii="Arial Narrow" w:hAnsi="Arial Narrow" w:cs="Arial"/>
          <w:sz w:val="22"/>
          <w:szCs w:val="22"/>
        </w:rPr>
      </w:pPr>
    </w:p>
    <w:p w14:paraId="0A14A931" w14:textId="7E22B645" w:rsidR="00154889" w:rsidRDefault="00154889" w:rsidP="00154889">
      <w:pPr>
        <w:contextualSpacing/>
        <w:jc w:val="both"/>
        <w:rPr>
          <w:rFonts w:ascii="Arial Narrow" w:hAnsi="Arial Narrow" w:cs="Arial"/>
          <w:sz w:val="22"/>
          <w:szCs w:val="22"/>
        </w:rPr>
      </w:pPr>
      <w:r>
        <w:rPr>
          <w:rFonts w:ascii="Arial Narrow" w:hAnsi="Arial Narrow" w:cs="Arial"/>
          <w:sz w:val="22"/>
          <w:szCs w:val="22"/>
        </w:rPr>
        <w:lastRenderedPageBreak/>
        <w:t>El numeral 11 del artículo 18 de la Ley 1341</w:t>
      </w:r>
      <w:r w:rsidR="00815637">
        <w:rPr>
          <w:rFonts w:ascii="Arial Narrow" w:hAnsi="Arial Narrow" w:cs="Arial"/>
          <w:sz w:val="22"/>
          <w:szCs w:val="22"/>
        </w:rPr>
        <w:t xml:space="preserve"> de 2009</w:t>
      </w:r>
      <w:r>
        <w:rPr>
          <w:rFonts w:ascii="Arial Narrow" w:hAnsi="Arial Narrow" w:cs="Arial"/>
          <w:sz w:val="22"/>
          <w:szCs w:val="22"/>
        </w:rPr>
        <w:t xml:space="preserve">, modificado por el </w:t>
      </w:r>
      <w:r>
        <w:rPr>
          <w:rFonts w:ascii="Arial Narrow" w:hAnsi="Arial Narrow" w:cs="Arial"/>
          <w:sz w:val="22"/>
          <w:szCs w:val="22"/>
          <w:lang w:val="es-ES"/>
        </w:rPr>
        <w:t>artículo 14 de la Ley 1978 de 2019, señala que corresponde al Ministerio de</w:t>
      </w:r>
      <w:r>
        <w:rPr>
          <w:rFonts w:ascii="Arial Narrow" w:hAnsi="Arial Narrow" w:cs="Arial"/>
          <w:sz w:val="22"/>
          <w:szCs w:val="22"/>
        </w:rPr>
        <w:t xml:space="preserve"> Tecnologías de la Información y las Comunicaciones </w:t>
      </w:r>
      <w:r w:rsidR="00815637">
        <w:rPr>
          <w:rFonts w:ascii="Arial Narrow" w:hAnsi="Arial Narrow" w:cs="Arial"/>
          <w:sz w:val="22"/>
          <w:szCs w:val="22"/>
        </w:rPr>
        <w:t>e</w:t>
      </w:r>
      <w:r w:rsidR="00815637" w:rsidRPr="00154889">
        <w:rPr>
          <w:rFonts w:ascii="Arial Narrow" w:hAnsi="Arial Narrow" w:cs="Arial"/>
          <w:sz w:val="22"/>
          <w:szCs w:val="22"/>
        </w:rPr>
        <w:t xml:space="preserve">jercer </w:t>
      </w:r>
      <w:r w:rsidRPr="00154889">
        <w:rPr>
          <w:rFonts w:ascii="Arial Narrow" w:hAnsi="Arial Narrow" w:cs="Arial"/>
          <w:sz w:val="22"/>
          <w:szCs w:val="22"/>
        </w:rPr>
        <w:t xml:space="preserve">las funciones de inspección, vigilancia y control en el sector de Tecnologías de la Información y las Comunicaciones, </w:t>
      </w:r>
      <w:r w:rsidR="00815637">
        <w:rPr>
          <w:rFonts w:ascii="Arial Narrow" w:hAnsi="Arial Narrow" w:cs="Arial"/>
          <w:sz w:val="22"/>
          <w:szCs w:val="22"/>
        </w:rPr>
        <w:t xml:space="preserve">de </w:t>
      </w:r>
      <w:r w:rsidR="00815637" w:rsidRPr="00154889">
        <w:rPr>
          <w:rFonts w:ascii="Arial Narrow" w:hAnsi="Arial Narrow" w:cs="Arial"/>
          <w:sz w:val="22"/>
          <w:szCs w:val="22"/>
        </w:rPr>
        <w:t>conform</w:t>
      </w:r>
      <w:r w:rsidR="00815637">
        <w:rPr>
          <w:rFonts w:ascii="Arial Narrow" w:hAnsi="Arial Narrow" w:cs="Arial"/>
          <w:sz w:val="22"/>
          <w:szCs w:val="22"/>
        </w:rPr>
        <w:t>idad</w:t>
      </w:r>
      <w:r w:rsidR="00815637" w:rsidRPr="00154889">
        <w:rPr>
          <w:rFonts w:ascii="Arial Narrow" w:hAnsi="Arial Narrow" w:cs="Arial"/>
          <w:sz w:val="22"/>
          <w:szCs w:val="22"/>
        </w:rPr>
        <w:t xml:space="preserve"> </w:t>
      </w:r>
      <w:r w:rsidRPr="00154889">
        <w:rPr>
          <w:rFonts w:ascii="Arial Narrow" w:hAnsi="Arial Narrow" w:cs="Arial"/>
          <w:sz w:val="22"/>
          <w:szCs w:val="22"/>
        </w:rPr>
        <w:t>con la Ley.</w:t>
      </w:r>
    </w:p>
    <w:p w14:paraId="2AE2BDC8" w14:textId="77777777" w:rsidR="00154889" w:rsidRDefault="00154889" w:rsidP="00154889">
      <w:pPr>
        <w:contextualSpacing/>
        <w:jc w:val="both"/>
        <w:rPr>
          <w:rFonts w:ascii="Arial Narrow" w:hAnsi="Arial Narrow" w:cs="Arial"/>
          <w:sz w:val="22"/>
          <w:szCs w:val="22"/>
        </w:rPr>
      </w:pPr>
    </w:p>
    <w:p w14:paraId="62F6AF96" w14:textId="14B76CA8" w:rsidR="00584CD6" w:rsidRPr="00154889" w:rsidRDefault="00DF7654" w:rsidP="00154889">
      <w:pPr>
        <w:contextualSpacing/>
        <w:jc w:val="both"/>
        <w:rPr>
          <w:rFonts w:ascii="Arial Narrow" w:hAnsi="Arial Narrow" w:cs="Arial"/>
          <w:sz w:val="22"/>
          <w:szCs w:val="22"/>
        </w:rPr>
      </w:pPr>
      <w:r>
        <w:rPr>
          <w:rFonts w:ascii="Arial Narrow" w:hAnsi="Arial Narrow" w:cs="Arial"/>
          <w:sz w:val="22"/>
          <w:szCs w:val="22"/>
        </w:rPr>
        <w:t xml:space="preserve">El artículo 18 de la Ley 1369 de 2009 determina que corresponde al Ministerio de </w:t>
      </w:r>
      <w:r w:rsidR="00154889">
        <w:rPr>
          <w:rFonts w:ascii="Arial Narrow" w:hAnsi="Arial Narrow" w:cs="Arial"/>
          <w:sz w:val="22"/>
          <w:szCs w:val="22"/>
        </w:rPr>
        <w:t xml:space="preserve">Tecnologías de la </w:t>
      </w:r>
      <w:r>
        <w:rPr>
          <w:rFonts w:ascii="Arial Narrow" w:hAnsi="Arial Narrow" w:cs="Arial"/>
          <w:sz w:val="22"/>
          <w:szCs w:val="22"/>
        </w:rPr>
        <w:t>Información y las Comunicaciones fijar la Política General de Servicios Postales</w:t>
      </w:r>
      <w:r w:rsidR="00CB0EFF">
        <w:rPr>
          <w:rFonts w:ascii="Arial Narrow" w:hAnsi="Arial Narrow" w:cs="Arial"/>
          <w:sz w:val="22"/>
          <w:szCs w:val="22"/>
        </w:rPr>
        <w:t>, dentro del marco general de la Política de Comunicaciones y, concretamente, establecer las políticas especiales en el sector.</w:t>
      </w:r>
      <w:r w:rsidR="00154889">
        <w:rPr>
          <w:rFonts w:ascii="Arial Narrow" w:hAnsi="Arial Narrow" w:cs="Arial"/>
          <w:sz w:val="22"/>
          <w:szCs w:val="22"/>
        </w:rPr>
        <w:t xml:space="preserve"> Así mismo, debe actuar como </w:t>
      </w:r>
      <w:r w:rsidR="00154889" w:rsidRPr="00154889">
        <w:rPr>
          <w:rFonts w:ascii="Arial Narrow" w:hAnsi="Arial Narrow" w:cs="Arial"/>
          <w:sz w:val="22"/>
          <w:szCs w:val="22"/>
        </w:rPr>
        <w:t>Autoridad de Inspección, Control y Vigilancia frente a todos los Operadores Postales, con excepción de la vigilancia sobre el cumplimiento de las normas relacionadas con la protección de la Competencia, la protección del consumidor y el lavado de activos.</w:t>
      </w:r>
    </w:p>
    <w:p w14:paraId="2CBAFF62" w14:textId="4E212649" w:rsidR="00584CD6" w:rsidRPr="001E42C9" w:rsidRDefault="00A27723" w:rsidP="00584CD6">
      <w:pPr>
        <w:contextualSpacing/>
        <w:jc w:val="both"/>
        <w:rPr>
          <w:rFonts w:ascii="Arial Narrow" w:hAnsi="Arial Narrow" w:cs="Arial"/>
          <w:sz w:val="22"/>
          <w:szCs w:val="22"/>
        </w:rPr>
      </w:pPr>
      <w:r>
        <w:rPr>
          <w:rFonts w:ascii="Arial Narrow" w:hAnsi="Arial Narrow" w:cs="Arial"/>
          <w:sz w:val="22"/>
          <w:szCs w:val="22"/>
        </w:rPr>
        <w:t xml:space="preserve"> </w:t>
      </w:r>
    </w:p>
    <w:p w14:paraId="1CE4300A" w14:textId="77777777" w:rsidR="00584CD6" w:rsidRPr="00B94214" w:rsidRDefault="00584CD6" w:rsidP="00584CD6">
      <w:pPr>
        <w:spacing w:line="276" w:lineRule="atLeast"/>
        <w:jc w:val="both"/>
        <w:rPr>
          <w:rFonts w:ascii="Arial Narrow" w:hAnsi="Arial Narrow" w:cs="Arial"/>
          <w:sz w:val="22"/>
          <w:szCs w:val="22"/>
        </w:rPr>
      </w:pPr>
      <w:r>
        <w:rPr>
          <w:rFonts w:ascii="Arial Narrow" w:hAnsi="Arial Narrow" w:cs="Arial"/>
          <w:b/>
          <w:sz w:val="22"/>
          <w:szCs w:val="22"/>
          <w:lang w:eastAsia="en-US"/>
        </w:rPr>
        <w:t>3.2.</w:t>
      </w:r>
      <w:r>
        <w:rPr>
          <w:rFonts w:ascii="Arial Narrow" w:hAnsi="Arial Narrow" w:cs="Arial"/>
          <w:b/>
          <w:sz w:val="22"/>
          <w:szCs w:val="22"/>
          <w:lang w:eastAsia="en-US"/>
        </w:rPr>
        <w:tab/>
      </w:r>
      <w:r w:rsidRPr="00B94214">
        <w:rPr>
          <w:rFonts w:ascii="Arial Narrow" w:hAnsi="Arial Narrow" w:cs="Arial"/>
          <w:sz w:val="22"/>
          <w:szCs w:val="22"/>
          <w:lang w:eastAsia="en-US"/>
        </w:rPr>
        <w:t xml:space="preserve">Vigencia de la ley o norma reglamentada o desarrollada con el </w:t>
      </w:r>
      <w:r w:rsidRPr="00B94214">
        <w:rPr>
          <w:rFonts w:ascii="Arial Narrow" w:hAnsi="Arial Narrow" w:cs="Arial"/>
          <w:sz w:val="22"/>
          <w:szCs w:val="22"/>
          <w:lang w:val="es-ES_tradnl"/>
        </w:rPr>
        <w:t>acto administrativo</w:t>
      </w:r>
      <w:r w:rsidRPr="00B94214">
        <w:rPr>
          <w:rFonts w:ascii="Arial Narrow" w:hAnsi="Arial Narrow" w:cs="Arial"/>
          <w:sz w:val="22"/>
          <w:szCs w:val="22"/>
          <w:lang w:eastAsia="en-US"/>
        </w:rPr>
        <w:t>:</w:t>
      </w:r>
    </w:p>
    <w:p w14:paraId="7913B683" w14:textId="77777777" w:rsidR="00584CD6" w:rsidRPr="00B94214" w:rsidRDefault="00584CD6" w:rsidP="00584CD6">
      <w:pPr>
        <w:jc w:val="both"/>
        <w:rPr>
          <w:rFonts w:ascii="Arial Narrow" w:hAnsi="Arial Narrow" w:cs="Arial"/>
          <w:sz w:val="22"/>
          <w:szCs w:val="22"/>
          <w:lang w:val="es-ES_tradnl"/>
        </w:rPr>
      </w:pPr>
    </w:p>
    <w:p w14:paraId="1C1C86E6" w14:textId="11E16D9F" w:rsidR="00584CD6" w:rsidRDefault="00154889" w:rsidP="00154889">
      <w:pPr>
        <w:jc w:val="both"/>
        <w:rPr>
          <w:rFonts w:ascii="Arial Narrow" w:hAnsi="Arial Narrow" w:cs="Arial"/>
          <w:sz w:val="22"/>
          <w:szCs w:val="22"/>
          <w:lang w:val="es-ES_tradnl"/>
        </w:rPr>
      </w:pPr>
      <w:r w:rsidRPr="00154889">
        <w:rPr>
          <w:rFonts w:ascii="Arial Narrow" w:hAnsi="Arial Narrow" w:cs="Arial"/>
          <w:sz w:val="22"/>
          <w:szCs w:val="22"/>
          <w:lang w:val="es-ES_tradnl"/>
        </w:rPr>
        <w:t>La Resolución 3160 de 2017 que pretende ser derogada se encuentra actualmente vigente.</w:t>
      </w:r>
    </w:p>
    <w:p w14:paraId="1B2468B2" w14:textId="77777777" w:rsidR="00584CD6" w:rsidRPr="001E42C9" w:rsidRDefault="00584CD6" w:rsidP="00584CD6">
      <w:pPr>
        <w:jc w:val="both"/>
        <w:rPr>
          <w:rFonts w:ascii="Arial Narrow" w:hAnsi="Arial Narrow" w:cs="Arial"/>
          <w:sz w:val="22"/>
          <w:szCs w:val="22"/>
          <w:lang w:val="es-ES_tradnl"/>
        </w:rPr>
      </w:pPr>
    </w:p>
    <w:p w14:paraId="39E1746A" w14:textId="1AEA0E44" w:rsidR="00584CD6" w:rsidRPr="00154889" w:rsidRDefault="00584CD6" w:rsidP="00154889">
      <w:pPr>
        <w:spacing w:after="262" w:line="271" w:lineRule="atLeast"/>
        <w:ind w:right="49"/>
        <w:jc w:val="both"/>
        <w:rPr>
          <w:rFonts w:ascii="Arial Narrow" w:hAnsi="Arial Narrow" w:cs="Arial"/>
          <w:sz w:val="22"/>
          <w:szCs w:val="22"/>
        </w:rPr>
      </w:pPr>
      <w:r>
        <w:rPr>
          <w:rFonts w:ascii="Arial Narrow" w:hAnsi="Arial Narrow" w:cs="Arial"/>
          <w:b/>
          <w:color w:val="000000"/>
          <w:sz w:val="22"/>
          <w:szCs w:val="22"/>
          <w:lang w:eastAsia="en-US"/>
        </w:rPr>
        <w:t>3.3.</w:t>
      </w:r>
      <w:r>
        <w:rPr>
          <w:rFonts w:ascii="Arial Narrow" w:hAnsi="Arial Narrow" w:cs="Arial"/>
          <w:b/>
          <w:color w:val="000000"/>
          <w:sz w:val="22"/>
          <w:szCs w:val="22"/>
          <w:lang w:eastAsia="en-US"/>
        </w:rPr>
        <w:tab/>
      </w:r>
      <w:r w:rsidRPr="00B94214">
        <w:rPr>
          <w:rFonts w:ascii="Arial Narrow" w:hAnsi="Arial Narrow" w:cs="Arial"/>
          <w:color w:val="000000"/>
          <w:sz w:val="22"/>
          <w:szCs w:val="22"/>
          <w:lang w:eastAsia="en-US"/>
        </w:rPr>
        <w:t>Disposiciones que se derogan, subrogan, modifican</w:t>
      </w:r>
      <w:r>
        <w:rPr>
          <w:rFonts w:ascii="Arial Narrow" w:hAnsi="Arial Narrow" w:cs="Arial"/>
          <w:color w:val="000000"/>
          <w:sz w:val="22"/>
          <w:szCs w:val="22"/>
          <w:lang w:eastAsia="en-US"/>
        </w:rPr>
        <w:t xml:space="preserve">, </w:t>
      </w:r>
      <w:r w:rsidRPr="00B94214">
        <w:rPr>
          <w:rFonts w:ascii="Arial Narrow" w:hAnsi="Arial Narrow" w:cs="Arial"/>
          <w:color w:val="000000"/>
          <w:sz w:val="22"/>
          <w:szCs w:val="22"/>
          <w:lang w:eastAsia="en-US"/>
        </w:rPr>
        <w:t>adicionan</w:t>
      </w:r>
      <w:r>
        <w:rPr>
          <w:rFonts w:ascii="Arial Narrow" w:hAnsi="Arial Narrow" w:cs="Arial"/>
          <w:color w:val="000000"/>
          <w:sz w:val="22"/>
          <w:szCs w:val="22"/>
          <w:lang w:eastAsia="en-US"/>
        </w:rPr>
        <w:t xml:space="preserve"> o desarrollan</w:t>
      </w:r>
      <w:r w:rsidRPr="00B94214">
        <w:rPr>
          <w:rFonts w:ascii="Arial Narrow" w:hAnsi="Arial Narrow" w:cs="Arial"/>
          <w:color w:val="000000"/>
          <w:sz w:val="22"/>
          <w:szCs w:val="22"/>
          <w:lang w:eastAsia="en-US"/>
        </w:rPr>
        <w:t xml:space="preserve"> con el </w:t>
      </w:r>
      <w:r w:rsidRPr="00B94214">
        <w:rPr>
          <w:rFonts w:ascii="Arial Narrow" w:hAnsi="Arial Narrow" w:cs="Arial"/>
          <w:sz w:val="22"/>
          <w:szCs w:val="22"/>
          <w:lang w:val="es-ES_tradnl"/>
        </w:rPr>
        <w:t>acto administrativo</w:t>
      </w:r>
      <w:r w:rsidRPr="00B94214">
        <w:rPr>
          <w:rFonts w:ascii="Arial Narrow" w:hAnsi="Arial Narrow" w:cs="Arial"/>
          <w:color w:val="000000"/>
          <w:sz w:val="22"/>
          <w:szCs w:val="22"/>
          <w:lang w:eastAsia="en-US"/>
        </w:rPr>
        <w:t>:</w:t>
      </w:r>
    </w:p>
    <w:p w14:paraId="193BC7FF" w14:textId="0A4019DC" w:rsidR="00584CD6" w:rsidRDefault="00584CD6" w:rsidP="00584CD6">
      <w:pPr>
        <w:jc w:val="both"/>
        <w:rPr>
          <w:rFonts w:ascii="Arial Narrow" w:hAnsi="Arial Narrow" w:cs="Arial"/>
          <w:sz w:val="22"/>
          <w:szCs w:val="22"/>
        </w:rPr>
      </w:pPr>
      <w:r w:rsidRPr="00154889">
        <w:rPr>
          <w:rFonts w:ascii="Arial Narrow" w:hAnsi="Arial Narrow" w:cs="Arial"/>
          <w:sz w:val="22"/>
          <w:szCs w:val="22"/>
        </w:rPr>
        <w:t xml:space="preserve">El proyecto de </w:t>
      </w:r>
      <w:r w:rsidR="00154889" w:rsidRPr="00154889">
        <w:rPr>
          <w:rFonts w:ascii="Arial Narrow" w:hAnsi="Arial Narrow" w:cs="Arial"/>
          <w:sz w:val="22"/>
          <w:szCs w:val="22"/>
        </w:rPr>
        <w:t>resolución deroga en su integralidad la Resolución 3160 de 2017.</w:t>
      </w:r>
    </w:p>
    <w:p w14:paraId="25745209" w14:textId="77777777" w:rsidR="00584CD6" w:rsidRDefault="00584CD6" w:rsidP="00584CD6">
      <w:pPr>
        <w:jc w:val="both"/>
        <w:rPr>
          <w:rFonts w:ascii="Arial Narrow" w:hAnsi="Arial Narrow" w:cs="Arial"/>
          <w:sz w:val="22"/>
          <w:szCs w:val="22"/>
        </w:rPr>
      </w:pPr>
    </w:p>
    <w:p w14:paraId="01175372" w14:textId="77777777" w:rsidR="00584CD6" w:rsidRDefault="00584CD6" w:rsidP="00945923">
      <w:pPr>
        <w:ind w:left="708" w:hanging="708"/>
        <w:jc w:val="both"/>
        <w:rPr>
          <w:rFonts w:ascii="Arial Narrow" w:hAnsi="Arial Narrow" w:cs="Arial"/>
          <w:sz w:val="22"/>
          <w:szCs w:val="22"/>
        </w:rPr>
      </w:pPr>
      <w:r w:rsidRPr="00B94214">
        <w:rPr>
          <w:rFonts w:ascii="Arial Narrow" w:hAnsi="Arial Narrow" w:cs="Arial"/>
          <w:b/>
          <w:sz w:val="22"/>
          <w:szCs w:val="22"/>
        </w:rPr>
        <w:t>3.4.</w:t>
      </w:r>
      <w:r>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76E8DB82" w14:textId="77777777" w:rsidR="00584CD6" w:rsidRPr="006C0EF2" w:rsidRDefault="00584CD6" w:rsidP="00584CD6">
      <w:pPr>
        <w:jc w:val="both"/>
        <w:rPr>
          <w:rFonts w:ascii="Arial Narrow" w:hAnsi="Arial Narrow" w:cs="Arial"/>
          <w:sz w:val="22"/>
          <w:szCs w:val="22"/>
        </w:rPr>
      </w:pPr>
    </w:p>
    <w:p w14:paraId="06FBC2CA" w14:textId="4A78BCB9" w:rsidR="00584CD6" w:rsidRPr="006C0EF2" w:rsidRDefault="00584CD6" w:rsidP="00584CD6">
      <w:pPr>
        <w:jc w:val="both"/>
        <w:rPr>
          <w:rFonts w:ascii="Arial Narrow" w:hAnsi="Arial Narrow" w:cs="Arial"/>
          <w:sz w:val="22"/>
          <w:szCs w:val="22"/>
        </w:rPr>
      </w:pPr>
      <w:r w:rsidRPr="00154889">
        <w:rPr>
          <w:rFonts w:ascii="Arial Narrow" w:hAnsi="Arial Narrow" w:cs="Arial"/>
          <w:sz w:val="22"/>
          <w:szCs w:val="22"/>
        </w:rPr>
        <w:t>A la fecha no hay precedentes jurisprudenciales que puedan tener impacto o ser relevantes para la expedición del acto</w:t>
      </w:r>
      <w:r w:rsidR="00154889" w:rsidRPr="00154889">
        <w:rPr>
          <w:rFonts w:ascii="Arial Narrow" w:hAnsi="Arial Narrow" w:cs="Arial"/>
          <w:sz w:val="22"/>
          <w:szCs w:val="22"/>
        </w:rPr>
        <w:t>.</w:t>
      </w:r>
      <w:r w:rsidRPr="006C0EF2">
        <w:rPr>
          <w:rFonts w:ascii="Arial Narrow" w:hAnsi="Arial Narrow" w:cs="Arial"/>
          <w:sz w:val="22"/>
          <w:szCs w:val="22"/>
        </w:rPr>
        <w:t xml:space="preserve"> </w:t>
      </w:r>
    </w:p>
    <w:p w14:paraId="036C6381" w14:textId="77777777" w:rsidR="00584CD6" w:rsidRDefault="00584CD6" w:rsidP="00584CD6">
      <w:pPr>
        <w:ind w:left="705" w:hanging="705"/>
        <w:jc w:val="both"/>
        <w:rPr>
          <w:rFonts w:ascii="Arial Narrow" w:hAnsi="Arial Narrow" w:cs="Arial"/>
          <w:b/>
          <w:sz w:val="22"/>
          <w:szCs w:val="22"/>
        </w:rPr>
      </w:pPr>
    </w:p>
    <w:p w14:paraId="7031EE1A" w14:textId="77777777" w:rsidR="00584CD6" w:rsidRPr="00E45C6A" w:rsidRDefault="00584CD6" w:rsidP="00584CD6">
      <w:pPr>
        <w:ind w:left="705" w:hanging="705"/>
        <w:jc w:val="both"/>
        <w:rPr>
          <w:rFonts w:ascii="Arial Narrow" w:hAnsi="Arial Narrow" w:cs="Arial"/>
          <w:sz w:val="22"/>
          <w:szCs w:val="22"/>
        </w:rPr>
      </w:pPr>
      <w:r w:rsidRPr="00B94214">
        <w:rPr>
          <w:rFonts w:ascii="Arial Narrow" w:hAnsi="Arial Narrow" w:cs="Arial"/>
          <w:b/>
          <w:sz w:val="22"/>
          <w:szCs w:val="22"/>
        </w:rPr>
        <w:t>3.5.</w:t>
      </w:r>
      <w:r>
        <w:rPr>
          <w:rFonts w:ascii="Arial Narrow" w:hAnsi="Arial Narrow" w:cs="Arial"/>
          <w:sz w:val="22"/>
          <w:szCs w:val="22"/>
        </w:rPr>
        <w:tab/>
        <w:t>Advertencia de cualquier otra circunstancia jurídica que pueda ser relevante para la expedición del acto:</w:t>
      </w:r>
    </w:p>
    <w:p w14:paraId="28C821AA" w14:textId="19661EB6" w:rsidR="00584CD6" w:rsidRDefault="00584CD6" w:rsidP="00584CD6">
      <w:pPr>
        <w:jc w:val="both"/>
        <w:rPr>
          <w:rFonts w:ascii="Arial Narrow" w:hAnsi="Arial Narrow" w:cs="Arial"/>
          <w:sz w:val="22"/>
          <w:szCs w:val="22"/>
        </w:rPr>
      </w:pPr>
    </w:p>
    <w:p w14:paraId="7DB4F0C0" w14:textId="5F7D8447" w:rsidR="00346A5F" w:rsidRDefault="00346A5F" w:rsidP="00584CD6">
      <w:pPr>
        <w:jc w:val="both"/>
        <w:rPr>
          <w:rFonts w:ascii="Arial Narrow" w:hAnsi="Arial Narrow" w:cs="Arial"/>
          <w:sz w:val="22"/>
          <w:szCs w:val="22"/>
        </w:rPr>
      </w:pPr>
      <w:r>
        <w:rPr>
          <w:rFonts w:ascii="Arial Narrow" w:hAnsi="Arial Narrow" w:cs="Arial"/>
          <w:sz w:val="22"/>
          <w:szCs w:val="22"/>
        </w:rPr>
        <w:t xml:space="preserve">No aplica, teniendo en cuenta que la justificación jurídica </w:t>
      </w:r>
      <w:r w:rsidR="001037F9">
        <w:rPr>
          <w:rFonts w:ascii="Arial Narrow" w:hAnsi="Arial Narrow" w:cs="Arial"/>
          <w:sz w:val="22"/>
          <w:szCs w:val="22"/>
        </w:rPr>
        <w:t xml:space="preserve">que da soporte a la expedición del </w:t>
      </w:r>
      <w:proofErr w:type="gramStart"/>
      <w:r w:rsidR="001037F9">
        <w:rPr>
          <w:rFonts w:ascii="Arial Narrow" w:hAnsi="Arial Narrow" w:cs="Arial"/>
          <w:sz w:val="22"/>
          <w:szCs w:val="22"/>
        </w:rPr>
        <w:t>acto,</w:t>
      </w:r>
      <w:proofErr w:type="gramEnd"/>
      <w:r w:rsidR="001037F9">
        <w:rPr>
          <w:rFonts w:ascii="Arial Narrow" w:hAnsi="Arial Narrow" w:cs="Arial"/>
          <w:sz w:val="22"/>
          <w:szCs w:val="22"/>
        </w:rPr>
        <w:t xml:space="preserve"> se encuentra prevista en su parte considerativa, que ya fue objeto de análisis en el presente documento.</w:t>
      </w:r>
    </w:p>
    <w:p w14:paraId="01500C42" w14:textId="77777777" w:rsidR="00346A5F" w:rsidRDefault="00346A5F" w:rsidP="00584CD6">
      <w:pPr>
        <w:jc w:val="both"/>
        <w:rPr>
          <w:rFonts w:ascii="Arial Narrow" w:hAnsi="Arial Narrow" w:cs="Arial"/>
          <w:sz w:val="22"/>
          <w:szCs w:val="22"/>
        </w:rPr>
      </w:pPr>
    </w:p>
    <w:p w14:paraId="20C04702"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4.</w:t>
      </w:r>
      <w:r>
        <w:rPr>
          <w:rFonts w:ascii="Arial Narrow" w:hAnsi="Arial Narrow" w:cs="Arial"/>
          <w:b/>
          <w:sz w:val="22"/>
          <w:szCs w:val="22"/>
          <w:lang w:val="es-ES_tradnl"/>
        </w:rPr>
        <w:tab/>
        <w:t>Estudio preliminar sobre posible i</w:t>
      </w:r>
      <w:r w:rsidRPr="001E42C9">
        <w:rPr>
          <w:rFonts w:ascii="Arial Narrow" w:hAnsi="Arial Narrow" w:cs="Arial"/>
          <w:b/>
          <w:sz w:val="22"/>
          <w:szCs w:val="22"/>
          <w:lang w:val="es-ES_tradnl"/>
        </w:rPr>
        <w:t>mpacto económico</w:t>
      </w:r>
      <w:r>
        <w:rPr>
          <w:rFonts w:ascii="Arial Narrow" w:hAnsi="Arial Narrow" w:cs="Arial"/>
          <w:b/>
          <w:sz w:val="22"/>
          <w:szCs w:val="22"/>
          <w:lang w:val="es-ES_tradnl"/>
        </w:rPr>
        <w:t xml:space="preserve"> de la norma a expedir</w:t>
      </w:r>
    </w:p>
    <w:p w14:paraId="0B70DFD0" w14:textId="77777777" w:rsidR="00584CD6" w:rsidRPr="001E42C9" w:rsidRDefault="00584CD6" w:rsidP="00584CD6">
      <w:pPr>
        <w:autoSpaceDE w:val="0"/>
        <w:autoSpaceDN w:val="0"/>
        <w:adjustRightInd w:val="0"/>
        <w:jc w:val="both"/>
        <w:rPr>
          <w:rFonts w:ascii="Arial Narrow" w:hAnsi="Arial Narrow" w:cs="Arial"/>
          <w:sz w:val="22"/>
          <w:szCs w:val="22"/>
        </w:rPr>
      </w:pPr>
    </w:p>
    <w:p w14:paraId="0446D800" w14:textId="2FBF1E9D" w:rsidR="00584CD6" w:rsidRDefault="00154889" w:rsidP="00584CD6">
      <w:pPr>
        <w:autoSpaceDE w:val="0"/>
        <w:autoSpaceDN w:val="0"/>
        <w:adjustRightInd w:val="0"/>
        <w:jc w:val="both"/>
        <w:rPr>
          <w:rFonts w:ascii="Arial Narrow" w:hAnsi="Arial Narrow" w:cs="Arial"/>
          <w:sz w:val="22"/>
          <w:szCs w:val="22"/>
        </w:rPr>
      </w:pPr>
      <w:r w:rsidRPr="00945923">
        <w:rPr>
          <w:rFonts w:ascii="Arial Narrow" w:hAnsi="Arial Narrow" w:cs="Arial"/>
          <w:sz w:val="22"/>
          <w:szCs w:val="22"/>
        </w:rPr>
        <w:t>Como se trata de un proyecto de resolución por el cual se deroga la Resolución 3160 de 201</w:t>
      </w:r>
      <w:r w:rsidR="00945923" w:rsidRPr="00945923">
        <w:rPr>
          <w:rFonts w:ascii="Arial Narrow" w:hAnsi="Arial Narrow" w:cs="Arial"/>
          <w:sz w:val="22"/>
          <w:szCs w:val="22"/>
        </w:rPr>
        <w:t>7 no se evidencia ningún impacto económico y ningún costo en su implementación.</w:t>
      </w:r>
    </w:p>
    <w:p w14:paraId="2CD93CA3" w14:textId="77777777" w:rsidR="00584CD6" w:rsidRDefault="00584CD6" w:rsidP="00584CD6">
      <w:pPr>
        <w:autoSpaceDE w:val="0"/>
        <w:autoSpaceDN w:val="0"/>
        <w:adjustRightInd w:val="0"/>
        <w:jc w:val="both"/>
        <w:rPr>
          <w:rFonts w:ascii="Arial Narrow" w:hAnsi="Arial Narrow" w:cs="Arial"/>
          <w:sz w:val="22"/>
          <w:szCs w:val="22"/>
        </w:rPr>
      </w:pPr>
    </w:p>
    <w:p w14:paraId="24F7FB61" w14:textId="77777777" w:rsidR="00584CD6" w:rsidRDefault="00584CD6" w:rsidP="00584CD6">
      <w:pPr>
        <w:autoSpaceDE w:val="0"/>
        <w:autoSpaceDN w:val="0"/>
        <w:adjustRightInd w:val="0"/>
        <w:jc w:val="both"/>
        <w:rPr>
          <w:rFonts w:ascii="Arial Narrow" w:hAnsi="Arial Narrow" w:cs="Arial"/>
          <w:b/>
          <w:bCs/>
          <w:sz w:val="22"/>
          <w:szCs w:val="22"/>
        </w:rPr>
      </w:pPr>
      <w:r>
        <w:rPr>
          <w:rFonts w:ascii="Arial Narrow" w:hAnsi="Arial Narrow" w:cs="Arial"/>
          <w:b/>
          <w:bCs/>
          <w:sz w:val="22"/>
          <w:szCs w:val="22"/>
        </w:rPr>
        <w:t>5.</w:t>
      </w:r>
      <w:r>
        <w:rPr>
          <w:rFonts w:ascii="Arial Narrow" w:hAnsi="Arial Narrow" w:cs="Arial"/>
          <w:b/>
          <w:bCs/>
          <w:sz w:val="22"/>
          <w:szCs w:val="22"/>
        </w:rPr>
        <w:tab/>
        <w:t>Disponibilidad presupuestal</w:t>
      </w:r>
    </w:p>
    <w:p w14:paraId="58737AA0" w14:textId="77777777" w:rsidR="00584CD6" w:rsidRDefault="00584CD6" w:rsidP="00584CD6">
      <w:pPr>
        <w:autoSpaceDE w:val="0"/>
        <w:autoSpaceDN w:val="0"/>
        <w:adjustRightInd w:val="0"/>
        <w:jc w:val="both"/>
        <w:rPr>
          <w:rFonts w:ascii="Arial Narrow" w:hAnsi="Arial Narrow" w:cs="Arial"/>
          <w:b/>
          <w:bCs/>
          <w:sz w:val="22"/>
          <w:szCs w:val="22"/>
        </w:rPr>
      </w:pPr>
    </w:p>
    <w:p w14:paraId="4A0283EA" w14:textId="31488C4B" w:rsidR="00945923" w:rsidRDefault="00945923" w:rsidP="00945923">
      <w:pPr>
        <w:autoSpaceDE w:val="0"/>
        <w:autoSpaceDN w:val="0"/>
        <w:adjustRightInd w:val="0"/>
        <w:jc w:val="both"/>
        <w:rPr>
          <w:rFonts w:ascii="Arial Narrow" w:hAnsi="Arial Narrow" w:cs="Arial"/>
          <w:sz w:val="22"/>
          <w:szCs w:val="22"/>
        </w:rPr>
      </w:pPr>
      <w:r w:rsidRPr="00945923">
        <w:rPr>
          <w:rFonts w:ascii="Arial Narrow" w:hAnsi="Arial Narrow" w:cs="Arial"/>
          <w:sz w:val="22"/>
          <w:szCs w:val="22"/>
        </w:rPr>
        <w:t>Como se trata de un proyecto de resolución por el cual se deroga la Resolución 3160 de 2017 y no se evidencia ningún impacto económico y ningún costo en su implementación, no se requiere de disponibilidad presupuestal.</w:t>
      </w:r>
      <w:r>
        <w:rPr>
          <w:rFonts w:ascii="Arial Narrow" w:hAnsi="Arial Narrow" w:cs="Arial"/>
          <w:sz w:val="22"/>
          <w:szCs w:val="22"/>
        </w:rPr>
        <w:t xml:space="preserve"> </w:t>
      </w:r>
    </w:p>
    <w:p w14:paraId="28BCA687" w14:textId="3932DCBD" w:rsidR="00584CD6" w:rsidRDefault="00584CD6" w:rsidP="00584CD6">
      <w:pPr>
        <w:autoSpaceDE w:val="0"/>
        <w:autoSpaceDN w:val="0"/>
        <w:adjustRightInd w:val="0"/>
        <w:jc w:val="both"/>
        <w:rPr>
          <w:rFonts w:ascii="Arial Narrow" w:hAnsi="Arial Narrow" w:cs="Arial"/>
          <w:b/>
          <w:bCs/>
          <w:sz w:val="22"/>
          <w:szCs w:val="22"/>
        </w:rPr>
      </w:pPr>
    </w:p>
    <w:p w14:paraId="6F4B168C" w14:textId="2EACFB89" w:rsidR="001037F9" w:rsidRDefault="001037F9" w:rsidP="00584CD6">
      <w:pPr>
        <w:autoSpaceDE w:val="0"/>
        <w:autoSpaceDN w:val="0"/>
        <w:adjustRightInd w:val="0"/>
        <w:jc w:val="both"/>
        <w:rPr>
          <w:rFonts w:ascii="Arial Narrow" w:hAnsi="Arial Narrow" w:cs="Arial"/>
          <w:b/>
          <w:bCs/>
          <w:sz w:val="22"/>
          <w:szCs w:val="22"/>
        </w:rPr>
      </w:pPr>
    </w:p>
    <w:p w14:paraId="3D3A8838" w14:textId="77777777" w:rsidR="001037F9" w:rsidRDefault="001037F9" w:rsidP="00584CD6">
      <w:pPr>
        <w:autoSpaceDE w:val="0"/>
        <w:autoSpaceDN w:val="0"/>
        <w:adjustRightInd w:val="0"/>
        <w:jc w:val="both"/>
        <w:rPr>
          <w:rFonts w:ascii="Arial Narrow" w:hAnsi="Arial Narrow" w:cs="Arial"/>
          <w:b/>
          <w:bCs/>
          <w:sz w:val="22"/>
          <w:szCs w:val="22"/>
        </w:rPr>
      </w:pPr>
    </w:p>
    <w:p w14:paraId="684D4A87" w14:textId="77777777" w:rsidR="00584CD6" w:rsidRPr="001E42C9" w:rsidRDefault="00584CD6" w:rsidP="00584CD6">
      <w:pPr>
        <w:autoSpaceDE w:val="0"/>
        <w:autoSpaceDN w:val="0"/>
        <w:adjustRightInd w:val="0"/>
        <w:ind w:left="705" w:hanging="705"/>
        <w:jc w:val="both"/>
        <w:rPr>
          <w:rFonts w:ascii="Arial Narrow" w:hAnsi="Arial Narrow" w:cs="Arial"/>
          <w:b/>
          <w:bCs/>
          <w:sz w:val="22"/>
          <w:szCs w:val="22"/>
        </w:rPr>
      </w:pPr>
      <w:r>
        <w:rPr>
          <w:rFonts w:ascii="Arial Narrow" w:hAnsi="Arial Narrow" w:cs="Arial"/>
          <w:b/>
          <w:bCs/>
          <w:sz w:val="22"/>
          <w:szCs w:val="22"/>
        </w:rPr>
        <w:lastRenderedPageBreak/>
        <w:t>6.</w:t>
      </w:r>
      <w:r>
        <w:rPr>
          <w:rFonts w:ascii="Arial Narrow" w:hAnsi="Arial Narrow" w:cs="Arial"/>
          <w:b/>
          <w:bCs/>
          <w:sz w:val="22"/>
          <w:szCs w:val="22"/>
        </w:rPr>
        <w:tab/>
      </w:r>
      <w:r>
        <w:rPr>
          <w:rFonts w:ascii="Arial Narrow" w:hAnsi="Arial Narrow" w:cs="Arial"/>
          <w:b/>
          <w:sz w:val="22"/>
          <w:szCs w:val="22"/>
          <w:lang w:val="es-ES_tradnl"/>
        </w:rPr>
        <w:t>Estudio preliminar sobre posible impacto</w:t>
      </w:r>
      <w:r w:rsidRPr="001E42C9">
        <w:rPr>
          <w:rFonts w:ascii="Arial Narrow" w:hAnsi="Arial Narrow" w:cs="Arial"/>
          <w:b/>
          <w:bCs/>
          <w:sz w:val="22"/>
          <w:szCs w:val="22"/>
        </w:rPr>
        <w:t xml:space="preserve"> medioambiental o sobre el patrimonio cultural de </w:t>
      </w:r>
      <w:r>
        <w:rPr>
          <w:rFonts w:ascii="Arial Narrow" w:hAnsi="Arial Narrow" w:cs="Arial"/>
          <w:b/>
          <w:bCs/>
          <w:sz w:val="22"/>
          <w:szCs w:val="22"/>
        </w:rPr>
        <w:t>la Nación</w:t>
      </w:r>
    </w:p>
    <w:p w14:paraId="6F6787A3" w14:textId="77777777" w:rsidR="00584CD6" w:rsidRPr="008D3E1C" w:rsidRDefault="00584CD6" w:rsidP="00584CD6">
      <w:pPr>
        <w:autoSpaceDE w:val="0"/>
        <w:autoSpaceDN w:val="0"/>
        <w:adjustRightInd w:val="0"/>
        <w:jc w:val="both"/>
        <w:rPr>
          <w:rFonts w:ascii="Arial Narrow" w:hAnsi="Arial Narrow" w:cs="Arial"/>
          <w:sz w:val="22"/>
          <w:szCs w:val="22"/>
          <w:highlight w:val="yellow"/>
        </w:rPr>
      </w:pPr>
    </w:p>
    <w:p w14:paraId="71CB5E31" w14:textId="77777777" w:rsidR="00584CD6" w:rsidRPr="001E42C9" w:rsidRDefault="00584CD6" w:rsidP="00584CD6">
      <w:pPr>
        <w:autoSpaceDE w:val="0"/>
        <w:autoSpaceDN w:val="0"/>
        <w:adjustRightInd w:val="0"/>
        <w:jc w:val="both"/>
        <w:rPr>
          <w:rFonts w:ascii="Arial Narrow" w:hAnsi="Arial Narrow" w:cs="Arial"/>
          <w:sz w:val="22"/>
          <w:szCs w:val="22"/>
        </w:rPr>
      </w:pPr>
      <w:proofErr w:type="gramStart"/>
      <w:r w:rsidRPr="00945923">
        <w:rPr>
          <w:rFonts w:ascii="Arial Narrow" w:hAnsi="Arial Narrow" w:cs="Arial"/>
          <w:sz w:val="22"/>
          <w:szCs w:val="22"/>
        </w:rPr>
        <w:t>La norma a expedir no</w:t>
      </w:r>
      <w:proofErr w:type="gramEnd"/>
      <w:r w:rsidRPr="00945923">
        <w:rPr>
          <w:rFonts w:ascii="Arial Narrow" w:hAnsi="Arial Narrow" w:cs="Arial"/>
          <w:sz w:val="22"/>
          <w:szCs w:val="22"/>
        </w:rPr>
        <w:t xml:space="preserve"> genera impacto medioambiental o sobre el patrimonio cultural de la Nación.</w:t>
      </w:r>
    </w:p>
    <w:p w14:paraId="21E95FE2" w14:textId="77777777" w:rsidR="00584CD6" w:rsidRPr="001E42C9" w:rsidRDefault="00584CD6" w:rsidP="00584CD6">
      <w:pPr>
        <w:autoSpaceDE w:val="0"/>
        <w:autoSpaceDN w:val="0"/>
        <w:adjustRightInd w:val="0"/>
        <w:jc w:val="both"/>
        <w:rPr>
          <w:rFonts w:ascii="Arial Narrow" w:hAnsi="Arial Narrow" w:cs="Arial"/>
          <w:sz w:val="22"/>
          <w:szCs w:val="22"/>
        </w:rPr>
      </w:pPr>
    </w:p>
    <w:p w14:paraId="1110321A" w14:textId="77777777" w:rsidR="00584CD6" w:rsidRDefault="00584CD6" w:rsidP="00584CD6">
      <w:pPr>
        <w:contextualSpacing/>
        <w:jc w:val="both"/>
        <w:rPr>
          <w:rFonts w:ascii="Arial Narrow" w:hAnsi="Arial Narrow" w:cs="Arial"/>
          <w:b/>
          <w:sz w:val="22"/>
          <w:szCs w:val="22"/>
        </w:rPr>
      </w:pPr>
    </w:p>
    <w:p w14:paraId="355ED07C" w14:textId="77777777" w:rsidR="00584CD6" w:rsidRPr="00945923" w:rsidRDefault="00584CD6" w:rsidP="00584CD6">
      <w:pPr>
        <w:pStyle w:val="NormalWeb"/>
        <w:spacing w:before="0" w:beforeAutospacing="0" w:after="0" w:afterAutospacing="0"/>
        <w:jc w:val="both"/>
        <w:rPr>
          <w:rFonts w:ascii="Arial Narrow" w:hAnsi="Arial Narrow" w:cs="Arial"/>
          <w:b/>
          <w:sz w:val="22"/>
          <w:szCs w:val="22"/>
        </w:rPr>
      </w:pPr>
      <w:r w:rsidRPr="00945923">
        <w:rPr>
          <w:rFonts w:ascii="Arial Narrow" w:hAnsi="Arial Narrow" w:cs="Arial"/>
          <w:b/>
          <w:sz w:val="22"/>
          <w:szCs w:val="22"/>
        </w:rPr>
        <w:t>7.</w:t>
      </w:r>
      <w:r w:rsidRPr="00945923">
        <w:rPr>
          <w:rFonts w:ascii="Arial Narrow" w:hAnsi="Arial Narrow" w:cs="Arial"/>
          <w:b/>
          <w:sz w:val="22"/>
          <w:szCs w:val="22"/>
        </w:rPr>
        <w:tab/>
        <w:t>Manifestación de Impacto Regulatorio</w:t>
      </w:r>
    </w:p>
    <w:p w14:paraId="1170F200" w14:textId="77777777" w:rsidR="00584CD6" w:rsidRPr="002149A2" w:rsidRDefault="00584CD6" w:rsidP="00584CD6">
      <w:pPr>
        <w:pStyle w:val="NormalWeb"/>
        <w:spacing w:before="0" w:beforeAutospacing="0" w:after="0" w:afterAutospacing="0"/>
        <w:jc w:val="both"/>
        <w:rPr>
          <w:rFonts w:ascii="Arial Narrow" w:hAnsi="Arial Narrow" w:cs="Arial"/>
          <w:sz w:val="22"/>
          <w:szCs w:val="22"/>
          <w:highlight w:val="yellow"/>
        </w:rPr>
      </w:pPr>
    </w:p>
    <w:p w14:paraId="25D99EAA" w14:textId="41272118" w:rsidR="00455320" w:rsidRDefault="00945923" w:rsidP="00CF66B4">
      <w:pPr>
        <w:autoSpaceDE w:val="0"/>
        <w:autoSpaceDN w:val="0"/>
        <w:adjustRightInd w:val="0"/>
        <w:jc w:val="both"/>
        <w:rPr>
          <w:rFonts w:ascii="Arial Narrow" w:hAnsi="Arial Narrow" w:cs="Arial"/>
          <w:sz w:val="22"/>
          <w:szCs w:val="22"/>
          <w:lang w:val="es-ES_tradnl"/>
        </w:rPr>
      </w:pPr>
      <w:r w:rsidRPr="00945923">
        <w:rPr>
          <w:rFonts w:ascii="Arial Narrow" w:hAnsi="Arial Narrow" w:cs="Arial"/>
          <w:sz w:val="22"/>
          <w:szCs w:val="22"/>
        </w:rPr>
        <w:t>Como se trata de un proyecto de resolución por el cual se deroga la Resolución 3160 de 2017</w:t>
      </w:r>
      <w:r>
        <w:rPr>
          <w:rFonts w:ascii="Arial Narrow" w:hAnsi="Arial Narrow" w:cs="Arial"/>
          <w:sz w:val="22"/>
          <w:szCs w:val="22"/>
        </w:rPr>
        <w:t>,</w:t>
      </w:r>
      <w:r w:rsidRPr="00945923">
        <w:rPr>
          <w:rFonts w:ascii="Arial Narrow" w:hAnsi="Arial Narrow" w:cs="Arial"/>
          <w:sz w:val="22"/>
          <w:szCs w:val="22"/>
        </w:rPr>
        <w:t xml:space="preserve"> no se evidencia ningún impacto económico</w:t>
      </w:r>
      <w:r>
        <w:rPr>
          <w:rFonts w:ascii="Arial Narrow" w:hAnsi="Arial Narrow" w:cs="Arial"/>
          <w:sz w:val="22"/>
          <w:szCs w:val="22"/>
        </w:rPr>
        <w:t>,</w:t>
      </w:r>
      <w:r w:rsidRPr="00945923">
        <w:rPr>
          <w:rFonts w:ascii="Arial Narrow" w:hAnsi="Arial Narrow" w:cs="Arial"/>
          <w:sz w:val="22"/>
          <w:szCs w:val="22"/>
        </w:rPr>
        <w:t xml:space="preserve"> ningún costo en su implementación</w:t>
      </w:r>
      <w:r>
        <w:rPr>
          <w:rFonts w:ascii="Arial Narrow" w:hAnsi="Arial Narrow" w:cs="Arial"/>
          <w:sz w:val="22"/>
          <w:szCs w:val="22"/>
        </w:rPr>
        <w:t xml:space="preserve"> y</w:t>
      </w:r>
      <w:r w:rsidRPr="00945923">
        <w:rPr>
          <w:rFonts w:ascii="Arial Narrow" w:hAnsi="Arial Narrow" w:cs="Arial"/>
          <w:sz w:val="22"/>
          <w:szCs w:val="22"/>
        </w:rPr>
        <w:t xml:space="preserve"> no se requiere de disponibilidad presupuestal</w:t>
      </w:r>
      <w:r>
        <w:rPr>
          <w:rFonts w:ascii="Arial Narrow" w:hAnsi="Arial Narrow" w:cs="Arial"/>
          <w:sz w:val="22"/>
          <w:szCs w:val="22"/>
        </w:rPr>
        <w:t xml:space="preserve">, no hay ningún tipo de impacto regulatorio. </w:t>
      </w:r>
      <w:r w:rsidR="00455320">
        <w:rPr>
          <w:rFonts w:ascii="Arial Narrow" w:hAnsi="Arial Narrow" w:cs="Arial"/>
          <w:sz w:val="22"/>
          <w:szCs w:val="22"/>
        </w:rPr>
        <w:t xml:space="preserve">Adicionalmente, se reitera que con las reformas introducidas por las Leyes 1955 de 1978 de 2019, </w:t>
      </w:r>
      <w:r w:rsidR="00455320">
        <w:rPr>
          <w:rFonts w:ascii="Arial Narrow" w:hAnsi="Arial Narrow" w:cs="Arial"/>
          <w:sz w:val="22"/>
          <w:szCs w:val="22"/>
          <w:lang w:val="es-ES_tradnl"/>
        </w:rPr>
        <w:t>que modificaron el</w:t>
      </w:r>
      <w:r w:rsidR="00455320" w:rsidRPr="0006278E">
        <w:rPr>
          <w:rFonts w:ascii="Arial Narrow" w:hAnsi="Arial Narrow" w:cs="Arial"/>
          <w:sz w:val="22"/>
          <w:szCs w:val="22"/>
          <w:lang w:val="es-ES_tradnl"/>
        </w:rPr>
        <w:t xml:space="preserve"> procedimiento administrativo sancionatorio que rige las actuaciones de vigilancia y control del MinTIC, </w:t>
      </w:r>
      <w:r w:rsidR="00455320">
        <w:rPr>
          <w:rFonts w:ascii="Arial Narrow" w:hAnsi="Arial Narrow" w:cs="Arial"/>
          <w:sz w:val="22"/>
          <w:szCs w:val="22"/>
          <w:lang w:val="es-ES_tradnl"/>
        </w:rPr>
        <w:t>se</w:t>
      </w:r>
      <w:r w:rsidR="00455320" w:rsidRPr="0006278E">
        <w:rPr>
          <w:rFonts w:ascii="Arial Narrow" w:hAnsi="Arial Narrow" w:cs="Arial"/>
          <w:sz w:val="22"/>
          <w:szCs w:val="22"/>
          <w:lang w:val="es-ES_tradnl"/>
        </w:rPr>
        <w:t xml:space="preserve"> incorporan atenuantes que</w:t>
      </w:r>
      <w:r w:rsidR="00455320">
        <w:rPr>
          <w:rFonts w:ascii="Arial Narrow" w:hAnsi="Arial Narrow" w:cs="Arial"/>
          <w:sz w:val="22"/>
          <w:szCs w:val="22"/>
          <w:lang w:val="es-ES_tradnl"/>
        </w:rPr>
        <w:t xml:space="preserve">, en primer lugar, favorecen a los vigilados en el curso de las actuaciones administrativas sancionatorias, cuando logren acreditar el cese de los actos </w:t>
      </w:r>
      <w:proofErr w:type="spellStart"/>
      <w:r w:rsidR="00455320">
        <w:rPr>
          <w:rFonts w:ascii="Arial Narrow" w:hAnsi="Arial Narrow" w:cs="Arial"/>
          <w:sz w:val="22"/>
          <w:szCs w:val="22"/>
          <w:lang w:val="es-ES_tradnl"/>
        </w:rPr>
        <w:t>o</w:t>
      </w:r>
      <w:proofErr w:type="spellEnd"/>
      <w:r w:rsidR="00455320">
        <w:rPr>
          <w:rFonts w:ascii="Arial Narrow" w:hAnsi="Arial Narrow" w:cs="Arial"/>
          <w:sz w:val="22"/>
          <w:szCs w:val="22"/>
          <w:lang w:val="es-ES_tradnl"/>
        </w:rPr>
        <w:t xml:space="preserve"> omisiones que dieron lugar a la comisión de la infracción y, en segundo lugar,</w:t>
      </w:r>
      <w:r w:rsidR="00455320" w:rsidRPr="0006278E">
        <w:rPr>
          <w:rFonts w:ascii="Arial Narrow" w:hAnsi="Arial Narrow" w:cs="Arial"/>
          <w:sz w:val="22"/>
          <w:szCs w:val="22"/>
          <w:lang w:val="es-ES_tradnl"/>
        </w:rPr>
        <w:t xml:space="preserve"> fomentan el cumplimiento normativo</w:t>
      </w:r>
      <w:r w:rsidR="00455320">
        <w:rPr>
          <w:rFonts w:ascii="Arial Narrow" w:hAnsi="Arial Narrow" w:cs="Arial"/>
          <w:sz w:val="22"/>
          <w:szCs w:val="22"/>
          <w:lang w:val="es-ES_tradnl"/>
        </w:rPr>
        <w:t>.</w:t>
      </w:r>
      <w:r w:rsidR="00455320" w:rsidRPr="0006278E">
        <w:rPr>
          <w:rFonts w:ascii="Arial Narrow" w:hAnsi="Arial Narrow" w:cs="Arial"/>
          <w:sz w:val="22"/>
          <w:szCs w:val="22"/>
          <w:lang w:val="es-ES_tradnl"/>
        </w:rPr>
        <w:t xml:space="preserve"> </w:t>
      </w:r>
    </w:p>
    <w:p w14:paraId="6ECF681A" w14:textId="77777777" w:rsidR="00455320" w:rsidRDefault="00455320" w:rsidP="00252479">
      <w:pPr>
        <w:jc w:val="both"/>
        <w:rPr>
          <w:rFonts w:ascii="Arial Narrow" w:hAnsi="Arial Narrow" w:cs="Arial"/>
          <w:b/>
          <w:color w:val="000000"/>
          <w:sz w:val="22"/>
          <w:szCs w:val="22"/>
        </w:rPr>
      </w:pPr>
    </w:p>
    <w:p w14:paraId="75F1078D" w14:textId="098890D5" w:rsidR="00946CAD" w:rsidRDefault="00946CAD" w:rsidP="00252479">
      <w:pPr>
        <w:jc w:val="both"/>
        <w:rPr>
          <w:rFonts w:ascii="Arial Narrow" w:hAnsi="Arial Narrow" w:cs="Arial"/>
          <w:b/>
          <w:color w:val="000000"/>
          <w:sz w:val="22"/>
          <w:szCs w:val="22"/>
        </w:rPr>
      </w:pPr>
    </w:p>
    <w:p w14:paraId="5728EF9A" w14:textId="587CD7F0" w:rsidR="001037F9" w:rsidRDefault="001037F9" w:rsidP="00252479">
      <w:pPr>
        <w:jc w:val="both"/>
        <w:rPr>
          <w:rFonts w:ascii="Arial Narrow" w:hAnsi="Arial Narrow" w:cs="Arial"/>
          <w:b/>
          <w:color w:val="000000"/>
          <w:sz w:val="22"/>
          <w:szCs w:val="22"/>
        </w:rPr>
      </w:pPr>
    </w:p>
    <w:p w14:paraId="4874E8BB" w14:textId="77777777" w:rsidR="001037F9" w:rsidRDefault="001037F9" w:rsidP="00252479">
      <w:pPr>
        <w:jc w:val="both"/>
        <w:rPr>
          <w:rFonts w:ascii="Arial Narrow" w:hAnsi="Arial Narrow" w:cs="Arial"/>
          <w:b/>
          <w:color w:val="000000"/>
          <w:sz w:val="22"/>
          <w:szCs w:val="22"/>
        </w:rPr>
      </w:pPr>
    </w:p>
    <w:p w14:paraId="3ABBAD53" w14:textId="36614357" w:rsidR="00946CAD" w:rsidRDefault="00945923"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IVÁN ANTONIO MANTILLA GAVIRIA</w:t>
      </w:r>
    </w:p>
    <w:p w14:paraId="4CF521CB" w14:textId="1A3DFCBF" w:rsidR="00946CAD" w:rsidRPr="001E42C9" w:rsidRDefault="00945923" w:rsidP="00946CAD">
      <w:pPr>
        <w:pStyle w:val="NormalWeb"/>
        <w:spacing w:before="0" w:beforeAutospacing="0" w:after="0" w:afterAutospacing="0"/>
        <w:jc w:val="both"/>
        <w:rPr>
          <w:rFonts w:ascii="Arial Narrow" w:hAnsi="Arial Narrow" w:cs="Arial"/>
          <w:sz w:val="22"/>
          <w:szCs w:val="22"/>
        </w:rPr>
      </w:pPr>
      <w:r>
        <w:rPr>
          <w:rFonts w:ascii="Arial Narrow" w:hAnsi="Arial Narrow" w:cs="Arial"/>
          <w:sz w:val="22"/>
          <w:szCs w:val="22"/>
        </w:rPr>
        <w:t>Viceministro de Conectividad y Digitalización</w:t>
      </w:r>
      <w:r w:rsidR="00946CAD" w:rsidRPr="00935D5B" w:rsidDel="00935D5B">
        <w:rPr>
          <w:rFonts w:ascii="Arial Narrow" w:hAnsi="Arial Narrow" w:cs="Arial"/>
          <w:sz w:val="22"/>
          <w:szCs w:val="22"/>
        </w:rPr>
        <w:t xml:space="preserve"> </w:t>
      </w:r>
    </w:p>
    <w:p w14:paraId="731E3E03" w14:textId="77777777" w:rsidR="00946CAD" w:rsidRPr="001E42C9" w:rsidRDefault="00946CAD" w:rsidP="00946CAD">
      <w:pPr>
        <w:pStyle w:val="NormalWeb"/>
        <w:spacing w:before="0" w:beforeAutospacing="0" w:after="0" w:afterAutospacing="0"/>
        <w:jc w:val="both"/>
        <w:rPr>
          <w:rFonts w:ascii="Arial Narrow" w:hAnsi="Arial Narrow" w:cs="Arial"/>
          <w:sz w:val="22"/>
          <w:szCs w:val="22"/>
        </w:rPr>
      </w:pPr>
    </w:p>
    <w:p w14:paraId="6A3DEE0D" w14:textId="77777777" w:rsidR="00946CAD" w:rsidRDefault="00946CAD" w:rsidP="00946CAD">
      <w:pPr>
        <w:pStyle w:val="NormalWeb"/>
        <w:spacing w:before="0" w:beforeAutospacing="0" w:after="0" w:afterAutospacing="0"/>
        <w:jc w:val="both"/>
        <w:rPr>
          <w:rFonts w:ascii="Arial Narrow" w:hAnsi="Arial Narrow" w:cs="Arial"/>
          <w:sz w:val="22"/>
          <w:szCs w:val="22"/>
        </w:rPr>
      </w:pPr>
    </w:p>
    <w:p w14:paraId="64E25764" w14:textId="77777777" w:rsidR="00946CAD" w:rsidRPr="001E42C9" w:rsidRDefault="00946CAD" w:rsidP="00946CAD">
      <w:pPr>
        <w:pStyle w:val="NormalWeb"/>
        <w:spacing w:before="0" w:beforeAutospacing="0" w:after="0" w:afterAutospacing="0"/>
        <w:jc w:val="both"/>
        <w:rPr>
          <w:rFonts w:ascii="Arial Narrow" w:hAnsi="Arial Narrow" w:cs="Arial"/>
          <w:sz w:val="22"/>
          <w:szCs w:val="22"/>
        </w:rPr>
      </w:pPr>
    </w:p>
    <w:p w14:paraId="5A3F7C08" w14:textId="77777777" w:rsidR="00946CAD" w:rsidRDefault="00946CAD" w:rsidP="00946CAD">
      <w:pPr>
        <w:pStyle w:val="NormalWeb"/>
        <w:spacing w:before="0" w:beforeAutospacing="0" w:after="0" w:afterAutospacing="0"/>
        <w:jc w:val="both"/>
        <w:rPr>
          <w:rFonts w:ascii="Arial Narrow" w:hAnsi="Arial Narrow" w:cs="Arial"/>
          <w:sz w:val="22"/>
          <w:szCs w:val="22"/>
        </w:rPr>
      </w:pPr>
    </w:p>
    <w:p w14:paraId="50861D8A" w14:textId="3DDBD043" w:rsidR="00946CAD" w:rsidRPr="001E42C9" w:rsidRDefault="00C81FBB"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EVELYN JULIO ESTRADA</w:t>
      </w:r>
      <w:bookmarkStart w:id="0" w:name="_GoBack"/>
      <w:bookmarkEnd w:id="0"/>
    </w:p>
    <w:p w14:paraId="442820C8" w14:textId="77777777" w:rsidR="00946CAD" w:rsidRPr="001E42C9" w:rsidRDefault="00946CAD" w:rsidP="00946CAD">
      <w:pPr>
        <w:pStyle w:val="NormalWeb"/>
        <w:spacing w:before="0" w:beforeAutospacing="0" w:after="0" w:afterAutospacing="0"/>
        <w:jc w:val="both"/>
        <w:rPr>
          <w:rFonts w:ascii="Arial Narrow" w:hAnsi="Arial Narrow" w:cs="Arial"/>
          <w:b/>
          <w:sz w:val="22"/>
          <w:szCs w:val="22"/>
        </w:rPr>
      </w:pPr>
      <w:r w:rsidRPr="001E42C9">
        <w:rPr>
          <w:rFonts w:ascii="Arial Narrow" w:hAnsi="Arial Narrow" w:cs="Arial"/>
          <w:sz w:val="22"/>
          <w:szCs w:val="22"/>
        </w:rPr>
        <w:t>Jefe Oficina Asesora Jurídica</w:t>
      </w:r>
    </w:p>
    <w:p w14:paraId="527E76D7" w14:textId="77777777" w:rsidR="00946CAD" w:rsidRDefault="00946CAD" w:rsidP="00946CAD">
      <w:pPr>
        <w:pStyle w:val="NormalWeb"/>
        <w:spacing w:before="0" w:beforeAutospacing="0" w:after="0" w:afterAutospacing="0"/>
        <w:ind w:left="708"/>
        <w:jc w:val="both"/>
        <w:rPr>
          <w:rFonts w:ascii="Arial Narrow" w:hAnsi="Arial Narrow" w:cs="Arial"/>
          <w:sz w:val="22"/>
          <w:szCs w:val="22"/>
        </w:rPr>
      </w:pPr>
    </w:p>
    <w:p w14:paraId="58A1FC4E" w14:textId="77777777" w:rsidR="00946CAD" w:rsidRPr="001E42C9" w:rsidRDefault="00946CAD" w:rsidP="00946CAD">
      <w:pPr>
        <w:pStyle w:val="NormalWeb"/>
        <w:spacing w:before="0" w:beforeAutospacing="0" w:after="0" w:afterAutospacing="0"/>
        <w:jc w:val="both"/>
        <w:rPr>
          <w:rFonts w:ascii="Arial Narrow" w:hAnsi="Arial Narrow" w:cs="Arial"/>
          <w:sz w:val="22"/>
          <w:szCs w:val="22"/>
        </w:rPr>
      </w:pPr>
    </w:p>
    <w:p w14:paraId="5959333F" w14:textId="77777777" w:rsidR="00946CAD" w:rsidRPr="001E42C9" w:rsidRDefault="00946CAD" w:rsidP="00946CAD">
      <w:pPr>
        <w:pStyle w:val="NormalWeb"/>
        <w:spacing w:before="0" w:beforeAutospacing="0" w:after="0" w:afterAutospacing="0"/>
        <w:jc w:val="both"/>
        <w:rPr>
          <w:rFonts w:ascii="Arial Narrow" w:hAnsi="Arial Narrow" w:cs="Arial"/>
          <w:sz w:val="16"/>
          <w:szCs w:val="16"/>
        </w:rPr>
      </w:pPr>
    </w:p>
    <w:p w14:paraId="4E0FDBD7" w14:textId="0D7FCBFB" w:rsidR="00946CAD" w:rsidRPr="001E42C9" w:rsidRDefault="00946CAD" w:rsidP="00946CAD">
      <w:pPr>
        <w:pStyle w:val="NormalWeb"/>
        <w:spacing w:before="0" w:beforeAutospacing="0" w:after="0" w:afterAutospacing="0"/>
        <w:jc w:val="both"/>
        <w:rPr>
          <w:rFonts w:ascii="Arial Narrow" w:hAnsi="Arial Narrow" w:cs="Arial"/>
          <w:sz w:val="16"/>
          <w:szCs w:val="16"/>
        </w:rPr>
      </w:pPr>
      <w:r w:rsidRPr="001E42C9">
        <w:rPr>
          <w:rFonts w:ascii="Arial Narrow" w:hAnsi="Arial Narrow" w:cs="Arial"/>
          <w:sz w:val="16"/>
          <w:szCs w:val="16"/>
        </w:rPr>
        <w:t xml:space="preserve">Elaboró: </w:t>
      </w:r>
      <w:r w:rsidRPr="001E42C9">
        <w:rPr>
          <w:rFonts w:ascii="Arial Narrow" w:hAnsi="Arial Narrow" w:cs="Arial"/>
          <w:sz w:val="16"/>
          <w:szCs w:val="16"/>
        </w:rPr>
        <w:tab/>
      </w:r>
      <w:r w:rsidR="00945923">
        <w:rPr>
          <w:rFonts w:ascii="Arial Narrow" w:hAnsi="Arial Narrow" w:cs="Arial"/>
          <w:sz w:val="16"/>
          <w:szCs w:val="16"/>
        </w:rPr>
        <w:t>Gloria Liliana Calderón Cruz</w:t>
      </w:r>
    </w:p>
    <w:p w14:paraId="5171ACC8" w14:textId="77777777" w:rsidR="00946CAD" w:rsidRDefault="00946CAD" w:rsidP="00946CAD">
      <w:pPr>
        <w:pStyle w:val="NormalWeb"/>
        <w:spacing w:before="0" w:beforeAutospacing="0" w:after="0" w:afterAutospacing="0"/>
        <w:jc w:val="both"/>
        <w:rPr>
          <w:rFonts w:ascii="Arial Narrow" w:hAnsi="Arial Narrow" w:cs="Arial"/>
          <w:sz w:val="16"/>
          <w:szCs w:val="16"/>
        </w:rPr>
      </w:pPr>
    </w:p>
    <w:p w14:paraId="10FE6128" w14:textId="350FAC3D" w:rsidR="00946CAD" w:rsidRPr="001E42C9" w:rsidRDefault="00946CAD" w:rsidP="00946CAD">
      <w:pPr>
        <w:jc w:val="both"/>
        <w:rPr>
          <w:rFonts w:ascii="Arial Narrow" w:hAnsi="Arial Narrow" w:cs="Arial"/>
          <w:b/>
          <w:color w:val="000000"/>
          <w:sz w:val="22"/>
          <w:szCs w:val="22"/>
        </w:rPr>
      </w:pPr>
    </w:p>
    <w:sectPr w:rsidR="00946CAD" w:rsidRPr="001E42C9">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1DED1" w14:textId="77777777" w:rsidR="001B5B9B" w:rsidRDefault="001B5B9B" w:rsidP="001C31D5">
      <w:r>
        <w:separator/>
      </w:r>
    </w:p>
  </w:endnote>
  <w:endnote w:type="continuationSeparator" w:id="0">
    <w:p w14:paraId="1E2B76DB" w14:textId="77777777" w:rsidR="001B5B9B" w:rsidRDefault="001B5B9B"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74BF3DC4" w14:textId="77777777" w:rsidR="007C7CBF" w:rsidRDefault="007C7CBF" w:rsidP="00CB061F">
            <w:pPr>
              <w:pStyle w:val="Piedepgina"/>
              <w:rPr>
                <w:rFonts w:ascii="Arial Narrow" w:hAnsi="Arial Narrow"/>
                <w:sz w:val="16"/>
                <w:szCs w:val="16"/>
              </w:rPr>
            </w:pPr>
          </w:p>
          <w:p w14:paraId="67B18DE0" w14:textId="01323B0B" w:rsidR="007C7CBF" w:rsidRDefault="007C7CBF"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t>GJU-TIC-FM-010</w:t>
            </w:r>
          </w:p>
          <w:p w14:paraId="219CA604" w14:textId="77777777" w:rsidR="007C7CBF" w:rsidRPr="00374DDE" w:rsidRDefault="007C7CB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1199A08D" w14:textId="77777777" w:rsidR="007C7CBF" w:rsidRDefault="007C7C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D517B" w14:textId="77777777" w:rsidR="001B5B9B" w:rsidRDefault="001B5B9B" w:rsidP="001C31D5">
      <w:r>
        <w:separator/>
      </w:r>
    </w:p>
  </w:footnote>
  <w:footnote w:type="continuationSeparator" w:id="0">
    <w:p w14:paraId="4F1A5FBD" w14:textId="77777777" w:rsidR="001B5B9B" w:rsidRDefault="001B5B9B"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0259"/>
    </w:tblGrid>
    <w:tr w:rsidR="007C7CBF" w:rsidRPr="00384075" w14:paraId="29472F42" w14:textId="77777777" w:rsidTr="001F260D">
      <w:trPr>
        <w:trHeight w:val="565"/>
        <w:jc w:val="center"/>
      </w:trPr>
      <w:tc>
        <w:tcPr>
          <w:tcW w:w="9889" w:type="dxa"/>
          <w:vAlign w:val="center"/>
        </w:tcPr>
        <w:p w14:paraId="5F64F310" w14:textId="77777777" w:rsidR="007C7CBF" w:rsidRPr="00384075" w:rsidRDefault="007C7CBF"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761"/>
            <w:gridCol w:w="4719"/>
            <w:gridCol w:w="1553"/>
          </w:tblGrid>
          <w:tr w:rsidR="007C7CBF" w14:paraId="30C77FDE" w14:textId="77777777" w:rsidTr="007C7CBF">
            <w:trPr>
              <w:trHeight w:val="1275"/>
            </w:trPr>
            <w:tc>
              <w:tcPr>
                <w:tcW w:w="2183" w:type="dxa"/>
                <w:vAlign w:val="center"/>
              </w:tcPr>
              <w:p w14:paraId="3ECD9C75" w14:textId="77777777" w:rsidR="007C7CBF" w:rsidRDefault="007C7CBF" w:rsidP="00282E9D">
                <w:pPr>
                  <w:pStyle w:val="Encabezado"/>
                  <w:jc w:val="center"/>
                </w:pPr>
                <w:r>
                  <w:rPr>
                    <w:noProof/>
                    <w:lang w:val="es-CO" w:eastAsia="es-CO"/>
                  </w:rPr>
                  <w:drawing>
                    <wp:anchor distT="0" distB="0" distL="114300" distR="114300" simplePos="0" relativeHeight="251658240" behindDoc="0" locked="0" layoutInCell="1" allowOverlap="1" wp14:anchorId="00BCB176" wp14:editId="61F0A5AD">
                      <wp:simplePos x="0" y="0"/>
                      <wp:positionH relativeFrom="column">
                        <wp:posOffset>29210</wp:posOffset>
                      </wp:positionH>
                      <wp:positionV relativeFrom="paragraph">
                        <wp:posOffset>-469900</wp:posOffset>
                      </wp:positionV>
                      <wp:extent cx="2251075" cy="5778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4" w:type="dxa"/>
                <w:vAlign w:val="center"/>
              </w:tcPr>
              <w:p w14:paraId="70F800B4" w14:textId="77777777" w:rsidR="007C7CBF" w:rsidRPr="00B924CA" w:rsidRDefault="007C7CBF" w:rsidP="00282E9D">
                <w:pPr>
                  <w:jc w:val="center"/>
                  <w:rPr>
                    <w:rFonts w:ascii="Arial Narrow" w:hAnsi="Arial Narrow"/>
                  </w:rPr>
                </w:pPr>
                <w:r>
                  <w:rPr>
                    <w:rFonts w:ascii="Arial Narrow" w:hAnsi="Arial Narrow"/>
                  </w:rPr>
                  <w:t>SOPORTE TÉCNICO</w:t>
                </w:r>
              </w:p>
            </w:tc>
            <w:tc>
              <w:tcPr>
                <w:tcW w:w="1586" w:type="dxa"/>
                <w:vAlign w:val="center"/>
              </w:tcPr>
              <w:p w14:paraId="753FEF2D" w14:textId="77777777" w:rsidR="007C7CBF" w:rsidRDefault="007C7CBF" w:rsidP="00282E9D">
                <w:pPr>
                  <w:pStyle w:val="Encabezado"/>
                  <w:jc w:val="center"/>
                </w:pPr>
                <w:r w:rsidRPr="004161E7">
                  <w:rPr>
                    <w:noProof/>
                    <w:lang w:val="es-CO" w:eastAsia="es-CO"/>
                  </w:rPr>
                  <w:drawing>
                    <wp:inline distT="0" distB="0" distL="0" distR="0" wp14:anchorId="6810C553" wp14:editId="666EE089">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813E7D" w14:textId="77777777" w:rsidR="007C7CBF" w:rsidRPr="00384075" w:rsidRDefault="007C7CBF" w:rsidP="009320D2">
          <w:pPr>
            <w:pStyle w:val="Estilo2"/>
            <w:numPr>
              <w:ilvl w:val="0"/>
              <w:numId w:val="0"/>
            </w:numPr>
            <w:ind w:left="360"/>
            <w:jc w:val="right"/>
            <w:rPr>
              <w:rFonts w:ascii="Arial" w:hAnsi="Arial" w:cs="Arial"/>
            </w:rPr>
          </w:pPr>
        </w:p>
      </w:tc>
    </w:tr>
  </w:tbl>
  <w:p w14:paraId="2AECB58B" w14:textId="77777777" w:rsidR="007C7CBF" w:rsidRPr="00874DE8" w:rsidRDefault="007C7CBF"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3"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7811DB3"/>
    <w:multiLevelType w:val="multilevel"/>
    <w:tmpl w:val="0C0A001F"/>
    <w:numStyleLink w:val="Estilo1"/>
  </w:abstractNum>
  <w:abstractNum w:abstractNumId="20"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21"/>
  </w:num>
  <w:num w:numId="5">
    <w:abstractNumId w:val="13"/>
  </w:num>
  <w:num w:numId="6">
    <w:abstractNumId w:val="5"/>
  </w:num>
  <w:num w:numId="7">
    <w:abstractNumId w:val="3"/>
  </w:num>
  <w:num w:numId="8">
    <w:abstractNumId w:val="7"/>
  </w:num>
  <w:num w:numId="9">
    <w:abstractNumId w:val="22"/>
  </w:num>
  <w:num w:numId="10">
    <w:abstractNumId w:val="23"/>
  </w:num>
  <w:num w:numId="11">
    <w:abstractNumId w:val="10"/>
  </w:num>
  <w:num w:numId="12">
    <w:abstractNumId w:val="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5"/>
  </w:num>
  <w:num w:numId="17">
    <w:abstractNumId w:val="2"/>
  </w:num>
  <w:num w:numId="18">
    <w:abstractNumId w:val="4"/>
  </w:num>
  <w:num w:numId="19">
    <w:abstractNumId w:val="25"/>
  </w:num>
  <w:num w:numId="20">
    <w:abstractNumId w:val="11"/>
  </w:num>
  <w:num w:numId="21">
    <w:abstractNumId w:val="24"/>
  </w:num>
  <w:num w:numId="22">
    <w:abstractNumId w:val="19"/>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7"/>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06085"/>
    <w:rsid w:val="0000738B"/>
    <w:rsid w:val="000120CA"/>
    <w:rsid w:val="0001689A"/>
    <w:rsid w:val="00021C86"/>
    <w:rsid w:val="00024ED9"/>
    <w:rsid w:val="000273A7"/>
    <w:rsid w:val="0003154E"/>
    <w:rsid w:val="00032BAD"/>
    <w:rsid w:val="000401A2"/>
    <w:rsid w:val="000427CC"/>
    <w:rsid w:val="0004302A"/>
    <w:rsid w:val="0004629C"/>
    <w:rsid w:val="00046747"/>
    <w:rsid w:val="00054427"/>
    <w:rsid w:val="000608B6"/>
    <w:rsid w:val="0006278E"/>
    <w:rsid w:val="0006775E"/>
    <w:rsid w:val="00077BE8"/>
    <w:rsid w:val="00080C96"/>
    <w:rsid w:val="0008272E"/>
    <w:rsid w:val="000875DA"/>
    <w:rsid w:val="0009167E"/>
    <w:rsid w:val="00092248"/>
    <w:rsid w:val="000A39C2"/>
    <w:rsid w:val="000B6016"/>
    <w:rsid w:val="000B7E58"/>
    <w:rsid w:val="000C0C67"/>
    <w:rsid w:val="000C0EF5"/>
    <w:rsid w:val="000C0FAE"/>
    <w:rsid w:val="000C1429"/>
    <w:rsid w:val="000C5D78"/>
    <w:rsid w:val="000D0767"/>
    <w:rsid w:val="000D0A08"/>
    <w:rsid w:val="000E1562"/>
    <w:rsid w:val="001004BB"/>
    <w:rsid w:val="001015D4"/>
    <w:rsid w:val="001037F9"/>
    <w:rsid w:val="00107C29"/>
    <w:rsid w:val="001117EE"/>
    <w:rsid w:val="00112DEF"/>
    <w:rsid w:val="00116683"/>
    <w:rsid w:val="00116D73"/>
    <w:rsid w:val="001248E7"/>
    <w:rsid w:val="00127B40"/>
    <w:rsid w:val="00132DB9"/>
    <w:rsid w:val="0013318A"/>
    <w:rsid w:val="00137878"/>
    <w:rsid w:val="00145A25"/>
    <w:rsid w:val="0014615D"/>
    <w:rsid w:val="00153619"/>
    <w:rsid w:val="00154889"/>
    <w:rsid w:val="001549E2"/>
    <w:rsid w:val="00156622"/>
    <w:rsid w:val="0015786D"/>
    <w:rsid w:val="0016385A"/>
    <w:rsid w:val="00166506"/>
    <w:rsid w:val="001735FB"/>
    <w:rsid w:val="00175AB9"/>
    <w:rsid w:val="001901F2"/>
    <w:rsid w:val="00194B79"/>
    <w:rsid w:val="001A20FC"/>
    <w:rsid w:val="001A5BB4"/>
    <w:rsid w:val="001B18A5"/>
    <w:rsid w:val="001B5B9B"/>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268B"/>
    <w:rsid w:val="002137A2"/>
    <w:rsid w:val="00214BE5"/>
    <w:rsid w:val="0021700F"/>
    <w:rsid w:val="002213F4"/>
    <w:rsid w:val="00233523"/>
    <w:rsid w:val="00241307"/>
    <w:rsid w:val="002414CE"/>
    <w:rsid w:val="00245AEA"/>
    <w:rsid w:val="00252479"/>
    <w:rsid w:val="00254FA4"/>
    <w:rsid w:val="0026691C"/>
    <w:rsid w:val="00266AB4"/>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635F"/>
    <w:rsid w:val="00336A51"/>
    <w:rsid w:val="00337724"/>
    <w:rsid w:val="0034181D"/>
    <w:rsid w:val="003428A6"/>
    <w:rsid w:val="00346A5F"/>
    <w:rsid w:val="00350A0A"/>
    <w:rsid w:val="00350EDB"/>
    <w:rsid w:val="00351B59"/>
    <w:rsid w:val="00354B2A"/>
    <w:rsid w:val="00355222"/>
    <w:rsid w:val="00355D96"/>
    <w:rsid w:val="0035653E"/>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D7BD6"/>
    <w:rsid w:val="003E79D4"/>
    <w:rsid w:val="003F264E"/>
    <w:rsid w:val="00401BA5"/>
    <w:rsid w:val="00405AB0"/>
    <w:rsid w:val="004125D5"/>
    <w:rsid w:val="00412DB2"/>
    <w:rsid w:val="004156EA"/>
    <w:rsid w:val="004168B7"/>
    <w:rsid w:val="004207CA"/>
    <w:rsid w:val="00422BC6"/>
    <w:rsid w:val="00427037"/>
    <w:rsid w:val="00427232"/>
    <w:rsid w:val="00427F4B"/>
    <w:rsid w:val="00430770"/>
    <w:rsid w:val="00431C52"/>
    <w:rsid w:val="004352FB"/>
    <w:rsid w:val="00440ADD"/>
    <w:rsid w:val="00452299"/>
    <w:rsid w:val="00455320"/>
    <w:rsid w:val="0045740E"/>
    <w:rsid w:val="00461A98"/>
    <w:rsid w:val="00466896"/>
    <w:rsid w:val="0047246C"/>
    <w:rsid w:val="0047247E"/>
    <w:rsid w:val="004821B1"/>
    <w:rsid w:val="00484BE0"/>
    <w:rsid w:val="0048716A"/>
    <w:rsid w:val="0048734C"/>
    <w:rsid w:val="00491171"/>
    <w:rsid w:val="00493D34"/>
    <w:rsid w:val="004958F3"/>
    <w:rsid w:val="004B7188"/>
    <w:rsid w:val="004C6AD7"/>
    <w:rsid w:val="004C6F8E"/>
    <w:rsid w:val="004D058F"/>
    <w:rsid w:val="004F00EB"/>
    <w:rsid w:val="004F02E8"/>
    <w:rsid w:val="004F37DF"/>
    <w:rsid w:val="004F682A"/>
    <w:rsid w:val="004F6933"/>
    <w:rsid w:val="0050295C"/>
    <w:rsid w:val="005071A1"/>
    <w:rsid w:val="0051216F"/>
    <w:rsid w:val="00513E59"/>
    <w:rsid w:val="00522088"/>
    <w:rsid w:val="00530D64"/>
    <w:rsid w:val="00535C61"/>
    <w:rsid w:val="00541183"/>
    <w:rsid w:val="00543916"/>
    <w:rsid w:val="005451D9"/>
    <w:rsid w:val="00551441"/>
    <w:rsid w:val="00554CD6"/>
    <w:rsid w:val="00557059"/>
    <w:rsid w:val="00566B9B"/>
    <w:rsid w:val="00566E67"/>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489B"/>
    <w:rsid w:val="00697AA7"/>
    <w:rsid w:val="006A2956"/>
    <w:rsid w:val="006A5ACB"/>
    <w:rsid w:val="006A7EFA"/>
    <w:rsid w:val="006B2DE7"/>
    <w:rsid w:val="006B4EE7"/>
    <w:rsid w:val="006B74B3"/>
    <w:rsid w:val="006C0EF2"/>
    <w:rsid w:val="006D0894"/>
    <w:rsid w:val="006D134A"/>
    <w:rsid w:val="006D159D"/>
    <w:rsid w:val="006D1D8D"/>
    <w:rsid w:val="00705A02"/>
    <w:rsid w:val="00723936"/>
    <w:rsid w:val="00726CF3"/>
    <w:rsid w:val="007318F3"/>
    <w:rsid w:val="0074092B"/>
    <w:rsid w:val="00741CAA"/>
    <w:rsid w:val="00744882"/>
    <w:rsid w:val="0074671A"/>
    <w:rsid w:val="0074690B"/>
    <w:rsid w:val="00747206"/>
    <w:rsid w:val="00762043"/>
    <w:rsid w:val="00762E92"/>
    <w:rsid w:val="007650C4"/>
    <w:rsid w:val="00780350"/>
    <w:rsid w:val="007828D9"/>
    <w:rsid w:val="007833BA"/>
    <w:rsid w:val="007844D4"/>
    <w:rsid w:val="00794273"/>
    <w:rsid w:val="007A2F5C"/>
    <w:rsid w:val="007A30D7"/>
    <w:rsid w:val="007A550B"/>
    <w:rsid w:val="007A6819"/>
    <w:rsid w:val="007B07D3"/>
    <w:rsid w:val="007B235B"/>
    <w:rsid w:val="007B44E6"/>
    <w:rsid w:val="007B5737"/>
    <w:rsid w:val="007B6B07"/>
    <w:rsid w:val="007C7CBF"/>
    <w:rsid w:val="007D3C2F"/>
    <w:rsid w:val="007D50F2"/>
    <w:rsid w:val="007E3076"/>
    <w:rsid w:val="007E5F98"/>
    <w:rsid w:val="007E6370"/>
    <w:rsid w:val="007F535C"/>
    <w:rsid w:val="008014A7"/>
    <w:rsid w:val="008053BB"/>
    <w:rsid w:val="008064B1"/>
    <w:rsid w:val="00813742"/>
    <w:rsid w:val="00815637"/>
    <w:rsid w:val="00816419"/>
    <w:rsid w:val="00821CFA"/>
    <w:rsid w:val="008221E4"/>
    <w:rsid w:val="00833FCC"/>
    <w:rsid w:val="00841BBA"/>
    <w:rsid w:val="00846F21"/>
    <w:rsid w:val="0085318E"/>
    <w:rsid w:val="00853A13"/>
    <w:rsid w:val="00857B6D"/>
    <w:rsid w:val="008678F9"/>
    <w:rsid w:val="00874071"/>
    <w:rsid w:val="00874DE8"/>
    <w:rsid w:val="008833CB"/>
    <w:rsid w:val="00890CC3"/>
    <w:rsid w:val="008938CD"/>
    <w:rsid w:val="008A2F81"/>
    <w:rsid w:val="008A640D"/>
    <w:rsid w:val="008B351D"/>
    <w:rsid w:val="008B47C7"/>
    <w:rsid w:val="008C63C3"/>
    <w:rsid w:val="008C7913"/>
    <w:rsid w:val="008D332C"/>
    <w:rsid w:val="008D5401"/>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20D2"/>
    <w:rsid w:val="00935D5B"/>
    <w:rsid w:val="00940CB0"/>
    <w:rsid w:val="00942F6C"/>
    <w:rsid w:val="00945923"/>
    <w:rsid w:val="00946CAD"/>
    <w:rsid w:val="00963170"/>
    <w:rsid w:val="0096517E"/>
    <w:rsid w:val="00975F46"/>
    <w:rsid w:val="00980FF9"/>
    <w:rsid w:val="009836B2"/>
    <w:rsid w:val="009850CE"/>
    <w:rsid w:val="009853C4"/>
    <w:rsid w:val="009868AB"/>
    <w:rsid w:val="009965B8"/>
    <w:rsid w:val="009A27F7"/>
    <w:rsid w:val="009A4300"/>
    <w:rsid w:val="009A501B"/>
    <w:rsid w:val="009A7A29"/>
    <w:rsid w:val="009B1537"/>
    <w:rsid w:val="009B2738"/>
    <w:rsid w:val="009B3501"/>
    <w:rsid w:val="009B3539"/>
    <w:rsid w:val="009B4162"/>
    <w:rsid w:val="009C0D0B"/>
    <w:rsid w:val="009C121F"/>
    <w:rsid w:val="009C6135"/>
    <w:rsid w:val="009D1616"/>
    <w:rsid w:val="009D7CC2"/>
    <w:rsid w:val="009E4F5E"/>
    <w:rsid w:val="009F1799"/>
    <w:rsid w:val="009F3BCA"/>
    <w:rsid w:val="009F47D9"/>
    <w:rsid w:val="009F4BD9"/>
    <w:rsid w:val="009F51E5"/>
    <w:rsid w:val="00A0412A"/>
    <w:rsid w:val="00A101E4"/>
    <w:rsid w:val="00A16CAA"/>
    <w:rsid w:val="00A231F9"/>
    <w:rsid w:val="00A27723"/>
    <w:rsid w:val="00A32DCD"/>
    <w:rsid w:val="00A3369E"/>
    <w:rsid w:val="00A37F21"/>
    <w:rsid w:val="00A54D45"/>
    <w:rsid w:val="00A56858"/>
    <w:rsid w:val="00A60FF8"/>
    <w:rsid w:val="00A61292"/>
    <w:rsid w:val="00A62280"/>
    <w:rsid w:val="00A62E66"/>
    <w:rsid w:val="00A70B13"/>
    <w:rsid w:val="00A720A4"/>
    <w:rsid w:val="00A76820"/>
    <w:rsid w:val="00A819EC"/>
    <w:rsid w:val="00A90069"/>
    <w:rsid w:val="00A90D93"/>
    <w:rsid w:val="00A967FD"/>
    <w:rsid w:val="00AB032F"/>
    <w:rsid w:val="00AB1070"/>
    <w:rsid w:val="00AB1F9F"/>
    <w:rsid w:val="00AB6CC2"/>
    <w:rsid w:val="00AB7A93"/>
    <w:rsid w:val="00AD4282"/>
    <w:rsid w:val="00AE0B9D"/>
    <w:rsid w:val="00AE3C74"/>
    <w:rsid w:val="00AF0356"/>
    <w:rsid w:val="00AF254C"/>
    <w:rsid w:val="00AF3EB6"/>
    <w:rsid w:val="00B01E85"/>
    <w:rsid w:val="00B04D6A"/>
    <w:rsid w:val="00B11AC7"/>
    <w:rsid w:val="00B11DBD"/>
    <w:rsid w:val="00B16DC4"/>
    <w:rsid w:val="00B1763D"/>
    <w:rsid w:val="00B17B94"/>
    <w:rsid w:val="00B17D4B"/>
    <w:rsid w:val="00B24F3F"/>
    <w:rsid w:val="00B26B5A"/>
    <w:rsid w:val="00B2721C"/>
    <w:rsid w:val="00B34B70"/>
    <w:rsid w:val="00B443C1"/>
    <w:rsid w:val="00B51CD1"/>
    <w:rsid w:val="00B5450E"/>
    <w:rsid w:val="00B545E6"/>
    <w:rsid w:val="00B55046"/>
    <w:rsid w:val="00B70E32"/>
    <w:rsid w:val="00B74B50"/>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C00287"/>
    <w:rsid w:val="00C01927"/>
    <w:rsid w:val="00C02FCB"/>
    <w:rsid w:val="00C03D15"/>
    <w:rsid w:val="00C14381"/>
    <w:rsid w:val="00C14F9E"/>
    <w:rsid w:val="00C17ED7"/>
    <w:rsid w:val="00C20B2F"/>
    <w:rsid w:val="00C20EDC"/>
    <w:rsid w:val="00C223DF"/>
    <w:rsid w:val="00C318B9"/>
    <w:rsid w:val="00C334F8"/>
    <w:rsid w:val="00C4025B"/>
    <w:rsid w:val="00C450E3"/>
    <w:rsid w:val="00C46816"/>
    <w:rsid w:val="00C52CE6"/>
    <w:rsid w:val="00C62A4B"/>
    <w:rsid w:val="00C645AB"/>
    <w:rsid w:val="00C649DD"/>
    <w:rsid w:val="00C729A9"/>
    <w:rsid w:val="00C75BB1"/>
    <w:rsid w:val="00C75DE1"/>
    <w:rsid w:val="00C77EB2"/>
    <w:rsid w:val="00C81FBB"/>
    <w:rsid w:val="00C968B3"/>
    <w:rsid w:val="00CA57AF"/>
    <w:rsid w:val="00CA5E3A"/>
    <w:rsid w:val="00CB061F"/>
    <w:rsid w:val="00CB0EFF"/>
    <w:rsid w:val="00CB7256"/>
    <w:rsid w:val="00CD2E3D"/>
    <w:rsid w:val="00CD663A"/>
    <w:rsid w:val="00CD772D"/>
    <w:rsid w:val="00CE33B5"/>
    <w:rsid w:val="00CF0E14"/>
    <w:rsid w:val="00CF1CF3"/>
    <w:rsid w:val="00CF1D1E"/>
    <w:rsid w:val="00CF4000"/>
    <w:rsid w:val="00CF470D"/>
    <w:rsid w:val="00CF5F3F"/>
    <w:rsid w:val="00CF66B4"/>
    <w:rsid w:val="00CF73F0"/>
    <w:rsid w:val="00CF7CFB"/>
    <w:rsid w:val="00D05FD8"/>
    <w:rsid w:val="00D126AA"/>
    <w:rsid w:val="00D303F7"/>
    <w:rsid w:val="00D50118"/>
    <w:rsid w:val="00D50BF3"/>
    <w:rsid w:val="00D66F58"/>
    <w:rsid w:val="00D70557"/>
    <w:rsid w:val="00D72684"/>
    <w:rsid w:val="00D73110"/>
    <w:rsid w:val="00D738CA"/>
    <w:rsid w:val="00D76A5B"/>
    <w:rsid w:val="00D77190"/>
    <w:rsid w:val="00D83A60"/>
    <w:rsid w:val="00D96C20"/>
    <w:rsid w:val="00DA715A"/>
    <w:rsid w:val="00DB075A"/>
    <w:rsid w:val="00DB4753"/>
    <w:rsid w:val="00DB6670"/>
    <w:rsid w:val="00DB6763"/>
    <w:rsid w:val="00DC1908"/>
    <w:rsid w:val="00DD1D7A"/>
    <w:rsid w:val="00DD7D74"/>
    <w:rsid w:val="00DE0D32"/>
    <w:rsid w:val="00DE1443"/>
    <w:rsid w:val="00DE43C7"/>
    <w:rsid w:val="00DF3786"/>
    <w:rsid w:val="00DF659D"/>
    <w:rsid w:val="00DF71DB"/>
    <w:rsid w:val="00DF7381"/>
    <w:rsid w:val="00DF7654"/>
    <w:rsid w:val="00E04916"/>
    <w:rsid w:val="00E20879"/>
    <w:rsid w:val="00E21E32"/>
    <w:rsid w:val="00E22E09"/>
    <w:rsid w:val="00E2419B"/>
    <w:rsid w:val="00E30D7F"/>
    <w:rsid w:val="00E41D10"/>
    <w:rsid w:val="00E44BD0"/>
    <w:rsid w:val="00E45C6A"/>
    <w:rsid w:val="00E5688A"/>
    <w:rsid w:val="00E6090B"/>
    <w:rsid w:val="00E6543A"/>
    <w:rsid w:val="00E8220A"/>
    <w:rsid w:val="00E87813"/>
    <w:rsid w:val="00E973F3"/>
    <w:rsid w:val="00EA2D7B"/>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F07FAC"/>
    <w:rsid w:val="00F12154"/>
    <w:rsid w:val="00F156B0"/>
    <w:rsid w:val="00F20557"/>
    <w:rsid w:val="00F3466D"/>
    <w:rsid w:val="00F41800"/>
    <w:rsid w:val="00F516DB"/>
    <w:rsid w:val="00F55C14"/>
    <w:rsid w:val="00F57DA2"/>
    <w:rsid w:val="00F64435"/>
    <w:rsid w:val="00F81894"/>
    <w:rsid w:val="00F82506"/>
    <w:rsid w:val="00F95E1F"/>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2F8B5E"/>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uiPriority w:val="99"/>
    <w:rsid w:val="001C31D5"/>
    <w:rPr>
      <w:rFonts w:eastAsia="Times New Roman"/>
      <w:sz w:val="20"/>
      <w:szCs w:val="20"/>
      <w:lang w:val="x-none" w:eastAsia="es-ES"/>
    </w:rPr>
  </w:style>
  <w:style w:type="character" w:customStyle="1" w:styleId="TextonotapieCar">
    <w:name w:val="Texto nota pie Car"/>
    <w:link w:val="Textonotapie"/>
    <w:uiPriority w:val="99"/>
    <w:rsid w:val="001C31D5"/>
    <w:rPr>
      <w:rFonts w:ascii="Times New Roman" w:eastAsia="Times New Roman" w:hAnsi="Times New Roman" w:cs="Times New Roman"/>
      <w:sz w:val="20"/>
      <w:szCs w:val="20"/>
      <w:lang w:eastAsia="es-ES"/>
    </w:rPr>
  </w:style>
  <w:style w:type="character" w:styleId="Refdenotaalpie">
    <w:name w:val="footnote reference"/>
    <w:uiPriority w:val="99"/>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97627">
      <w:bodyDiv w:val="1"/>
      <w:marLeft w:val="0"/>
      <w:marRight w:val="0"/>
      <w:marTop w:val="0"/>
      <w:marBottom w:val="0"/>
      <w:divBdr>
        <w:top w:val="none" w:sz="0" w:space="0" w:color="auto"/>
        <w:left w:val="none" w:sz="0" w:space="0" w:color="auto"/>
        <w:bottom w:val="none" w:sz="0" w:space="0" w:color="auto"/>
        <w:right w:val="none" w:sz="0" w:space="0" w:color="auto"/>
      </w:divBdr>
    </w:div>
    <w:div w:id="138305093">
      <w:bodyDiv w:val="1"/>
      <w:marLeft w:val="0"/>
      <w:marRight w:val="0"/>
      <w:marTop w:val="0"/>
      <w:marBottom w:val="0"/>
      <w:divBdr>
        <w:top w:val="none" w:sz="0" w:space="0" w:color="auto"/>
        <w:left w:val="none" w:sz="0" w:space="0" w:color="auto"/>
        <w:bottom w:val="none" w:sz="0" w:space="0" w:color="auto"/>
        <w:right w:val="none" w:sz="0" w:space="0" w:color="auto"/>
      </w:divBdr>
    </w:div>
    <w:div w:id="215170562">
      <w:bodyDiv w:val="1"/>
      <w:marLeft w:val="0"/>
      <w:marRight w:val="0"/>
      <w:marTop w:val="0"/>
      <w:marBottom w:val="0"/>
      <w:divBdr>
        <w:top w:val="none" w:sz="0" w:space="0" w:color="auto"/>
        <w:left w:val="none" w:sz="0" w:space="0" w:color="auto"/>
        <w:bottom w:val="none" w:sz="0" w:space="0" w:color="auto"/>
        <w:right w:val="none" w:sz="0" w:space="0" w:color="auto"/>
      </w:divBdr>
    </w:div>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77260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71343798">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73737311">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249342712">
      <w:bodyDiv w:val="1"/>
      <w:marLeft w:val="0"/>
      <w:marRight w:val="0"/>
      <w:marTop w:val="0"/>
      <w:marBottom w:val="0"/>
      <w:divBdr>
        <w:top w:val="none" w:sz="0" w:space="0" w:color="auto"/>
        <w:left w:val="none" w:sz="0" w:space="0" w:color="auto"/>
        <w:bottom w:val="none" w:sz="0" w:space="0" w:color="auto"/>
        <w:right w:val="none" w:sz="0" w:space="0" w:color="auto"/>
      </w:divBdr>
    </w:div>
    <w:div w:id="140248657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 w:id="1561213068">
      <w:bodyDiv w:val="1"/>
      <w:marLeft w:val="0"/>
      <w:marRight w:val="0"/>
      <w:marTop w:val="0"/>
      <w:marBottom w:val="0"/>
      <w:divBdr>
        <w:top w:val="none" w:sz="0" w:space="0" w:color="auto"/>
        <w:left w:val="none" w:sz="0" w:space="0" w:color="auto"/>
        <w:bottom w:val="none" w:sz="0" w:space="0" w:color="auto"/>
        <w:right w:val="none" w:sz="0" w:space="0" w:color="auto"/>
      </w:divBdr>
    </w:div>
    <w:div w:id="173469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26CAD-9465-4A51-B22C-E65D1FB47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1557</Words>
  <Characters>8564</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Maria Fernanda Suarez Celly</cp:lastModifiedBy>
  <cp:revision>10</cp:revision>
  <cp:lastPrinted>2015-12-03T17:27:00Z</cp:lastPrinted>
  <dcterms:created xsi:type="dcterms:W3CDTF">2019-08-13T11:59:00Z</dcterms:created>
  <dcterms:modified xsi:type="dcterms:W3CDTF">2019-10-11T14:44:00Z</dcterms:modified>
</cp:coreProperties>
</file>