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99920" w14:textId="10878BC0" w:rsidR="00916E2B" w:rsidRPr="00C46703"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C46703">
        <w:rPr>
          <w:rFonts w:ascii="Arial Narrow" w:eastAsia="Batang" w:hAnsi="Arial Narrow" w:cs="Arial"/>
          <w:b/>
          <w:caps/>
          <w:sz w:val="22"/>
          <w:szCs w:val="22"/>
          <w:lang w:eastAsia="ko-KR"/>
        </w:rPr>
        <w:t xml:space="preserve">Proyecto de </w:t>
      </w:r>
      <w:r w:rsidR="0023508E">
        <w:rPr>
          <w:rFonts w:ascii="Arial Narrow" w:eastAsia="Batang" w:hAnsi="Arial Narrow" w:cs="Arial"/>
          <w:b/>
          <w:caps/>
          <w:sz w:val="22"/>
          <w:szCs w:val="22"/>
          <w:lang w:eastAsia="ko-KR"/>
        </w:rPr>
        <w:t>RESOLUCIÓN</w:t>
      </w:r>
    </w:p>
    <w:p w14:paraId="0C84543E" w14:textId="77777777" w:rsidR="00C46816" w:rsidRPr="00C46703"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BA08C7D" w14:textId="2DCFD143" w:rsidR="00DB4753" w:rsidRPr="00C46703" w:rsidRDefault="00C46816" w:rsidP="00DB4753">
      <w:pPr>
        <w:pStyle w:val="NormalWeb"/>
        <w:spacing w:before="0" w:beforeAutospacing="0" w:after="0" w:afterAutospacing="0"/>
        <w:ind w:firstLine="708"/>
        <w:jc w:val="center"/>
        <w:rPr>
          <w:rFonts w:ascii="Arial Narrow" w:hAnsi="Arial Narrow" w:cs="Arial"/>
          <w:sz w:val="22"/>
          <w:szCs w:val="22"/>
        </w:rPr>
      </w:pPr>
      <w:r w:rsidRPr="00C46703">
        <w:rPr>
          <w:rFonts w:ascii="Arial Narrow" w:eastAsia="Batang" w:hAnsi="Arial Narrow" w:cs="Arial"/>
          <w:b/>
          <w:caps/>
          <w:sz w:val="22"/>
          <w:szCs w:val="22"/>
          <w:lang w:eastAsia="ko-KR"/>
        </w:rPr>
        <w:t>“</w:t>
      </w:r>
      <w:r w:rsidR="0023508E" w:rsidRPr="0023508E">
        <w:rPr>
          <w:rFonts w:ascii="Arial Narrow" w:hAnsi="Arial Narrow" w:cs="Arial"/>
          <w:i/>
          <w:sz w:val="22"/>
          <w:szCs w:val="22"/>
          <w:lang w:val="es-CO"/>
        </w:rPr>
        <w:t>Por medio de la cual se modifica el artículo 2 de la Resolución 0290 de 2010 para fijar la tasa de contraprestación periódica única de que tratan los artículos 10 y 36 de la Ley 1341 de 2009</w:t>
      </w:r>
      <w:r w:rsidRPr="00C46703">
        <w:rPr>
          <w:rFonts w:ascii="Arial Narrow" w:eastAsia="Batang" w:hAnsi="Arial Narrow" w:cs="Arial"/>
          <w:b/>
          <w:caps/>
          <w:sz w:val="22"/>
          <w:szCs w:val="22"/>
          <w:lang w:eastAsia="ko-KR"/>
        </w:rPr>
        <w:t>”</w:t>
      </w:r>
    </w:p>
    <w:p w14:paraId="03568792" w14:textId="77777777" w:rsidR="00C46816" w:rsidRPr="00C46703" w:rsidRDefault="00C46816" w:rsidP="00C203D1">
      <w:pPr>
        <w:jc w:val="both"/>
        <w:rPr>
          <w:rFonts w:ascii="Arial Narrow" w:hAnsi="Arial Narrow" w:cs="Arial"/>
          <w:b/>
          <w:color w:val="000000"/>
          <w:sz w:val="22"/>
          <w:szCs w:val="22"/>
        </w:rPr>
      </w:pPr>
    </w:p>
    <w:p w14:paraId="299BA1FD" w14:textId="54069720" w:rsidR="00C46816" w:rsidRPr="00C46703" w:rsidRDefault="00C46816" w:rsidP="00C46816">
      <w:pPr>
        <w:jc w:val="center"/>
        <w:rPr>
          <w:rFonts w:ascii="Arial Narrow" w:hAnsi="Arial Narrow" w:cs="Arial"/>
          <w:b/>
          <w:sz w:val="22"/>
          <w:szCs w:val="22"/>
        </w:rPr>
      </w:pPr>
      <w:r w:rsidRPr="00C46703">
        <w:rPr>
          <w:rFonts w:ascii="Arial Narrow" w:hAnsi="Arial Narrow" w:cs="Arial"/>
          <w:b/>
          <w:sz w:val="22"/>
          <w:szCs w:val="22"/>
        </w:rPr>
        <w:t xml:space="preserve">Bogotá D.C., </w:t>
      </w:r>
      <w:r w:rsidR="00884903">
        <w:rPr>
          <w:rFonts w:ascii="Arial Narrow" w:hAnsi="Arial Narrow" w:cs="Arial"/>
          <w:b/>
          <w:sz w:val="22"/>
          <w:szCs w:val="22"/>
        </w:rPr>
        <w:t>enero de 2020</w:t>
      </w:r>
    </w:p>
    <w:p w14:paraId="3458E5E8" w14:textId="77777777" w:rsidR="00C46816" w:rsidRPr="00C46703" w:rsidRDefault="00C46816" w:rsidP="00C46816">
      <w:pPr>
        <w:jc w:val="both"/>
        <w:rPr>
          <w:rFonts w:ascii="Arial Narrow" w:hAnsi="Arial Narrow" w:cs="Arial"/>
          <w:b/>
          <w:sz w:val="22"/>
          <w:szCs w:val="22"/>
        </w:rPr>
      </w:pPr>
    </w:p>
    <w:p w14:paraId="5178CFDE" w14:textId="77777777" w:rsidR="00584CD6" w:rsidRPr="00C46703" w:rsidRDefault="00584CD6" w:rsidP="00584CD6">
      <w:pPr>
        <w:ind w:left="705" w:hanging="705"/>
        <w:rPr>
          <w:rFonts w:ascii="Arial Narrow" w:hAnsi="Arial Narrow" w:cs="Arial"/>
          <w:b/>
          <w:sz w:val="22"/>
          <w:szCs w:val="22"/>
          <w:lang w:val="es-ES_tradnl"/>
        </w:rPr>
      </w:pPr>
      <w:r w:rsidRPr="00C46703">
        <w:rPr>
          <w:rFonts w:ascii="Arial Narrow" w:hAnsi="Arial Narrow" w:cs="Arial"/>
          <w:b/>
          <w:sz w:val="22"/>
          <w:szCs w:val="22"/>
          <w:lang w:val="es-ES_tradnl"/>
        </w:rPr>
        <w:t>1.</w:t>
      </w:r>
      <w:r w:rsidRPr="00C46703">
        <w:rPr>
          <w:rFonts w:ascii="Arial Narrow" w:hAnsi="Arial Narrow" w:cs="Arial"/>
          <w:b/>
          <w:sz w:val="22"/>
          <w:szCs w:val="22"/>
          <w:lang w:val="es-ES_tradnl"/>
        </w:rPr>
        <w:tab/>
        <w:t>Antecedentes y las razones de oportunidad y conveniencia que justifican la expedición de la norma</w:t>
      </w:r>
    </w:p>
    <w:p w14:paraId="22CB68A4" w14:textId="77777777" w:rsidR="00584CD6" w:rsidRPr="00C46703" w:rsidRDefault="00584CD6" w:rsidP="00584CD6">
      <w:pPr>
        <w:jc w:val="both"/>
        <w:rPr>
          <w:rFonts w:ascii="Arial Narrow" w:hAnsi="Arial Narrow" w:cs="Arial"/>
          <w:sz w:val="22"/>
          <w:szCs w:val="22"/>
          <w:lang w:val="es-ES_tradnl"/>
        </w:rPr>
      </w:pPr>
    </w:p>
    <w:p w14:paraId="08FA00A4"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r>
        <w:rPr>
          <w:rFonts w:ascii="Arial Narrow" w:hAnsi="Arial Narrow" w:cs="Arial"/>
          <w:sz w:val="22"/>
          <w:szCs w:val="22"/>
        </w:rPr>
        <w:t xml:space="preserve">Mediante la Resolución 290 de 2010, modificada por las Resoluciones 486 de 2010, 2877 de 2011, 1824 de 2018 y 2734 de 2019, el Ministerio de Tecnologías de la Información y las Comunicaciones estableció el </w:t>
      </w:r>
      <w:r w:rsidRPr="00DB7B42">
        <w:rPr>
          <w:rFonts w:ascii="Arial Narrow" w:hAnsi="Arial Narrow" w:cs="Arial"/>
          <w:sz w:val="22"/>
          <w:szCs w:val="22"/>
        </w:rPr>
        <w:t>monto de las contraprestaciones establecidas en los artículos 13 y 36 de la Le</w:t>
      </w:r>
      <w:r>
        <w:rPr>
          <w:rFonts w:ascii="Arial Narrow" w:hAnsi="Arial Narrow" w:cs="Arial"/>
          <w:sz w:val="22"/>
          <w:szCs w:val="22"/>
        </w:rPr>
        <w:t xml:space="preserve">y </w:t>
      </w:r>
      <w:r w:rsidRPr="00DB7B42">
        <w:rPr>
          <w:rFonts w:ascii="Arial Narrow" w:hAnsi="Arial Narrow" w:cs="Arial"/>
          <w:sz w:val="22"/>
          <w:szCs w:val="22"/>
        </w:rPr>
        <w:t>1341 de 2009.</w:t>
      </w:r>
      <w:r w:rsidRPr="00DB7B42">
        <w:rPr>
          <w:rFonts w:ascii="Arial Narrow" w:hAnsi="Arial Narrow" w:cs="Arial"/>
          <w:sz w:val="22"/>
          <w:szCs w:val="22"/>
        </w:rPr>
        <w:cr/>
      </w:r>
    </w:p>
    <w:p w14:paraId="79F7519E"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r>
        <w:rPr>
          <w:rFonts w:ascii="Arial Narrow" w:hAnsi="Arial Narrow" w:cs="Arial"/>
          <w:sz w:val="22"/>
          <w:szCs w:val="22"/>
        </w:rPr>
        <w:t xml:space="preserve">El artículo 10 de la Ley 1341 de 2009, fue modificado por el artículo 7 de la Ley 1978 de 2019, y dispone que </w:t>
      </w:r>
      <w:r w:rsidRPr="00B70D40">
        <w:rPr>
          <w:rFonts w:ascii="Arial Narrow" w:hAnsi="Arial Narrow" w:cs="Arial"/>
          <w:sz w:val="22"/>
          <w:szCs w:val="22"/>
        </w:rPr>
        <w:t>la provisión de redes y servicios de telecomunicaciones</w:t>
      </w:r>
      <w:r>
        <w:rPr>
          <w:rFonts w:ascii="Arial Narrow" w:hAnsi="Arial Narrow" w:cs="Arial"/>
          <w:sz w:val="22"/>
          <w:szCs w:val="22"/>
        </w:rPr>
        <w:t xml:space="preserve"> </w:t>
      </w:r>
      <w:r w:rsidRPr="00B70D40">
        <w:rPr>
          <w:rFonts w:ascii="Arial Narrow" w:hAnsi="Arial Narrow" w:cs="Arial"/>
          <w:sz w:val="22"/>
          <w:szCs w:val="22"/>
        </w:rPr>
        <w:t xml:space="preserve">causará una contraprestación periódica a favor del Fondo Único de Tecnologías de la Información y las Comunicaciones. </w:t>
      </w:r>
    </w:p>
    <w:p w14:paraId="20031A85"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p>
    <w:p w14:paraId="321D1BE3"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r>
        <w:rPr>
          <w:rFonts w:ascii="Arial Narrow" w:hAnsi="Arial Narrow" w:cs="Arial"/>
          <w:sz w:val="22"/>
          <w:szCs w:val="22"/>
        </w:rPr>
        <w:t>El artículo 13 de la Ley 1341 de 2009, según fue modificado por el artículo 10 de la Ley 1978 de 2019, determina que l</w:t>
      </w:r>
      <w:r w:rsidRPr="00283D2E">
        <w:rPr>
          <w:rFonts w:ascii="Arial Narrow" w:hAnsi="Arial Narrow" w:cs="Arial"/>
          <w:sz w:val="22"/>
          <w:szCs w:val="22"/>
        </w:rPr>
        <w:t xml:space="preserve">a contraprestación económica </w:t>
      </w:r>
      <w:r>
        <w:rPr>
          <w:rFonts w:ascii="Arial Narrow" w:hAnsi="Arial Narrow" w:cs="Arial"/>
          <w:sz w:val="22"/>
          <w:szCs w:val="22"/>
        </w:rPr>
        <w:t>por el uso del espectro radioeléctrico que debe</w:t>
      </w:r>
      <w:r w:rsidRPr="00283D2E">
        <w:rPr>
          <w:rFonts w:ascii="Arial Narrow" w:hAnsi="Arial Narrow" w:cs="Arial"/>
          <w:sz w:val="22"/>
          <w:szCs w:val="22"/>
        </w:rPr>
        <w:t xml:space="preserve"> pagarse por el respectivo proveedor de redes o servicio</w:t>
      </w:r>
      <w:r>
        <w:rPr>
          <w:rFonts w:ascii="Arial Narrow" w:hAnsi="Arial Narrow" w:cs="Arial"/>
          <w:sz w:val="22"/>
          <w:szCs w:val="22"/>
        </w:rPr>
        <w:t>s</w:t>
      </w:r>
      <w:r w:rsidRPr="00283D2E">
        <w:rPr>
          <w:rFonts w:ascii="Arial Narrow" w:hAnsi="Arial Narrow" w:cs="Arial"/>
          <w:sz w:val="22"/>
          <w:szCs w:val="22"/>
        </w:rPr>
        <w:t xml:space="preserve"> de telecomunicaciones con ocasión del otorgamiento o renovación del permiso para la utilización del espectro radioeléctrico</w:t>
      </w:r>
      <w:r>
        <w:rPr>
          <w:rFonts w:ascii="Arial Narrow" w:hAnsi="Arial Narrow" w:cs="Arial"/>
          <w:sz w:val="22"/>
          <w:szCs w:val="22"/>
        </w:rPr>
        <w:t xml:space="preserve"> </w:t>
      </w:r>
      <w:r w:rsidRPr="00283D2E">
        <w:rPr>
          <w:rFonts w:ascii="Arial Narrow" w:hAnsi="Arial Narrow" w:cs="Arial"/>
          <w:sz w:val="22"/>
          <w:szCs w:val="22"/>
        </w:rPr>
        <w:t>podrá pagarse parcialmente, hasta un 60</w:t>
      </w:r>
      <w:r>
        <w:rPr>
          <w:rFonts w:ascii="Arial Narrow" w:hAnsi="Arial Narrow" w:cs="Arial"/>
          <w:sz w:val="22"/>
          <w:szCs w:val="22"/>
        </w:rPr>
        <w:t xml:space="preserve"> </w:t>
      </w:r>
      <w:r w:rsidRPr="00283D2E">
        <w:rPr>
          <w:rFonts w:ascii="Arial Narrow" w:hAnsi="Arial Narrow" w:cs="Arial"/>
          <w:sz w:val="22"/>
          <w:szCs w:val="22"/>
        </w:rPr>
        <w:t xml:space="preserve">% del monto total, mediante la ejecución de obligaciones de hacer, que serán previamente autorizadas por el Ministerio de Tecnologías de la Información y las Comunicaciones, </w:t>
      </w:r>
      <w:r>
        <w:rPr>
          <w:rFonts w:ascii="Arial Narrow" w:hAnsi="Arial Narrow" w:cs="Arial"/>
          <w:sz w:val="22"/>
          <w:szCs w:val="22"/>
        </w:rPr>
        <w:t xml:space="preserve">y </w:t>
      </w:r>
      <w:r w:rsidRPr="00283D2E">
        <w:rPr>
          <w:rFonts w:ascii="Arial Narrow" w:hAnsi="Arial Narrow" w:cs="Arial"/>
          <w:sz w:val="22"/>
          <w:szCs w:val="22"/>
        </w:rPr>
        <w:t>de acuerdo con la reglamentación que se defina al respecto.</w:t>
      </w:r>
      <w:r>
        <w:rPr>
          <w:rFonts w:ascii="Arial Narrow" w:hAnsi="Arial Narrow" w:cs="Arial"/>
          <w:sz w:val="22"/>
          <w:szCs w:val="22"/>
        </w:rPr>
        <w:t xml:space="preserve"> Por lo anterior, el legislador únicamente autorizó el pago mediante obligaciones de hacer de la contraprestación económica por el uso del espectro radioeléctrico.</w:t>
      </w:r>
    </w:p>
    <w:p w14:paraId="21C39674"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p>
    <w:p w14:paraId="676FA273"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r>
        <w:rPr>
          <w:rFonts w:ascii="Arial Narrow" w:hAnsi="Arial Narrow" w:cs="Arial"/>
          <w:sz w:val="22"/>
          <w:szCs w:val="22"/>
        </w:rPr>
        <w:t>E</w:t>
      </w:r>
      <w:r w:rsidRPr="00381E07">
        <w:rPr>
          <w:rFonts w:ascii="Arial Narrow" w:hAnsi="Arial Narrow" w:cs="Arial"/>
          <w:sz w:val="22"/>
          <w:szCs w:val="22"/>
        </w:rPr>
        <w:t>l artículo 3</w:t>
      </w:r>
      <w:r>
        <w:rPr>
          <w:rFonts w:ascii="Arial Narrow" w:hAnsi="Arial Narrow" w:cs="Arial"/>
          <w:sz w:val="22"/>
          <w:szCs w:val="22"/>
        </w:rPr>
        <w:t>6</w:t>
      </w:r>
      <w:r w:rsidRPr="00381E07">
        <w:rPr>
          <w:rFonts w:ascii="Arial Narrow" w:hAnsi="Arial Narrow" w:cs="Arial"/>
          <w:sz w:val="22"/>
          <w:szCs w:val="22"/>
        </w:rPr>
        <w:t xml:space="preserve"> de la Ley 1341 de 2009, </w:t>
      </w:r>
      <w:r>
        <w:rPr>
          <w:rFonts w:ascii="Arial Narrow" w:hAnsi="Arial Narrow" w:cs="Arial"/>
          <w:sz w:val="22"/>
          <w:szCs w:val="22"/>
        </w:rPr>
        <w:t xml:space="preserve">fue </w:t>
      </w:r>
      <w:r w:rsidRPr="00381E07">
        <w:rPr>
          <w:rFonts w:ascii="Arial Narrow" w:hAnsi="Arial Narrow" w:cs="Arial"/>
          <w:sz w:val="22"/>
          <w:szCs w:val="22"/>
        </w:rPr>
        <w:t>modificado por el artículo 2</w:t>
      </w:r>
      <w:r>
        <w:rPr>
          <w:rFonts w:ascii="Arial Narrow" w:hAnsi="Arial Narrow" w:cs="Arial"/>
          <w:sz w:val="22"/>
          <w:szCs w:val="22"/>
        </w:rPr>
        <w:t>3</w:t>
      </w:r>
      <w:r w:rsidRPr="00381E07">
        <w:rPr>
          <w:rFonts w:ascii="Arial Narrow" w:hAnsi="Arial Narrow" w:cs="Arial"/>
          <w:sz w:val="22"/>
          <w:szCs w:val="22"/>
        </w:rPr>
        <w:t xml:space="preserve"> de la Ley 1978 de 2019, </w:t>
      </w:r>
      <w:r>
        <w:rPr>
          <w:rFonts w:ascii="Arial Narrow" w:hAnsi="Arial Narrow" w:cs="Arial"/>
          <w:sz w:val="22"/>
          <w:szCs w:val="22"/>
        </w:rPr>
        <w:t>e indica que el</w:t>
      </w:r>
      <w:r w:rsidRPr="00DB7B42">
        <w:rPr>
          <w:rFonts w:ascii="Arial Narrow" w:hAnsi="Arial Narrow" w:cs="Arial"/>
          <w:sz w:val="22"/>
          <w:szCs w:val="22"/>
        </w:rPr>
        <w:t xml:space="preserve"> valor de la contraprestación a cargo de los proveedores</w:t>
      </w:r>
      <w:r>
        <w:rPr>
          <w:rFonts w:ascii="Arial Narrow" w:hAnsi="Arial Narrow" w:cs="Arial"/>
          <w:sz w:val="22"/>
          <w:szCs w:val="22"/>
        </w:rPr>
        <w:t>, por la habilitación general de que trata el artículo 10 de la Ley 1341 de 2009,</w:t>
      </w:r>
      <w:r w:rsidRPr="00DB7B42">
        <w:rPr>
          <w:rFonts w:ascii="Arial Narrow" w:hAnsi="Arial Narrow" w:cs="Arial"/>
          <w:sz w:val="22"/>
          <w:szCs w:val="22"/>
        </w:rPr>
        <w:t xml:space="preserve"> se fijará como un único porcentaje sobre sus ingresos brutos por concepto de la provisión de redes y servicios excluyendo terminales. En el caso de los servicios de televisión incluye los ingresos por concepto de pauta publicitaria y terminales. Para el caso del servicio de televisión abierta radiodifundida, prestado por aquellos operadores que permanezcan en el régimen de transición de habilitación, y del servicio de radiodifusión sonora, el valor de la contraprestación se regirá por las normas especiales pertinentes.</w:t>
      </w:r>
    </w:p>
    <w:p w14:paraId="40B80C77" w14:textId="77777777" w:rsidR="0023508E" w:rsidRDefault="0023508E" w:rsidP="0023508E">
      <w:pPr>
        <w:pStyle w:val="NormalWeb"/>
        <w:tabs>
          <w:tab w:val="left" w:pos="-3686"/>
        </w:tabs>
        <w:spacing w:before="0" w:beforeAutospacing="0" w:after="0" w:afterAutospacing="0"/>
        <w:jc w:val="both"/>
        <w:rPr>
          <w:rFonts w:ascii="Arial Narrow" w:hAnsi="Arial Narrow" w:cs="Arial"/>
          <w:sz w:val="22"/>
          <w:szCs w:val="22"/>
        </w:rPr>
      </w:pPr>
    </w:p>
    <w:p w14:paraId="6FC30047" w14:textId="77777777" w:rsidR="0023508E" w:rsidRPr="00DB7B42" w:rsidRDefault="0023508E" w:rsidP="0023508E">
      <w:pPr>
        <w:pStyle w:val="NormalWeb"/>
        <w:tabs>
          <w:tab w:val="left" w:pos="-3686"/>
        </w:tabs>
        <w:spacing w:before="0" w:beforeAutospacing="0" w:after="0" w:afterAutospacing="0"/>
        <w:jc w:val="both"/>
        <w:rPr>
          <w:rFonts w:ascii="Arial Narrow" w:hAnsi="Arial Narrow" w:cs="Arial"/>
          <w:sz w:val="22"/>
          <w:szCs w:val="22"/>
        </w:rPr>
      </w:pPr>
      <w:r w:rsidRPr="00DB7B42">
        <w:rPr>
          <w:rFonts w:ascii="Arial Narrow" w:hAnsi="Arial Narrow" w:cs="Arial"/>
          <w:sz w:val="22"/>
          <w:szCs w:val="22"/>
        </w:rPr>
        <w:t>E</w:t>
      </w:r>
      <w:r>
        <w:rPr>
          <w:rFonts w:ascii="Arial Narrow" w:hAnsi="Arial Narrow" w:cs="Arial"/>
          <w:sz w:val="22"/>
          <w:szCs w:val="22"/>
        </w:rPr>
        <w:t>l mismo artículo dispone que e</w:t>
      </w:r>
      <w:r w:rsidRPr="00DB7B42">
        <w:rPr>
          <w:rFonts w:ascii="Arial Narrow" w:hAnsi="Arial Narrow" w:cs="Arial"/>
          <w:sz w:val="22"/>
          <w:szCs w:val="22"/>
        </w:rPr>
        <w:t>l Ministerio de Tecnologías de la Información y las Comunicaciones determinará el valor de la contraprestación periódica única, mediante acto administrativo motivado, previa la realización de un estudio</w:t>
      </w:r>
      <w:r>
        <w:rPr>
          <w:rFonts w:ascii="Arial Narrow" w:hAnsi="Arial Narrow" w:cs="Arial"/>
          <w:sz w:val="22"/>
          <w:szCs w:val="22"/>
        </w:rPr>
        <w:t xml:space="preserve"> </w:t>
      </w:r>
      <w:r w:rsidRPr="00DB7B42">
        <w:rPr>
          <w:rFonts w:ascii="Arial Narrow" w:hAnsi="Arial Narrow" w:cs="Arial"/>
          <w:sz w:val="22"/>
          <w:szCs w:val="22"/>
        </w:rPr>
        <w:t>que incluya el plan de inversiones del Fondo Único de Tecnologías de la Información y las Comunicaciones, el estado del cierre de la brecha digital del país y esté soportado en estudios de mercado.</w:t>
      </w:r>
      <w:r>
        <w:rPr>
          <w:rFonts w:ascii="Arial Narrow" w:hAnsi="Arial Narrow" w:cs="Arial"/>
          <w:sz w:val="22"/>
          <w:szCs w:val="22"/>
        </w:rPr>
        <w:t xml:space="preserve"> Así mismo, el valor de esta contraprestación </w:t>
      </w:r>
      <w:r w:rsidRPr="00DB7B42">
        <w:rPr>
          <w:rFonts w:ascii="Arial Narrow" w:hAnsi="Arial Narrow" w:cs="Arial"/>
          <w:sz w:val="22"/>
          <w:szCs w:val="22"/>
        </w:rPr>
        <w:t>no podrá ser superior al de la contraprestación periódica establecida a favor del Fondo de las Tecnologías de la Información y las Comunicaciones a</w:t>
      </w:r>
      <w:r>
        <w:rPr>
          <w:rFonts w:ascii="Arial Narrow" w:hAnsi="Arial Narrow" w:cs="Arial"/>
          <w:sz w:val="22"/>
          <w:szCs w:val="22"/>
        </w:rPr>
        <w:t>l 25 de julio de 2019,</w:t>
      </w:r>
      <w:r w:rsidRPr="00DB7B42">
        <w:rPr>
          <w:rFonts w:ascii="Arial Narrow" w:hAnsi="Arial Narrow" w:cs="Arial"/>
          <w:sz w:val="22"/>
          <w:szCs w:val="22"/>
        </w:rPr>
        <w:t xml:space="preserve"> fecha de vigencia de la </w:t>
      </w:r>
      <w:r>
        <w:rPr>
          <w:rFonts w:ascii="Arial Narrow" w:hAnsi="Arial Narrow" w:cs="Arial"/>
          <w:sz w:val="22"/>
          <w:szCs w:val="22"/>
        </w:rPr>
        <w:t>Ley 1978</w:t>
      </w:r>
      <w:r w:rsidRPr="00DB7B42">
        <w:rPr>
          <w:rFonts w:ascii="Arial Narrow" w:hAnsi="Arial Narrow" w:cs="Arial"/>
          <w:sz w:val="22"/>
          <w:szCs w:val="22"/>
        </w:rPr>
        <w:t>.</w:t>
      </w:r>
    </w:p>
    <w:p w14:paraId="26EE95D6" w14:textId="77777777" w:rsidR="0023508E" w:rsidRDefault="0023508E" w:rsidP="0023508E">
      <w:pPr>
        <w:pStyle w:val="NormalWeb"/>
        <w:tabs>
          <w:tab w:val="left" w:pos="-3686"/>
        </w:tabs>
        <w:spacing w:after="0"/>
        <w:jc w:val="both"/>
        <w:rPr>
          <w:rFonts w:ascii="Arial Narrow" w:hAnsi="Arial Narrow" w:cs="Arial"/>
          <w:sz w:val="22"/>
          <w:szCs w:val="22"/>
        </w:rPr>
      </w:pPr>
      <w:r>
        <w:rPr>
          <w:rFonts w:ascii="Arial Narrow" w:hAnsi="Arial Narrow" w:cs="Arial"/>
          <w:sz w:val="22"/>
          <w:szCs w:val="22"/>
        </w:rPr>
        <w:t>El Ministerio de Tecnologías de la Información y las Comunicaciones realizó el estudio “D</w:t>
      </w:r>
      <w:r w:rsidRPr="00DB7B42">
        <w:rPr>
          <w:rFonts w:ascii="Arial Narrow" w:hAnsi="Arial Narrow" w:cs="Arial"/>
          <w:sz w:val="22"/>
          <w:szCs w:val="22"/>
        </w:rPr>
        <w:t>efinición para de la tasa de</w:t>
      </w:r>
      <w:r>
        <w:rPr>
          <w:rFonts w:ascii="Arial Narrow" w:hAnsi="Arial Narrow" w:cs="Arial"/>
          <w:sz w:val="22"/>
          <w:szCs w:val="22"/>
        </w:rPr>
        <w:t xml:space="preserve"> </w:t>
      </w:r>
      <w:r w:rsidRPr="00DB7B42">
        <w:rPr>
          <w:rFonts w:ascii="Arial Narrow" w:hAnsi="Arial Narrow" w:cs="Arial"/>
          <w:sz w:val="22"/>
          <w:szCs w:val="22"/>
        </w:rPr>
        <w:t>contraprestación periódica única para el período 2020 - 2023</w:t>
      </w:r>
      <w:r>
        <w:rPr>
          <w:rFonts w:ascii="Arial Narrow" w:hAnsi="Arial Narrow" w:cs="Arial"/>
          <w:sz w:val="22"/>
          <w:szCs w:val="22"/>
        </w:rPr>
        <w:t>” en el que analiza la e</w:t>
      </w:r>
      <w:r w:rsidRPr="00C36C5A">
        <w:rPr>
          <w:rFonts w:ascii="Arial Narrow" w:hAnsi="Arial Narrow" w:cs="Arial"/>
          <w:sz w:val="22"/>
          <w:szCs w:val="22"/>
        </w:rPr>
        <w:t>structura de las</w:t>
      </w:r>
      <w:r>
        <w:rPr>
          <w:rFonts w:ascii="Arial Narrow" w:hAnsi="Arial Narrow" w:cs="Arial"/>
          <w:sz w:val="22"/>
          <w:szCs w:val="22"/>
        </w:rPr>
        <w:t xml:space="preserve"> </w:t>
      </w:r>
      <w:r w:rsidRPr="00C36C5A">
        <w:rPr>
          <w:rFonts w:ascii="Arial Narrow" w:hAnsi="Arial Narrow" w:cs="Arial"/>
          <w:sz w:val="22"/>
          <w:szCs w:val="22"/>
        </w:rPr>
        <w:t xml:space="preserve">contraprestaciones al </w:t>
      </w:r>
      <w:r>
        <w:rPr>
          <w:rFonts w:ascii="Arial Narrow" w:hAnsi="Arial Narrow" w:cs="Arial"/>
          <w:sz w:val="22"/>
          <w:szCs w:val="22"/>
        </w:rPr>
        <w:t xml:space="preserve">Fondo Único de Tecnologías de la Información y las Comunicaciones y sus fuentes de recursos con corte a </w:t>
      </w:r>
      <w:r w:rsidRPr="00C36C5A">
        <w:rPr>
          <w:rFonts w:ascii="Arial Narrow" w:hAnsi="Arial Narrow" w:cs="Arial"/>
          <w:sz w:val="22"/>
          <w:szCs w:val="22"/>
        </w:rPr>
        <w:t>diciembre de 2019</w:t>
      </w:r>
      <w:r>
        <w:rPr>
          <w:rFonts w:ascii="Arial Narrow" w:hAnsi="Arial Narrow" w:cs="Arial"/>
          <w:sz w:val="22"/>
          <w:szCs w:val="22"/>
        </w:rPr>
        <w:t>,</w:t>
      </w:r>
      <w:r w:rsidRPr="00C36C5A">
        <w:rPr>
          <w:rFonts w:ascii="Arial Narrow" w:hAnsi="Arial Narrow" w:cs="Arial"/>
          <w:sz w:val="22"/>
          <w:szCs w:val="22"/>
        </w:rPr>
        <w:t xml:space="preserve"> </w:t>
      </w:r>
      <w:r>
        <w:rPr>
          <w:rFonts w:ascii="Arial Narrow" w:hAnsi="Arial Narrow" w:cs="Arial"/>
          <w:sz w:val="22"/>
          <w:szCs w:val="22"/>
        </w:rPr>
        <w:t xml:space="preserve">realiza la </w:t>
      </w:r>
      <w:r w:rsidRPr="00C36C5A">
        <w:rPr>
          <w:rFonts w:ascii="Arial Narrow" w:hAnsi="Arial Narrow" w:cs="Arial"/>
          <w:sz w:val="22"/>
          <w:szCs w:val="22"/>
        </w:rPr>
        <w:t xml:space="preserve">proyección de los recursos para el período 2020 </w:t>
      </w:r>
      <w:r>
        <w:rPr>
          <w:rFonts w:ascii="Arial Narrow" w:hAnsi="Arial Narrow" w:cs="Arial"/>
          <w:sz w:val="22"/>
          <w:szCs w:val="22"/>
        </w:rPr>
        <w:t>–</w:t>
      </w:r>
      <w:r w:rsidRPr="00C36C5A">
        <w:rPr>
          <w:rFonts w:ascii="Arial Narrow" w:hAnsi="Arial Narrow" w:cs="Arial"/>
          <w:sz w:val="22"/>
          <w:szCs w:val="22"/>
        </w:rPr>
        <w:t xml:space="preserve"> 2023</w:t>
      </w:r>
      <w:r>
        <w:rPr>
          <w:rFonts w:ascii="Arial Narrow" w:hAnsi="Arial Narrow" w:cs="Arial"/>
          <w:sz w:val="22"/>
          <w:szCs w:val="22"/>
        </w:rPr>
        <w:t>, el estado de cierre de la brecha digital, analiza la estructura del mercado del Sector de Tecnologías de la Información y las Comunicaciones y su capacidad de generación de ingresos para el mismo periodo, así como las inversiones estimadas, como soporte para determinar la tasa de contraprestación periódica única al Fondo Único de Tecnologías de la Información y las Comunicaciones.</w:t>
      </w:r>
    </w:p>
    <w:p w14:paraId="29F6F7E7" w14:textId="77777777" w:rsidR="0023508E" w:rsidRPr="00DB7B42" w:rsidRDefault="0023508E" w:rsidP="0023508E">
      <w:pPr>
        <w:tabs>
          <w:tab w:val="left" w:pos="-3686"/>
        </w:tabs>
        <w:rPr>
          <w:rFonts w:ascii="Arial Narrow" w:hAnsi="Arial Narrow" w:cs="Arial"/>
          <w:bCs/>
          <w:sz w:val="22"/>
          <w:szCs w:val="22"/>
        </w:rPr>
      </w:pPr>
      <w:r>
        <w:rPr>
          <w:rFonts w:ascii="Arial Narrow" w:hAnsi="Arial Narrow" w:cs="Arial"/>
          <w:bCs/>
          <w:sz w:val="22"/>
          <w:szCs w:val="22"/>
        </w:rPr>
        <w:lastRenderedPageBreak/>
        <w:t xml:space="preserve">De acuerdo con las anteriores consideraciones, es necesario modificar la Resolución 290 de 2010 para fijar la tasa de contraprestación periódica única </w:t>
      </w:r>
      <w:r w:rsidRPr="00DB7B42">
        <w:rPr>
          <w:rFonts w:ascii="Arial Narrow" w:hAnsi="Arial Narrow" w:cs="Arial"/>
          <w:bCs/>
          <w:sz w:val="22"/>
          <w:szCs w:val="22"/>
        </w:rPr>
        <w:t>de que tratan los artículos 10 y 36 de la Ley 1341 de 2009</w:t>
      </w:r>
      <w:r>
        <w:rPr>
          <w:rFonts w:ascii="Arial Narrow" w:hAnsi="Arial Narrow" w:cs="Arial"/>
          <w:bCs/>
          <w:sz w:val="22"/>
          <w:szCs w:val="22"/>
        </w:rPr>
        <w:t>, de acuerdo con el mandato definido en la Ley 1978 de 2019.</w:t>
      </w:r>
    </w:p>
    <w:p w14:paraId="46509413" w14:textId="77777777" w:rsidR="00C24080" w:rsidRPr="00C24080" w:rsidRDefault="00C24080" w:rsidP="00C24080">
      <w:pPr>
        <w:jc w:val="both"/>
        <w:rPr>
          <w:rFonts w:ascii="Arial Narrow" w:hAnsi="Arial Narrow" w:cs="Arial"/>
          <w:sz w:val="22"/>
          <w:szCs w:val="22"/>
        </w:rPr>
      </w:pPr>
    </w:p>
    <w:p w14:paraId="1C4D7193"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2.</w:t>
      </w:r>
      <w:r w:rsidRPr="00C46703">
        <w:rPr>
          <w:rFonts w:ascii="Arial Narrow" w:hAnsi="Arial Narrow" w:cs="Arial"/>
          <w:b/>
          <w:sz w:val="22"/>
          <w:szCs w:val="22"/>
          <w:lang w:val="es-ES_tradnl"/>
        </w:rPr>
        <w:tab/>
        <w:t>Ámbito de aplicación del acto administrativo</w:t>
      </w:r>
    </w:p>
    <w:p w14:paraId="620ADD15" w14:textId="77777777" w:rsidR="00584CD6" w:rsidRPr="00C46703" w:rsidRDefault="00584CD6" w:rsidP="00584CD6">
      <w:pPr>
        <w:jc w:val="both"/>
        <w:rPr>
          <w:rFonts w:ascii="Arial Narrow" w:hAnsi="Arial Narrow" w:cs="Arial"/>
          <w:sz w:val="22"/>
          <w:szCs w:val="22"/>
          <w:lang w:val="es-ES_tradnl"/>
        </w:rPr>
      </w:pPr>
    </w:p>
    <w:p w14:paraId="55D04FCF" w14:textId="7BC85D36" w:rsidR="00584CD6" w:rsidRPr="00C46703" w:rsidRDefault="00C24080" w:rsidP="00584CD6">
      <w:pPr>
        <w:jc w:val="both"/>
        <w:rPr>
          <w:rFonts w:ascii="Arial Narrow" w:hAnsi="Arial Narrow" w:cs="Arial"/>
          <w:sz w:val="22"/>
          <w:szCs w:val="22"/>
          <w:lang w:val="es-ES_tradnl"/>
        </w:rPr>
      </w:pPr>
      <w:r w:rsidRPr="00C46703">
        <w:rPr>
          <w:rFonts w:ascii="Arial Narrow" w:hAnsi="Arial Narrow" w:cs="Arial"/>
          <w:sz w:val="22"/>
          <w:szCs w:val="22"/>
          <w:lang w:val="es-ES_tradnl"/>
        </w:rPr>
        <w:t>Proveedores de redes y servicios de telecomunicaciones</w:t>
      </w:r>
      <w:r w:rsidR="0023508E">
        <w:rPr>
          <w:rFonts w:ascii="Arial Narrow" w:hAnsi="Arial Narrow" w:cs="Arial"/>
          <w:sz w:val="22"/>
          <w:szCs w:val="22"/>
          <w:lang w:val="es-ES_tradnl"/>
        </w:rPr>
        <w:t>.</w:t>
      </w:r>
    </w:p>
    <w:p w14:paraId="3392A898" w14:textId="77777777" w:rsidR="00584CD6" w:rsidRPr="00C46703" w:rsidRDefault="00584CD6" w:rsidP="00584CD6">
      <w:pPr>
        <w:jc w:val="both"/>
        <w:rPr>
          <w:rFonts w:ascii="Arial Narrow" w:hAnsi="Arial Narrow" w:cs="Arial"/>
          <w:sz w:val="22"/>
          <w:szCs w:val="22"/>
          <w:lang w:val="es-ES_tradnl"/>
        </w:rPr>
      </w:pPr>
    </w:p>
    <w:p w14:paraId="1C5A9461"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3.</w:t>
      </w:r>
      <w:r w:rsidRPr="00C46703">
        <w:rPr>
          <w:rFonts w:ascii="Arial Narrow" w:hAnsi="Arial Narrow" w:cs="Arial"/>
          <w:b/>
          <w:sz w:val="22"/>
          <w:szCs w:val="22"/>
          <w:lang w:val="es-ES_tradnl"/>
        </w:rPr>
        <w:tab/>
        <w:t xml:space="preserve">Estudio preliminar de viabilidad jurídica de la expedición de la norma </w:t>
      </w:r>
    </w:p>
    <w:p w14:paraId="59FB19D0" w14:textId="77777777" w:rsidR="00584CD6" w:rsidRPr="00C46703" w:rsidRDefault="00584CD6" w:rsidP="00584CD6">
      <w:pPr>
        <w:jc w:val="both"/>
        <w:rPr>
          <w:rFonts w:ascii="Arial Narrow" w:hAnsi="Arial Narrow" w:cs="Arial"/>
          <w:sz w:val="22"/>
          <w:szCs w:val="22"/>
          <w:lang w:val="es-ES_tradnl"/>
        </w:rPr>
      </w:pPr>
    </w:p>
    <w:p w14:paraId="111A32D5" w14:textId="77777777" w:rsidR="00584CD6" w:rsidRPr="00C46703"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C46703">
        <w:rPr>
          <w:rFonts w:ascii="Arial Narrow" w:hAnsi="Arial Narrow" w:cs="Arial"/>
          <w:b/>
          <w:sz w:val="22"/>
          <w:szCs w:val="22"/>
        </w:rPr>
        <w:t>3.1.</w:t>
      </w:r>
      <w:r w:rsidRPr="00C46703">
        <w:rPr>
          <w:rFonts w:ascii="Arial Narrow" w:hAnsi="Arial Narrow" w:cs="Arial"/>
          <w:b/>
          <w:sz w:val="22"/>
          <w:szCs w:val="22"/>
        </w:rPr>
        <w:tab/>
      </w:r>
      <w:r w:rsidRPr="00C46703">
        <w:rPr>
          <w:rFonts w:ascii="Arial Narrow" w:hAnsi="Arial Narrow" w:cs="Arial"/>
          <w:sz w:val="22"/>
          <w:szCs w:val="22"/>
        </w:rPr>
        <w:t xml:space="preserve">Análisis expreso y detallado de las normas que otorgan competencia para la expedición del </w:t>
      </w:r>
      <w:r w:rsidRPr="00C46703">
        <w:rPr>
          <w:rFonts w:ascii="Arial Narrow" w:hAnsi="Arial Narrow" w:cs="Arial"/>
          <w:sz w:val="22"/>
          <w:szCs w:val="22"/>
          <w:lang w:val="es-ES_tradnl"/>
        </w:rPr>
        <w:t>acto administrativo:</w:t>
      </w:r>
    </w:p>
    <w:p w14:paraId="351CC8EE" w14:textId="77777777" w:rsidR="00584CD6" w:rsidRPr="00C46703" w:rsidRDefault="00584CD6" w:rsidP="00584CD6">
      <w:pPr>
        <w:widowControl w:val="0"/>
        <w:autoSpaceDE w:val="0"/>
        <w:autoSpaceDN w:val="0"/>
        <w:adjustRightInd w:val="0"/>
        <w:contextualSpacing/>
        <w:jc w:val="both"/>
        <w:rPr>
          <w:rFonts w:ascii="Arial Narrow" w:hAnsi="Arial Narrow" w:cs="Arial"/>
          <w:b/>
          <w:sz w:val="22"/>
          <w:szCs w:val="22"/>
        </w:rPr>
      </w:pPr>
    </w:p>
    <w:p w14:paraId="2C552B1A" w14:textId="77777777" w:rsidR="00584CD6" w:rsidRPr="00C46703" w:rsidRDefault="00584CD6" w:rsidP="00584CD6">
      <w:pPr>
        <w:contextualSpacing/>
        <w:jc w:val="both"/>
        <w:rPr>
          <w:rFonts w:ascii="Arial Narrow" w:hAnsi="Arial Narrow" w:cs="Arial"/>
          <w:sz w:val="22"/>
          <w:szCs w:val="22"/>
        </w:rPr>
      </w:pPr>
      <w:r w:rsidRPr="00C46703">
        <w:rPr>
          <w:rFonts w:ascii="Arial Narrow" w:hAnsi="Arial Narrow" w:cs="Arial"/>
          <w:sz w:val="22"/>
          <w:szCs w:val="22"/>
        </w:rPr>
        <w:t xml:space="preserve">Las normas que otorgan la competencia para la expedición del acto administrativo están contenidas en las siguientes normas: </w:t>
      </w:r>
    </w:p>
    <w:p w14:paraId="5A6359B6" w14:textId="77777777" w:rsidR="00C24080" w:rsidRPr="00C46703" w:rsidRDefault="00C24080" w:rsidP="00584CD6">
      <w:pPr>
        <w:contextualSpacing/>
        <w:jc w:val="both"/>
        <w:rPr>
          <w:rFonts w:ascii="Arial Narrow" w:hAnsi="Arial Narrow" w:cs="Tahoma"/>
          <w:sz w:val="22"/>
          <w:szCs w:val="22"/>
        </w:rPr>
      </w:pPr>
    </w:p>
    <w:p w14:paraId="17B055CA" w14:textId="74B43A2E" w:rsidR="00584CD6" w:rsidRDefault="0023508E" w:rsidP="00584CD6">
      <w:pPr>
        <w:contextualSpacing/>
        <w:jc w:val="both"/>
        <w:rPr>
          <w:rFonts w:ascii="Arial Narrow" w:hAnsi="Arial Narrow" w:cs="Arial"/>
          <w:sz w:val="22"/>
          <w:szCs w:val="22"/>
        </w:rPr>
      </w:pPr>
      <w:r>
        <w:rPr>
          <w:rFonts w:ascii="Arial Narrow" w:hAnsi="Arial Narrow" w:cs="Arial"/>
          <w:sz w:val="22"/>
          <w:szCs w:val="22"/>
        </w:rPr>
        <w:t>E</w:t>
      </w:r>
      <w:r w:rsidRPr="00381E07">
        <w:rPr>
          <w:rFonts w:ascii="Arial Narrow" w:hAnsi="Arial Narrow" w:cs="Arial"/>
          <w:sz w:val="22"/>
          <w:szCs w:val="22"/>
        </w:rPr>
        <w:t>l artículo 3</w:t>
      </w:r>
      <w:r>
        <w:rPr>
          <w:rFonts w:ascii="Arial Narrow" w:hAnsi="Arial Narrow" w:cs="Arial"/>
          <w:sz w:val="22"/>
          <w:szCs w:val="22"/>
        </w:rPr>
        <w:t>6</w:t>
      </w:r>
      <w:r w:rsidRPr="00381E07">
        <w:rPr>
          <w:rFonts w:ascii="Arial Narrow" w:hAnsi="Arial Narrow" w:cs="Arial"/>
          <w:sz w:val="22"/>
          <w:szCs w:val="22"/>
        </w:rPr>
        <w:t xml:space="preserve"> de la Ley 1341 de 2009, </w:t>
      </w:r>
      <w:r>
        <w:rPr>
          <w:rFonts w:ascii="Arial Narrow" w:hAnsi="Arial Narrow" w:cs="Arial"/>
          <w:sz w:val="22"/>
          <w:szCs w:val="22"/>
        </w:rPr>
        <w:t xml:space="preserve">fue </w:t>
      </w:r>
      <w:r w:rsidRPr="00381E07">
        <w:rPr>
          <w:rFonts w:ascii="Arial Narrow" w:hAnsi="Arial Narrow" w:cs="Arial"/>
          <w:sz w:val="22"/>
          <w:szCs w:val="22"/>
        </w:rPr>
        <w:t>modificado por el artículo 2</w:t>
      </w:r>
      <w:r>
        <w:rPr>
          <w:rFonts w:ascii="Arial Narrow" w:hAnsi="Arial Narrow" w:cs="Arial"/>
          <w:sz w:val="22"/>
          <w:szCs w:val="22"/>
        </w:rPr>
        <w:t>3</w:t>
      </w:r>
      <w:r w:rsidRPr="00381E07">
        <w:rPr>
          <w:rFonts w:ascii="Arial Narrow" w:hAnsi="Arial Narrow" w:cs="Arial"/>
          <w:sz w:val="22"/>
          <w:szCs w:val="22"/>
        </w:rPr>
        <w:t xml:space="preserve"> de la Ley 1978 de 2019</w:t>
      </w:r>
      <w:r>
        <w:rPr>
          <w:rFonts w:ascii="Arial Narrow" w:hAnsi="Arial Narrow" w:cs="Arial"/>
          <w:sz w:val="22"/>
          <w:szCs w:val="22"/>
        </w:rPr>
        <w:t xml:space="preserve"> que dispone que </w:t>
      </w:r>
      <w:r w:rsidRPr="0023508E">
        <w:rPr>
          <w:rFonts w:ascii="Arial Narrow" w:hAnsi="Arial Narrow" w:cs="Arial"/>
          <w:sz w:val="22"/>
          <w:szCs w:val="22"/>
        </w:rPr>
        <w:t>el Ministerio de Tecnologías de la Información y las Comunicaciones determinará el valor de la contraprestación periódica única, mediante acto administrativo motivado, previa la realización de un estudio que incluya el plan de inversiones del Fondo Único de Tecnologías de la Información y las Comunicaciones, el estado del cierre de la brecha digital del país y esté soportado en estudios de mercado. Así mismo, el valor de esta contraprestación no podrá ser superior al de la contraprestación periódica establecida a favor del Fondo de las Tecnologías de la Información y las Comunicaciones al 25 de julio de 2019, fecha de vigencia de la Ley 1978.</w:t>
      </w:r>
    </w:p>
    <w:p w14:paraId="00A10A10" w14:textId="77777777" w:rsidR="0023508E" w:rsidRPr="00C46703" w:rsidRDefault="0023508E" w:rsidP="00584CD6">
      <w:pPr>
        <w:contextualSpacing/>
        <w:jc w:val="both"/>
        <w:rPr>
          <w:rFonts w:ascii="Arial Narrow" w:hAnsi="Arial Narrow" w:cs="Arial"/>
          <w:sz w:val="22"/>
          <w:szCs w:val="22"/>
        </w:rPr>
      </w:pPr>
    </w:p>
    <w:p w14:paraId="62D7E94B" w14:textId="77777777" w:rsidR="00584CD6" w:rsidRPr="00C46703" w:rsidRDefault="00584CD6" w:rsidP="00584CD6">
      <w:pPr>
        <w:spacing w:line="276" w:lineRule="atLeast"/>
        <w:jc w:val="both"/>
        <w:rPr>
          <w:rFonts w:ascii="Arial Narrow" w:hAnsi="Arial Narrow" w:cs="Arial"/>
          <w:sz w:val="22"/>
          <w:szCs w:val="22"/>
        </w:rPr>
      </w:pPr>
      <w:r w:rsidRPr="00C46703">
        <w:rPr>
          <w:rFonts w:ascii="Arial Narrow" w:hAnsi="Arial Narrow" w:cs="Arial"/>
          <w:b/>
          <w:sz w:val="22"/>
          <w:szCs w:val="22"/>
          <w:lang w:eastAsia="en-US"/>
        </w:rPr>
        <w:t>3.2.</w:t>
      </w:r>
      <w:r w:rsidRPr="00C46703">
        <w:rPr>
          <w:rFonts w:ascii="Arial Narrow" w:hAnsi="Arial Narrow" w:cs="Arial"/>
          <w:b/>
          <w:sz w:val="22"/>
          <w:szCs w:val="22"/>
          <w:lang w:eastAsia="en-US"/>
        </w:rPr>
        <w:tab/>
      </w:r>
      <w:r w:rsidRPr="00C46703">
        <w:rPr>
          <w:rFonts w:ascii="Arial Narrow" w:hAnsi="Arial Narrow" w:cs="Arial"/>
          <w:sz w:val="22"/>
          <w:szCs w:val="22"/>
          <w:lang w:eastAsia="en-US"/>
        </w:rPr>
        <w:t xml:space="preserve">Vigencia de la ley o norma reglamentada o desarrollada con el </w:t>
      </w:r>
      <w:r w:rsidRPr="00C46703">
        <w:rPr>
          <w:rFonts w:ascii="Arial Narrow" w:hAnsi="Arial Narrow" w:cs="Arial"/>
          <w:sz w:val="22"/>
          <w:szCs w:val="22"/>
          <w:lang w:val="es-ES_tradnl"/>
        </w:rPr>
        <w:t>acto administrativo</w:t>
      </w:r>
      <w:r w:rsidRPr="00C46703">
        <w:rPr>
          <w:rFonts w:ascii="Arial Narrow" w:hAnsi="Arial Narrow" w:cs="Arial"/>
          <w:sz w:val="22"/>
          <w:szCs w:val="22"/>
          <w:lang w:eastAsia="en-US"/>
        </w:rPr>
        <w:t>:</w:t>
      </w:r>
    </w:p>
    <w:p w14:paraId="101DC3F5" w14:textId="77777777" w:rsidR="00584CD6" w:rsidRPr="00C46703" w:rsidRDefault="00584CD6" w:rsidP="00584CD6">
      <w:pPr>
        <w:jc w:val="both"/>
        <w:rPr>
          <w:rFonts w:ascii="Arial Narrow" w:hAnsi="Arial Narrow" w:cs="Arial"/>
          <w:sz w:val="22"/>
          <w:szCs w:val="22"/>
          <w:lang w:val="es-ES_tradnl"/>
        </w:rPr>
      </w:pPr>
    </w:p>
    <w:p w14:paraId="60F33C15" w14:textId="3227D3D4" w:rsidR="00584CD6" w:rsidRPr="00C46703" w:rsidRDefault="00584CD6" w:rsidP="00584CD6">
      <w:pPr>
        <w:jc w:val="both"/>
        <w:rPr>
          <w:rFonts w:ascii="Arial Narrow" w:hAnsi="Arial Narrow" w:cs="Arial"/>
          <w:sz w:val="22"/>
          <w:szCs w:val="22"/>
          <w:lang w:val="es-ES_tradnl"/>
        </w:rPr>
      </w:pPr>
      <w:r w:rsidRPr="00C46703">
        <w:rPr>
          <w:rFonts w:ascii="Arial Narrow" w:hAnsi="Arial Narrow" w:cs="Arial"/>
          <w:sz w:val="22"/>
          <w:szCs w:val="22"/>
          <w:lang w:val="es-ES_tradnl"/>
        </w:rPr>
        <w:t xml:space="preserve">Las disposiciones de la Ley </w:t>
      </w:r>
      <w:r w:rsidR="00C24080" w:rsidRPr="00C46703">
        <w:rPr>
          <w:rFonts w:ascii="Arial Narrow" w:hAnsi="Arial Narrow" w:cs="Arial"/>
          <w:sz w:val="22"/>
          <w:szCs w:val="22"/>
          <w:lang w:val="es-ES_tradnl"/>
        </w:rPr>
        <w:t>1978 de 2019</w:t>
      </w:r>
      <w:r w:rsidR="0023508E">
        <w:rPr>
          <w:rFonts w:ascii="Arial Narrow" w:hAnsi="Arial Narrow" w:cs="Arial"/>
          <w:sz w:val="22"/>
          <w:szCs w:val="22"/>
          <w:lang w:val="es-ES_tradnl"/>
        </w:rPr>
        <w:t xml:space="preserve"> y </w:t>
      </w:r>
      <w:r w:rsidR="00C24080" w:rsidRPr="00C46703">
        <w:rPr>
          <w:rFonts w:ascii="Arial Narrow" w:hAnsi="Arial Narrow" w:cs="Arial"/>
          <w:sz w:val="22"/>
          <w:szCs w:val="22"/>
          <w:lang w:val="es-ES_tradnl"/>
        </w:rPr>
        <w:t xml:space="preserve">1341 de 2009 </w:t>
      </w:r>
      <w:r w:rsidRPr="00C46703">
        <w:rPr>
          <w:rFonts w:ascii="Arial Narrow" w:hAnsi="Arial Narrow" w:cs="Arial"/>
          <w:sz w:val="22"/>
          <w:szCs w:val="22"/>
          <w:lang w:val="es-ES_tradnl"/>
        </w:rPr>
        <w:t>que sustentan la expedición del proyecto normativo se encuentran actualmente vigentes y no han tenido limitaciones vía jurisprudencia.</w:t>
      </w:r>
    </w:p>
    <w:p w14:paraId="6E54E6AA" w14:textId="77777777" w:rsidR="00584CD6" w:rsidRPr="00C46703" w:rsidRDefault="00584CD6" w:rsidP="00584CD6">
      <w:pPr>
        <w:jc w:val="both"/>
        <w:rPr>
          <w:rFonts w:ascii="Arial Narrow" w:hAnsi="Arial Narrow" w:cs="Arial"/>
          <w:sz w:val="22"/>
          <w:szCs w:val="22"/>
          <w:lang w:val="es-ES_tradnl"/>
        </w:rPr>
      </w:pPr>
    </w:p>
    <w:p w14:paraId="4A21FD52" w14:textId="77777777" w:rsidR="00584CD6" w:rsidRPr="00C46703" w:rsidRDefault="00584CD6" w:rsidP="00584CD6">
      <w:pPr>
        <w:spacing w:after="262" w:line="271" w:lineRule="atLeast"/>
        <w:ind w:right="49"/>
        <w:jc w:val="both"/>
        <w:rPr>
          <w:rFonts w:ascii="Arial Narrow" w:hAnsi="Arial Narrow" w:cs="Arial"/>
          <w:sz w:val="22"/>
          <w:szCs w:val="22"/>
        </w:rPr>
      </w:pPr>
      <w:r w:rsidRPr="00C46703">
        <w:rPr>
          <w:rFonts w:ascii="Arial Narrow" w:hAnsi="Arial Narrow" w:cs="Arial"/>
          <w:b/>
          <w:color w:val="000000"/>
          <w:sz w:val="22"/>
          <w:szCs w:val="22"/>
          <w:lang w:eastAsia="en-US"/>
        </w:rPr>
        <w:t>3.3.</w:t>
      </w:r>
      <w:r w:rsidRPr="00C46703">
        <w:rPr>
          <w:rFonts w:ascii="Arial Narrow" w:hAnsi="Arial Narrow" w:cs="Arial"/>
          <w:b/>
          <w:color w:val="000000"/>
          <w:sz w:val="22"/>
          <w:szCs w:val="22"/>
          <w:lang w:eastAsia="en-US"/>
        </w:rPr>
        <w:tab/>
      </w:r>
      <w:r w:rsidRPr="00C46703">
        <w:rPr>
          <w:rFonts w:ascii="Arial Narrow" w:hAnsi="Arial Narrow" w:cs="Arial"/>
          <w:color w:val="000000"/>
          <w:sz w:val="22"/>
          <w:szCs w:val="22"/>
          <w:lang w:eastAsia="en-US"/>
        </w:rPr>
        <w:t xml:space="preserve">Disposiciones que se derogan, subrogan, modifican, adicionan o desarrollan con el </w:t>
      </w:r>
      <w:r w:rsidRPr="00C46703">
        <w:rPr>
          <w:rFonts w:ascii="Arial Narrow" w:hAnsi="Arial Narrow" w:cs="Arial"/>
          <w:sz w:val="22"/>
          <w:szCs w:val="22"/>
          <w:lang w:val="es-ES_tradnl"/>
        </w:rPr>
        <w:t>acto administrativo</w:t>
      </w:r>
      <w:r w:rsidRPr="00C46703">
        <w:rPr>
          <w:rFonts w:ascii="Arial Narrow" w:hAnsi="Arial Narrow" w:cs="Arial"/>
          <w:color w:val="000000"/>
          <w:sz w:val="22"/>
          <w:szCs w:val="22"/>
          <w:lang w:eastAsia="en-US"/>
        </w:rPr>
        <w:t>:</w:t>
      </w:r>
    </w:p>
    <w:p w14:paraId="15000C7B" w14:textId="236B1CFD" w:rsidR="00584CD6" w:rsidRPr="00C46703" w:rsidRDefault="00C24080" w:rsidP="00584CD6">
      <w:pPr>
        <w:jc w:val="both"/>
        <w:rPr>
          <w:rFonts w:ascii="Arial Narrow" w:hAnsi="Arial Narrow" w:cs="Arial"/>
          <w:sz w:val="22"/>
          <w:szCs w:val="22"/>
        </w:rPr>
      </w:pPr>
      <w:r w:rsidRPr="00C46703">
        <w:rPr>
          <w:rFonts w:ascii="Arial Narrow" w:hAnsi="Arial Narrow" w:cs="Arial"/>
          <w:sz w:val="22"/>
          <w:szCs w:val="22"/>
        </w:rPr>
        <w:t xml:space="preserve">El proyecto de Decreto </w:t>
      </w:r>
      <w:r w:rsidR="0023508E">
        <w:rPr>
          <w:rFonts w:ascii="Arial Narrow" w:hAnsi="Arial Narrow" w:cs="Arial"/>
          <w:sz w:val="22"/>
          <w:szCs w:val="22"/>
        </w:rPr>
        <w:t>modifica el artículo 2 de la Resolución 290 de 2010 y deroga el artículo 15 de la Resolución 290 de 2010</w:t>
      </w:r>
      <w:r w:rsidR="0023508E">
        <w:rPr>
          <w:rFonts w:ascii="Arial Narrow" w:hAnsi="Arial Narrow" w:cs="Arial"/>
          <w:sz w:val="22"/>
          <w:szCs w:val="22"/>
        </w:rPr>
        <w:t>.</w:t>
      </w:r>
    </w:p>
    <w:p w14:paraId="10C38082" w14:textId="77777777" w:rsidR="00584CD6" w:rsidRPr="00C46703" w:rsidRDefault="00584CD6" w:rsidP="00584CD6">
      <w:pPr>
        <w:jc w:val="both"/>
        <w:rPr>
          <w:rFonts w:ascii="Arial Narrow" w:hAnsi="Arial Narrow" w:cs="Arial"/>
          <w:sz w:val="22"/>
          <w:szCs w:val="22"/>
        </w:rPr>
      </w:pPr>
    </w:p>
    <w:p w14:paraId="3725A257" w14:textId="77777777" w:rsidR="00584CD6" w:rsidRPr="00C46703" w:rsidRDefault="00584CD6" w:rsidP="00584CD6">
      <w:pPr>
        <w:ind w:left="705" w:hanging="705"/>
        <w:jc w:val="both"/>
        <w:rPr>
          <w:rFonts w:ascii="Arial Narrow" w:hAnsi="Arial Narrow" w:cs="Arial"/>
          <w:sz w:val="22"/>
          <w:szCs w:val="22"/>
        </w:rPr>
      </w:pPr>
      <w:r w:rsidRPr="00C46703">
        <w:rPr>
          <w:rFonts w:ascii="Arial Narrow" w:hAnsi="Arial Narrow" w:cs="Arial"/>
          <w:b/>
          <w:sz w:val="22"/>
          <w:szCs w:val="22"/>
        </w:rPr>
        <w:t>3.4.</w:t>
      </w:r>
      <w:r w:rsidRPr="00C46703">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39D1B667" w14:textId="77777777" w:rsidR="00C24080" w:rsidRPr="00C46703" w:rsidRDefault="00C24080" w:rsidP="00584CD6">
      <w:pPr>
        <w:jc w:val="both"/>
        <w:rPr>
          <w:rFonts w:ascii="Arial Narrow" w:hAnsi="Arial Narrow" w:cs="Arial"/>
          <w:sz w:val="22"/>
          <w:szCs w:val="22"/>
        </w:rPr>
      </w:pPr>
    </w:p>
    <w:p w14:paraId="3D4F5C3E" w14:textId="77777777" w:rsidR="00584CD6" w:rsidRPr="00C46703" w:rsidRDefault="00584CD6" w:rsidP="00584CD6">
      <w:pPr>
        <w:jc w:val="both"/>
        <w:rPr>
          <w:rFonts w:ascii="Arial Narrow" w:hAnsi="Arial Narrow" w:cs="Arial"/>
          <w:sz w:val="22"/>
          <w:szCs w:val="22"/>
        </w:rPr>
      </w:pPr>
      <w:r w:rsidRPr="00C46703">
        <w:rPr>
          <w:rFonts w:ascii="Arial Narrow" w:hAnsi="Arial Narrow" w:cs="Arial"/>
          <w:sz w:val="22"/>
          <w:szCs w:val="22"/>
        </w:rPr>
        <w:t>A la fecha no hay precedentes jurisprudenciales que puedan tener impacto o ser relevantes para la expedición del acto</w:t>
      </w:r>
    </w:p>
    <w:p w14:paraId="289293A9" w14:textId="77777777" w:rsidR="00584CD6" w:rsidRPr="00C46703" w:rsidRDefault="00584CD6" w:rsidP="00584CD6">
      <w:pPr>
        <w:ind w:left="705" w:hanging="705"/>
        <w:jc w:val="both"/>
        <w:rPr>
          <w:rFonts w:ascii="Arial Narrow" w:hAnsi="Arial Narrow" w:cs="Arial"/>
          <w:b/>
          <w:sz w:val="22"/>
          <w:szCs w:val="22"/>
        </w:rPr>
      </w:pPr>
    </w:p>
    <w:p w14:paraId="1A378BC5" w14:textId="77777777" w:rsidR="00584CD6" w:rsidRPr="00C46703" w:rsidRDefault="00584CD6" w:rsidP="00584CD6">
      <w:pPr>
        <w:ind w:left="705" w:hanging="705"/>
        <w:jc w:val="both"/>
        <w:rPr>
          <w:rFonts w:ascii="Arial Narrow" w:hAnsi="Arial Narrow" w:cs="Arial"/>
          <w:sz w:val="22"/>
          <w:szCs w:val="22"/>
        </w:rPr>
      </w:pPr>
      <w:r w:rsidRPr="00C46703">
        <w:rPr>
          <w:rFonts w:ascii="Arial Narrow" w:hAnsi="Arial Narrow" w:cs="Arial"/>
          <w:b/>
          <w:sz w:val="22"/>
          <w:szCs w:val="22"/>
        </w:rPr>
        <w:t>3.5.</w:t>
      </w:r>
      <w:r w:rsidRPr="00C46703">
        <w:rPr>
          <w:rFonts w:ascii="Arial Narrow" w:hAnsi="Arial Narrow" w:cs="Arial"/>
          <w:sz w:val="22"/>
          <w:szCs w:val="22"/>
        </w:rPr>
        <w:tab/>
        <w:t>Advertencia de cualquier otra circunstancia jurídica que pueda ser relevante para la expedición del acto:</w:t>
      </w:r>
    </w:p>
    <w:p w14:paraId="5FF9C215" w14:textId="77777777" w:rsidR="00584CD6" w:rsidRPr="00C46703" w:rsidRDefault="00584CD6" w:rsidP="00584CD6">
      <w:pPr>
        <w:jc w:val="both"/>
        <w:rPr>
          <w:rFonts w:ascii="Arial Narrow" w:hAnsi="Arial Narrow" w:cs="Arial"/>
          <w:sz w:val="22"/>
          <w:szCs w:val="22"/>
        </w:rPr>
      </w:pPr>
    </w:p>
    <w:p w14:paraId="0B977E57" w14:textId="77777777" w:rsidR="00B2776D" w:rsidRPr="00C46703" w:rsidRDefault="00B2776D" w:rsidP="00B2776D">
      <w:pPr>
        <w:jc w:val="both"/>
        <w:rPr>
          <w:rFonts w:ascii="Arial Narrow" w:hAnsi="Arial Narrow" w:cs="Arial"/>
          <w:sz w:val="22"/>
          <w:szCs w:val="22"/>
        </w:rPr>
      </w:pPr>
      <w:r w:rsidRPr="00C46703">
        <w:rPr>
          <w:rFonts w:ascii="Arial Narrow" w:hAnsi="Arial Narrow" w:cs="Arial"/>
          <w:sz w:val="22"/>
          <w:szCs w:val="22"/>
        </w:rPr>
        <w:t>No se advierten situaciones jurídicas relevantes adicionales para la expedición del acto.</w:t>
      </w:r>
    </w:p>
    <w:p w14:paraId="4DD699DC" w14:textId="77777777" w:rsidR="00584CD6" w:rsidRPr="00C46703" w:rsidRDefault="00584CD6" w:rsidP="00584CD6">
      <w:pPr>
        <w:jc w:val="both"/>
        <w:rPr>
          <w:rFonts w:ascii="Arial Narrow" w:hAnsi="Arial Narrow" w:cs="Arial"/>
          <w:sz w:val="22"/>
          <w:szCs w:val="22"/>
        </w:rPr>
      </w:pPr>
    </w:p>
    <w:p w14:paraId="3CD966FC" w14:textId="77777777" w:rsidR="00584CD6" w:rsidRPr="00C46703" w:rsidRDefault="00584CD6" w:rsidP="00584CD6">
      <w:pPr>
        <w:jc w:val="both"/>
        <w:rPr>
          <w:rFonts w:ascii="Arial Narrow" w:hAnsi="Arial Narrow" w:cs="Arial"/>
          <w:b/>
          <w:sz w:val="22"/>
          <w:szCs w:val="22"/>
          <w:lang w:val="es-ES_tradnl"/>
        </w:rPr>
      </w:pPr>
      <w:r w:rsidRPr="00C46703">
        <w:rPr>
          <w:rFonts w:ascii="Arial Narrow" w:hAnsi="Arial Narrow" w:cs="Arial"/>
          <w:b/>
          <w:sz w:val="22"/>
          <w:szCs w:val="22"/>
          <w:lang w:val="es-ES_tradnl"/>
        </w:rPr>
        <w:t>4.</w:t>
      </w:r>
      <w:r w:rsidRPr="00C46703">
        <w:rPr>
          <w:rFonts w:ascii="Arial Narrow" w:hAnsi="Arial Narrow" w:cs="Arial"/>
          <w:b/>
          <w:sz w:val="22"/>
          <w:szCs w:val="22"/>
          <w:lang w:val="es-ES_tradnl"/>
        </w:rPr>
        <w:tab/>
        <w:t>Estudio preliminar sobre posible impacto económico de la norma a expedir</w:t>
      </w:r>
    </w:p>
    <w:p w14:paraId="7B50B81F" w14:textId="77777777" w:rsidR="00584CD6" w:rsidRPr="00C46703" w:rsidRDefault="00584CD6" w:rsidP="00584CD6">
      <w:pPr>
        <w:autoSpaceDE w:val="0"/>
        <w:autoSpaceDN w:val="0"/>
        <w:adjustRightInd w:val="0"/>
        <w:jc w:val="both"/>
        <w:rPr>
          <w:rFonts w:ascii="Arial Narrow" w:hAnsi="Arial Narrow" w:cs="Arial"/>
          <w:sz w:val="22"/>
          <w:szCs w:val="22"/>
        </w:rPr>
      </w:pPr>
    </w:p>
    <w:p w14:paraId="3F528604" w14:textId="14B7A1E9" w:rsidR="0095351A" w:rsidRPr="00C46703" w:rsidRDefault="0023508E" w:rsidP="0095351A">
      <w:pPr>
        <w:jc w:val="both"/>
        <w:rPr>
          <w:rFonts w:ascii="Arial Narrow" w:hAnsi="Arial Narrow"/>
          <w:sz w:val="22"/>
          <w:szCs w:val="22"/>
        </w:rPr>
      </w:pPr>
      <w:r>
        <w:rPr>
          <w:rFonts w:ascii="Arial Narrow" w:hAnsi="Arial Narrow" w:cs="Arial"/>
          <w:sz w:val="22"/>
          <w:szCs w:val="22"/>
        </w:rPr>
        <w:t>Se anexa el estudio que soporta la estimación de la tasa de contraprestación.</w:t>
      </w:r>
    </w:p>
    <w:p w14:paraId="5BEC2F01" w14:textId="77777777" w:rsidR="00584CD6" w:rsidRPr="00C46703" w:rsidRDefault="00584CD6" w:rsidP="00584CD6">
      <w:pPr>
        <w:autoSpaceDE w:val="0"/>
        <w:autoSpaceDN w:val="0"/>
        <w:adjustRightInd w:val="0"/>
        <w:jc w:val="both"/>
        <w:rPr>
          <w:rFonts w:ascii="Arial Narrow" w:hAnsi="Arial Narrow" w:cs="Arial"/>
          <w:sz w:val="22"/>
          <w:szCs w:val="22"/>
        </w:rPr>
      </w:pPr>
    </w:p>
    <w:p w14:paraId="0ED41441" w14:textId="77777777" w:rsidR="00584CD6" w:rsidRPr="00C46703" w:rsidRDefault="00584CD6" w:rsidP="00584CD6">
      <w:pPr>
        <w:autoSpaceDE w:val="0"/>
        <w:autoSpaceDN w:val="0"/>
        <w:adjustRightInd w:val="0"/>
        <w:jc w:val="both"/>
        <w:rPr>
          <w:rFonts w:ascii="Arial Narrow" w:hAnsi="Arial Narrow" w:cs="Arial"/>
          <w:b/>
          <w:bCs/>
          <w:sz w:val="22"/>
          <w:szCs w:val="22"/>
        </w:rPr>
      </w:pPr>
      <w:r w:rsidRPr="00C46703">
        <w:rPr>
          <w:rFonts w:ascii="Arial Narrow" w:hAnsi="Arial Narrow" w:cs="Arial"/>
          <w:b/>
          <w:bCs/>
          <w:sz w:val="22"/>
          <w:szCs w:val="22"/>
        </w:rPr>
        <w:t>5.</w:t>
      </w:r>
      <w:r w:rsidRPr="00C46703">
        <w:rPr>
          <w:rFonts w:ascii="Arial Narrow" w:hAnsi="Arial Narrow" w:cs="Arial"/>
          <w:b/>
          <w:bCs/>
          <w:sz w:val="22"/>
          <w:szCs w:val="22"/>
        </w:rPr>
        <w:tab/>
        <w:t>Disponibilidad presupuestal</w:t>
      </w:r>
    </w:p>
    <w:p w14:paraId="7919C1C0" w14:textId="77777777" w:rsidR="00584CD6" w:rsidRPr="00C46703" w:rsidRDefault="00584CD6" w:rsidP="00584CD6">
      <w:pPr>
        <w:autoSpaceDE w:val="0"/>
        <w:autoSpaceDN w:val="0"/>
        <w:adjustRightInd w:val="0"/>
        <w:jc w:val="both"/>
        <w:rPr>
          <w:rFonts w:ascii="Arial Narrow" w:hAnsi="Arial Narrow" w:cs="Arial"/>
          <w:b/>
          <w:bCs/>
          <w:sz w:val="22"/>
          <w:szCs w:val="22"/>
        </w:rPr>
      </w:pPr>
    </w:p>
    <w:p w14:paraId="31684480" w14:textId="1906F493" w:rsidR="0023508E" w:rsidRPr="00C46703" w:rsidRDefault="0023508E" w:rsidP="0023508E">
      <w:pPr>
        <w:jc w:val="both"/>
        <w:rPr>
          <w:rFonts w:ascii="Arial Narrow" w:hAnsi="Arial Narrow"/>
          <w:sz w:val="22"/>
          <w:szCs w:val="22"/>
        </w:rPr>
      </w:pPr>
      <w:r>
        <w:rPr>
          <w:rFonts w:ascii="Arial Narrow" w:hAnsi="Arial Narrow" w:cs="Arial"/>
          <w:sz w:val="22"/>
          <w:szCs w:val="22"/>
        </w:rPr>
        <w:t>Se anexa el estudio que soporta la estimación de la tasa de contraprestación</w:t>
      </w:r>
      <w:r>
        <w:rPr>
          <w:rFonts w:ascii="Arial Narrow" w:hAnsi="Arial Narrow" w:cs="Arial"/>
          <w:sz w:val="22"/>
          <w:szCs w:val="22"/>
        </w:rPr>
        <w:t>, en todo caso, esta no supone, por sí misma erogación presupuestal</w:t>
      </w:r>
    </w:p>
    <w:p w14:paraId="415A9E88" w14:textId="77777777" w:rsidR="00584CD6" w:rsidRPr="00C46703" w:rsidRDefault="00584CD6" w:rsidP="00584CD6">
      <w:pPr>
        <w:autoSpaceDE w:val="0"/>
        <w:autoSpaceDN w:val="0"/>
        <w:adjustRightInd w:val="0"/>
        <w:jc w:val="both"/>
        <w:rPr>
          <w:rFonts w:ascii="Arial Narrow" w:hAnsi="Arial Narrow" w:cs="Arial"/>
          <w:b/>
          <w:bCs/>
          <w:sz w:val="22"/>
          <w:szCs w:val="22"/>
        </w:rPr>
      </w:pPr>
    </w:p>
    <w:p w14:paraId="4C808F43" w14:textId="77777777" w:rsidR="00584CD6" w:rsidRPr="00C46703" w:rsidRDefault="00584CD6" w:rsidP="00584CD6">
      <w:pPr>
        <w:autoSpaceDE w:val="0"/>
        <w:autoSpaceDN w:val="0"/>
        <w:adjustRightInd w:val="0"/>
        <w:ind w:left="705" w:hanging="705"/>
        <w:jc w:val="both"/>
        <w:rPr>
          <w:rFonts w:ascii="Arial Narrow" w:hAnsi="Arial Narrow" w:cs="Arial"/>
          <w:b/>
          <w:bCs/>
          <w:sz w:val="22"/>
          <w:szCs w:val="22"/>
        </w:rPr>
      </w:pPr>
      <w:r w:rsidRPr="00C46703">
        <w:rPr>
          <w:rFonts w:ascii="Arial Narrow" w:hAnsi="Arial Narrow" w:cs="Arial"/>
          <w:b/>
          <w:bCs/>
          <w:sz w:val="22"/>
          <w:szCs w:val="22"/>
        </w:rPr>
        <w:t>6.</w:t>
      </w:r>
      <w:r w:rsidRPr="00C46703">
        <w:rPr>
          <w:rFonts w:ascii="Arial Narrow" w:hAnsi="Arial Narrow" w:cs="Arial"/>
          <w:b/>
          <w:bCs/>
          <w:sz w:val="22"/>
          <w:szCs w:val="22"/>
        </w:rPr>
        <w:tab/>
      </w:r>
      <w:r w:rsidRPr="00C46703">
        <w:rPr>
          <w:rFonts w:ascii="Arial Narrow" w:hAnsi="Arial Narrow" w:cs="Arial"/>
          <w:b/>
          <w:sz w:val="22"/>
          <w:szCs w:val="22"/>
          <w:lang w:val="es-ES_tradnl"/>
        </w:rPr>
        <w:t>Estudio preliminar sobre posible impacto</w:t>
      </w:r>
      <w:r w:rsidRPr="00C46703">
        <w:rPr>
          <w:rFonts w:ascii="Arial Narrow" w:hAnsi="Arial Narrow" w:cs="Arial"/>
          <w:b/>
          <w:bCs/>
          <w:sz w:val="22"/>
          <w:szCs w:val="22"/>
        </w:rPr>
        <w:t xml:space="preserve"> medioambiental o sobre el patrimonio cultural de la Nación</w:t>
      </w:r>
    </w:p>
    <w:p w14:paraId="7B04DE98" w14:textId="77777777" w:rsidR="00584CD6" w:rsidRPr="00C46703" w:rsidRDefault="00584CD6" w:rsidP="00584CD6">
      <w:pPr>
        <w:autoSpaceDE w:val="0"/>
        <w:autoSpaceDN w:val="0"/>
        <w:adjustRightInd w:val="0"/>
        <w:jc w:val="both"/>
        <w:rPr>
          <w:rFonts w:ascii="Arial Narrow" w:hAnsi="Arial Narrow" w:cs="Arial"/>
          <w:sz w:val="22"/>
          <w:szCs w:val="22"/>
        </w:rPr>
      </w:pPr>
    </w:p>
    <w:p w14:paraId="04DC6495" w14:textId="77777777" w:rsidR="00584CD6" w:rsidRPr="00C46703" w:rsidRDefault="0095351A" w:rsidP="00584CD6">
      <w:pPr>
        <w:autoSpaceDE w:val="0"/>
        <w:autoSpaceDN w:val="0"/>
        <w:adjustRightInd w:val="0"/>
        <w:jc w:val="both"/>
        <w:rPr>
          <w:rFonts w:ascii="Arial Narrow" w:hAnsi="Arial Narrow" w:cs="Arial"/>
          <w:sz w:val="22"/>
          <w:szCs w:val="22"/>
        </w:rPr>
      </w:pPr>
      <w:r w:rsidRPr="00C46703">
        <w:rPr>
          <w:rFonts w:ascii="Arial Narrow" w:hAnsi="Arial Narrow" w:cs="Arial"/>
          <w:sz w:val="22"/>
          <w:szCs w:val="22"/>
        </w:rPr>
        <w:t>La norma para expedir no</w:t>
      </w:r>
      <w:r w:rsidR="00584CD6" w:rsidRPr="00C46703">
        <w:rPr>
          <w:rFonts w:ascii="Arial Narrow" w:hAnsi="Arial Narrow" w:cs="Arial"/>
          <w:sz w:val="22"/>
          <w:szCs w:val="22"/>
        </w:rPr>
        <w:t xml:space="preserve"> genera impacto medioambiental o sobre el patrimonio cultural de la Nación.</w:t>
      </w:r>
    </w:p>
    <w:p w14:paraId="160B693F" w14:textId="77777777" w:rsidR="00584CD6" w:rsidRPr="00C46703" w:rsidRDefault="00584CD6" w:rsidP="00584CD6">
      <w:pPr>
        <w:contextualSpacing/>
        <w:jc w:val="both"/>
        <w:rPr>
          <w:rFonts w:ascii="Arial Narrow" w:hAnsi="Arial Narrow" w:cs="Arial"/>
          <w:b/>
          <w:sz w:val="22"/>
          <w:szCs w:val="22"/>
        </w:rPr>
      </w:pPr>
    </w:p>
    <w:p w14:paraId="40F92288" w14:textId="3AE177AE" w:rsidR="00946CAD" w:rsidRDefault="00946CAD" w:rsidP="00252479">
      <w:pPr>
        <w:jc w:val="both"/>
        <w:rPr>
          <w:rFonts w:ascii="Arial Narrow" w:hAnsi="Arial Narrow" w:cs="Arial"/>
          <w:b/>
          <w:color w:val="000000"/>
          <w:sz w:val="22"/>
          <w:szCs w:val="22"/>
        </w:rPr>
      </w:pPr>
    </w:p>
    <w:p w14:paraId="76B9249A" w14:textId="37BE1258" w:rsidR="0023508E" w:rsidRDefault="0023508E" w:rsidP="00252479">
      <w:pPr>
        <w:jc w:val="both"/>
        <w:rPr>
          <w:rFonts w:ascii="Arial Narrow" w:hAnsi="Arial Narrow" w:cs="Arial"/>
          <w:b/>
          <w:color w:val="000000"/>
          <w:sz w:val="22"/>
          <w:szCs w:val="22"/>
        </w:rPr>
      </w:pPr>
    </w:p>
    <w:p w14:paraId="11D2911D" w14:textId="77777777" w:rsidR="0023508E" w:rsidRDefault="0023508E" w:rsidP="00252479">
      <w:pPr>
        <w:jc w:val="both"/>
        <w:rPr>
          <w:rFonts w:ascii="Arial Narrow" w:hAnsi="Arial Narrow" w:cs="Arial"/>
          <w:b/>
          <w:color w:val="000000"/>
          <w:sz w:val="22"/>
          <w:szCs w:val="22"/>
        </w:rPr>
      </w:pPr>
    </w:p>
    <w:p w14:paraId="2C6FAEBA" w14:textId="77777777" w:rsidR="00C203D1" w:rsidRPr="00C46703" w:rsidRDefault="00C203D1" w:rsidP="00252479">
      <w:pPr>
        <w:jc w:val="both"/>
        <w:rPr>
          <w:rFonts w:ascii="Arial Narrow" w:hAnsi="Arial Narrow" w:cs="Arial"/>
          <w:b/>
          <w:color w:val="000000"/>
          <w:sz w:val="22"/>
          <w:szCs w:val="22"/>
        </w:rPr>
      </w:pPr>
    </w:p>
    <w:p w14:paraId="30AE9266" w14:textId="5F2EECB2" w:rsidR="004C3D7B" w:rsidRDefault="004C3D7B" w:rsidP="00946CAD">
      <w:pPr>
        <w:pStyle w:val="NormalWeb"/>
        <w:spacing w:before="0" w:beforeAutospacing="0" w:after="0" w:afterAutospacing="0"/>
        <w:jc w:val="both"/>
        <w:rPr>
          <w:rFonts w:ascii="Arial Narrow" w:hAnsi="Arial Narrow" w:cs="Arial"/>
          <w:b/>
          <w:sz w:val="22"/>
          <w:szCs w:val="22"/>
        </w:rPr>
      </w:pPr>
    </w:p>
    <w:p w14:paraId="263B5FE0" w14:textId="77777777" w:rsidR="0023508E" w:rsidRPr="00C46703" w:rsidRDefault="0023508E" w:rsidP="00946CAD">
      <w:pPr>
        <w:pStyle w:val="NormalWeb"/>
        <w:spacing w:before="0" w:beforeAutospacing="0" w:after="0" w:afterAutospacing="0"/>
        <w:jc w:val="both"/>
        <w:rPr>
          <w:rFonts w:ascii="Arial Narrow" w:hAnsi="Arial Narrow" w:cs="Arial"/>
          <w:b/>
          <w:sz w:val="22"/>
          <w:szCs w:val="22"/>
        </w:rPr>
      </w:pPr>
      <w:bookmarkStart w:id="0" w:name="_GoBack"/>
      <w:bookmarkEnd w:id="0"/>
    </w:p>
    <w:p w14:paraId="34332879" w14:textId="35F83BDD" w:rsidR="00946CAD" w:rsidRPr="00C46703" w:rsidRDefault="0023508E"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JORGE GUILLERMO BARRERA MEDINA</w:t>
      </w:r>
    </w:p>
    <w:p w14:paraId="29A4867F" w14:textId="521825E5" w:rsidR="00946CAD" w:rsidRPr="00C46703" w:rsidRDefault="0095351A" w:rsidP="00946CAD">
      <w:pPr>
        <w:pStyle w:val="NormalWeb"/>
        <w:spacing w:before="0" w:beforeAutospacing="0" w:after="0" w:afterAutospacing="0"/>
        <w:jc w:val="both"/>
        <w:rPr>
          <w:rFonts w:ascii="Arial Narrow" w:hAnsi="Arial Narrow" w:cs="Arial"/>
          <w:sz w:val="22"/>
          <w:szCs w:val="22"/>
        </w:rPr>
      </w:pPr>
      <w:r w:rsidRPr="00C46703">
        <w:rPr>
          <w:rFonts w:ascii="Arial Narrow" w:hAnsi="Arial Narrow" w:cs="Arial"/>
          <w:sz w:val="22"/>
          <w:szCs w:val="22"/>
        </w:rPr>
        <w:t xml:space="preserve">Director de </w:t>
      </w:r>
      <w:r w:rsidR="0023508E">
        <w:rPr>
          <w:rFonts w:ascii="Arial Narrow" w:hAnsi="Arial Narrow" w:cs="Arial"/>
          <w:sz w:val="22"/>
          <w:szCs w:val="22"/>
        </w:rPr>
        <w:t>Industria de Comunicaciones</w:t>
      </w:r>
    </w:p>
    <w:p w14:paraId="27C87621"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p w14:paraId="5068881C"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p w14:paraId="553A75E2" w14:textId="77777777" w:rsidR="00946CAD" w:rsidRPr="00C46703" w:rsidRDefault="00946CAD" w:rsidP="00946CAD">
      <w:pPr>
        <w:pStyle w:val="NormalWeb"/>
        <w:spacing w:before="0" w:beforeAutospacing="0" w:after="0" w:afterAutospacing="0"/>
        <w:jc w:val="both"/>
        <w:rPr>
          <w:rFonts w:ascii="Arial Narrow" w:hAnsi="Arial Narrow" w:cs="Arial"/>
          <w:sz w:val="22"/>
          <w:szCs w:val="22"/>
        </w:rPr>
      </w:pPr>
    </w:p>
    <w:sectPr w:rsidR="00946CAD" w:rsidRPr="00C46703" w:rsidSect="00C203D1">
      <w:headerReference w:type="default" r:id="rId7"/>
      <w:footerReference w:type="default" r:id="rId8"/>
      <w:pgSz w:w="12240" w:h="15840"/>
      <w:pgMar w:top="1417" w:right="1041" w:bottom="1135" w:left="851"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7FD41" w14:textId="77777777" w:rsidR="00535E6F" w:rsidRDefault="00535E6F" w:rsidP="001C31D5">
      <w:r>
        <w:separator/>
      </w:r>
    </w:p>
  </w:endnote>
  <w:endnote w:type="continuationSeparator" w:id="0">
    <w:p w14:paraId="11607066" w14:textId="77777777" w:rsidR="00535E6F" w:rsidRDefault="00535E6F"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1221484594"/>
      <w:docPartObj>
        <w:docPartGallery w:val="Page Numbers (Bottom of Page)"/>
        <w:docPartUnique/>
      </w:docPartObj>
    </w:sdtPr>
    <w:sdtEndPr/>
    <w:sdtContent>
      <w:sdt>
        <w:sdtPr>
          <w:rPr>
            <w:rFonts w:ascii="Arial Narrow" w:hAnsi="Arial Narrow"/>
            <w:sz w:val="16"/>
            <w:szCs w:val="16"/>
          </w:rPr>
          <w:id w:val="-1201937970"/>
          <w:docPartObj>
            <w:docPartGallery w:val="Page Numbers (Top of Page)"/>
            <w:docPartUnique/>
          </w:docPartObj>
        </w:sdtPr>
        <w:sdtEndPr/>
        <w:sdtContent>
          <w:p w14:paraId="56FA8715" w14:textId="77777777" w:rsidR="00CB061F" w:rsidRDefault="00CB061F" w:rsidP="00CB061F">
            <w:pPr>
              <w:pStyle w:val="Piedepgina"/>
              <w:rPr>
                <w:rFonts w:ascii="Arial Narrow" w:hAnsi="Arial Narrow"/>
                <w:sz w:val="16"/>
                <w:szCs w:val="16"/>
              </w:rPr>
            </w:pPr>
          </w:p>
          <w:p w14:paraId="641D06DF" w14:textId="5C7DA40C"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9C6135">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9C6135">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489D7579" w14:textId="6BD2299E" w:rsidR="00CB061F" w:rsidRPr="00374DDE" w:rsidRDefault="00C203D1" w:rsidP="00CB061F">
            <w:pPr>
              <w:pStyle w:val="Piedepgina"/>
              <w:rPr>
                <w:rFonts w:ascii="Arial Narrow" w:hAnsi="Arial Narrow"/>
                <w:sz w:val="16"/>
                <w:szCs w:val="16"/>
              </w:rPr>
            </w:pPr>
            <w:r>
              <w:rPr>
                <w:rFonts w:ascii="Arial Narrow" w:hAnsi="Arial Narrow"/>
                <w:noProof/>
                <w:sz w:val="16"/>
                <w:szCs w:val="16"/>
              </w:rPr>
              <w:drawing>
                <wp:inline distT="0" distB="0" distL="0" distR="0" wp14:anchorId="78937FB7" wp14:editId="4D979048">
                  <wp:extent cx="930303" cy="309399"/>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sidR="00CB061F">
              <w:rPr>
                <w:rFonts w:ascii="Arial Narrow" w:hAnsi="Arial Narrow"/>
                <w:bCs/>
                <w:sz w:val="16"/>
                <w:szCs w:val="16"/>
              </w:rPr>
              <w:tab/>
            </w:r>
            <w:r w:rsidR="00CB061F">
              <w:rPr>
                <w:rFonts w:ascii="Arial Narrow" w:hAnsi="Arial Narrow"/>
                <w:bCs/>
                <w:sz w:val="16"/>
                <w:szCs w:val="16"/>
              </w:rPr>
              <w:tab/>
              <w:t>V 1.0</w:t>
            </w:r>
          </w:p>
        </w:sdtContent>
      </w:sdt>
    </w:sdtContent>
  </w:sdt>
  <w:p w14:paraId="5BB08257" w14:textId="4215A7CA"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8FA97" w14:textId="77777777" w:rsidR="00535E6F" w:rsidRDefault="00535E6F" w:rsidP="001C31D5">
      <w:r>
        <w:separator/>
      </w:r>
    </w:p>
  </w:footnote>
  <w:footnote w:type="continuationSeparator" w:id="0">
    <w:p w14:paraId="6CFF206E" w14:textId="77777777" w:rsidR="00535E6F" w:rsidRDefault="00535E6F"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1302"/>
    </w:tblGrid>
    <w:tr w:rsidR="001F260D" w:rsidRPr="00384075" w14:paraId="6B7AA85F" w14:textId="77777777" w:rsidTr="001F260D">
      <w:trPr>
        <w:trHeight w:val="565"/>
        <w:jc w:val="center"/>
      </w:trPr>
      <w:tc>
        <w:tcPr>
          <w:tcW w:w="9889" w:type="dxa"/>
          <w:vAlign w:val="center"/>
        </w:tcPr>
        <w:p w14:paraId="2B609067"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282E9D" w14:paraId="28876A4C" w14:textId="77777777" w:rsidTr="00374F93">
            <w:trPr>
              <w:trHeight w:val="1275"/>
            </w:trPr>
            <w:tc>
              <w:tcPr>
                <w:tcW w:w="2183" w:type="dxa"/>
                <w:vAlign w:val="center"/>
              </w:tcPr>
              <w:p w14:paraId="329081BB" w14:textId="77777777" w:rsidR="00282E9D" w:rsidRDefault="009C6135" w:rsidP="00282E9D">
                <w:pPr>
                  <w:pStyle w:val="Encabezado"/>
                  <w:jc w:val="center"/>
                </w:pPr>
                <w:r>
                  <w:rPr>
                    <w:noProof/>
                    <w:lang w:val="es-CO" w:eastAsia="es-CO"/>
                  </w:rPr>
                  <w:drawing>
                    <wp:anchor distT="0" distB="0" distL="114300" distR="114300" simplePos="0" relativeHeight="251658240" behindDoc="0" locked="0" layoutInCell="1" allowOverlap="1" wp14:anchorId="396DC5E8" wp14:editId="434E2801">
                      <wp:simplePos x="0" y="0"/>
                      <wp:positionH relativeFrom="column">
                        <wp:posOffset>29210</wp:posOffset>
                      </wp:positionH>
                      <wp:positionV relativeFrom="paragraph">
                        <wp:posOffset>-469900</wp:posOffset>
                      </wp:positionV>
                      <wp:extent cx="2251075" cy="5778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6CCDB341"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A62BA07" w14:textId="77777777" w:rsidR="00282E9D" w:rsidRDefault="00282E9D" w:rsidP="00282E9D">
                <w:pPr>
                  <w:pStyle w:val="Encabezado"/>
                  <w:jc w:val="center"/>
                </w:pPr>
                <w:r w:rsidRPr="004161E7">
                  <w:rPr>
                    <w:noProof/>
                    <w:lang w:val="es-CO" w:eastAsia="es-CO"/>
                  </w:rPr>
                  <w:drawing>
                    <wp:inline distT="0" distB="0" distL="0" distR="0" wp14:anchorId="6DEEAE05" wp14:editId="7896D7AB">
                      <wp:extent cx="791570" cy="768114"/>
                      <wp:effectExtent l="0" t="0" r="8890" b="0"/>
                      <wp:docPr id="3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05B196" w14:textId="77777777" w:rsidR="001F260D" w:rsidRPr="00384075" w:rsidRDefault="001F260D" w:rsidP="009320D2">
          <w:pPr>
            <w:pStyle w:val="Estilo2"/>
            <w:numPr>
              <w:ilvl w:val="0"/>
              <w:numId w:val="0"/>
            </w:numPr>
            <w:ind w:left="360"/>
            <w:jc w:val="right"/>
            <w:rPr>
              <w:rFonts w:ascii="Arial" w:hAnsi="Arial" w:cs="Arial"/>
            </w:rPr>
          </w:pPr>
        </w:p>
      </w:tc>
    </w:tr>
  </w:tbl>
  <w:p w14:paraId="5B9A3F78"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0D18"/>
    <w:rsid w:val="0021268B"/>
    <w:rsid w:val="002137A2"/>
    <w:rsid w:val="00214BE5"/>
    <w:rsid w:val="0021700F"/>
    <w:rsid w:val="002213F4"/>
    <w:rsid w:val="00233523"/>
    <w:rsid w:val="0023508E"/>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3D7B"/>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35E6F"/>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74725"/>
    <w:rsid w:val="00780350"/>
    <w:rsid w:val="007828D9"/>
    <w:rsid w:val="007833BA"/>
    <w:rsid w:val="007844D4"/>
    <w:rsid w:val="00794273"/>
    <w:rsid w:val="00797F92"/>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84903"/>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5351A"/>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B7F6F"/>
    <w:rsid w:val="009C0D0B"/>
    <w:rsid w:val="009C121F"/>
    <w:rsid w:val="009C6135"/>
    <w:rsid w:val="009D1616"/>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C3641"/>
    <w:rsid w:val="00AD4282"/>
    <w:rsid w:val="00AE0B9D"/>
    <w:rsid w:val="00AE3C74"/>
    <w:rsid w:val="00AE69E0"/>
    <w:rsid w:val="00AF0356"/>
    <w:rsid w:val="00AF254C"/>
    <w:rsid w:val="00AF3EB6"/>
    <w:rsid w:val="00B01E85"/>
    <w:rsid w:val="00B04D6A"/>
    <w:rsid w:val="00B11AC7"/>
    <w:rsid w:val="00B11DBD"/>
    <w:rsid w:val="00B16DC4"/>
    <w:rsid w:val="00B1763D"/>
    <w:rsid w:val="00B17B94"/>
    <w:rsid w:val="00B24F3F"/>
    <w:rsid w:val="00B26B5A"/>
    <w:rsid w:val="00B2721C"/>
    <w:rsid w:val="00B2776D"/>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3D1"/>
    <w:rsid w:val="00C20B2F"/>
    <w:rsid w:val="00C20EDC"/>
    <w:rsid w:val="00C223DF"/>
    <w:rsid w:val="00C24080"/>
    <w:rsid w:val="00C318B9"/>
    <w:rsid w:val="00C334F8"/>
    <w:rsid w:val="00C4025B"/>
    <w:rsid w:val="00C450E3"/>
    <w:rsid w:val="00C4670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38F"/>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870A8"/>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2C66"/>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1094</Words>
  <Characters>6020</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Juliana Ramirez Echeverry</cp:lastModifiedBy>
  <cp:revision>18</cp:revision>
  <cp:lastPrinted>2015-12-03T17:27:00Z</cp:lastPrinted>
  <dcterms:created xsi:type="dcterms:W3CDTF">2017-05-09T16:42:00Z</dcterms:created>
  <dcterms:modified xsi:type="dcterms:W3CDTF">2020-01-27T23:26:00Z</dcterms:modified>
</cp:coreProperties>
</file>