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5FEA57" w14:textId="77777777" w:rsidR="00D33991" w:rsidRPr="00D51533" w:rsidRDefault="00D33991" w:rsidP="00077FC7">
      <w:pPr>
        <w:pStyle w:val="NormalWeb"/>
        <w:spacing w:before="0" w:beforeAutospacing="0" w:after="0" w:afterAutospacing="0" w:line="264" w:lineRule="auto"/>
        <w:rPr>
          <w:rFonts w:ascii="Arial Narrow" w:eastAsia="Batang" w:hAnsi="Arial Narrow" w:cs="Arial"/>
          <w:b/>
          <w:caps/>
          <w:color w:val="000000" w:themeColor="text1"/>
          <w:lang w:eastAsia="ko-KR"/>
        </w:rPr>
      </w:pPr>
    </w:p>
    <w:p w14:paraId="6BADD21C" w14:textId="257566F2" w:rsidR="00D33991" w:rsidRPr="00D51533" w:rsidRDefault="009A47C6" w:rsidP="00077FC7">
      <w:pPr>
        <w:pStyle w:val="NormalWeb"/>
        <w:spacing w:before="0" w:beforeAutospacing="0" w:after="0" w:afterAutospacing="0" w:line="264" w:lineRule="auto"/>
        <w:ind w:firstLine="708"/>
        <w:jc w:val="center"/>
        <w:rPr>
          <w:rFonts w:ascii="Arial Narrow" w:eastAsia="Batang" w:hAnsi="Arial Narrow" w:cs="Arial"/>
          <w:b/>
          <w:caps/>
          <w:color w:val="000000" w:themeColor="text1"/>
          <w:lang w:eastAsia="ko-KR"/>
        </w:rPr>
      </w:pPr>
      <w:r w:rsidRPr="00D51533">
        <w:rPr>
          <w:rFonts w:ascii="Arial Narrow" w:eastAsia="Batang" w:hAnsi="Arial Narrow" w:cs="Arial"/>
          <w:b/>
          <w:caps/>
          <w:color w:val="000000" w:themeColor="text1"/>
          <w:lang w:eastAsia="ko-KR"/>
        </w:rPr>
        <w:t>Proyecto de RESOLUCI</w:t>
      </w:r>
      <w:r w:rsidR="007730B6" w:rsidRPr="00D51533">
        <w:rPr>
          <w:rFonts w:ascii="Arial Narrow" w:eastAsia="Batang" w:hAnsi="Arial Narrow" w:cs="Arial"/>
          <w:b/>
          <w:caps/>
          <w:color w:val="000000" w:themeColor="text1"/>
          <w:lang w:eastAsia="ko-KR"/>
        </w:rPr>
        <w:t>ón</w:t>
      </w:r>
    </w:p>
    <w:p w14:paraId="06627975" w14:textId="47AFBC3A" w:rsidR="00D33991" w:rsidRPr="00D51533" w:rsidRDefault="00D33991" w:rsidP="00077FC7">
      <w:pPr>
        <w:spacing w:line="264" w:lineRule="auto"/>
        <w:jc w:val="center"/>
        <w:rPr>
          <w:rFonts w:ascii="Arial Narrow" w:eastAsia="Batang" w:hAnsi="Arial Narrow" w:cs="Arial"/>
          <w:b/>
          <w:i/>
          <w:caps/>
          <w:color w:val="000000" w:themeColor="text1"/>
          <w:lang w:eastAsia="ko-KR"/>
        </w:rPr>
      </w:pPr>
      <w:bookmarkStart w:id="0" w:name="_Hlk23847835"/>
    </w:p>
    <w:bookmarkEnd w:id="0"/>
    <w:p w14:paraId="1132F320" w14:textId="677070CC" w:rsidR="008A6213" w:rsidRPr="00D51533" w:rsidRDefault="000E4305" w:rsidP="000E4305">
      <w:pPr>
        <w:spacing w:line="264" w:lineRule="auto"/>
        <w:jc w:val="center"/>
        <w:rPr>
          <w:rFonts w:ascii="Arial Narrow" w:hAnsi="Arial Narrow" w:cs="Arial"/>
          <w:iCs/>
        </w:rPr>
      </w:pPr>
      <w:r w:rsidRPr="00D51533">
        <w:rPr>
          <w:rFonts w:ascii="Arial Narrow" w:hAnsi="Arial Narrow" w:cs="Arial"/>
          <w:iCs/>
          <w:lang w:val="es-MX"/>
        </w:rPr>
        <w:t>“</w:t>
      </w:r>
      <w:r w:rsidRPr="00D51533">
        <w:rPr>
          <w:rFonts w:ascii="Arial Narrow" w:hAnsi="Arial Narrow" w:cs="Arial"/>
          <w:iCs/>
          <w:lang w:val="es-MX"/>
        </w:rPr>
        <w:t xml:space="preserve">Por la cual se </w:t>
      </w:r>
      <w:r w:rsidRPr="00D51533">
        <w:rPr>
          <w:rFonts w:ascii="Arial Narrow" w:hAnsi="Arial Narrow" w:cs="Arial"/>
          <w:iCs/>
        </w:rPr>
        <w:t>establece la metodología, el procedimiento y los requisitos para la formulación, presentación, autorización, ejecución, cuantificación y verificación de las obligaciones de hacer y se derogan las Resoluciones 895 de 2016 y 2878 de 2017</w:t>
      </w:r>
      <w:r w:rsidRPr="00D51533">
        <w:rPr>
          <w:rFonts w:ascii="Arial Narrow" w:hAnsi="Arial Narrow" w:cs="Arial"/>
          <w:iCs/>
        </w:rPr>
        <w:t>”</w:t>
      </w:r>
    </w:p>
    <w:p w14:paraId="69A22C35" w14:textId="77777777" w:rsidR="000E4305" w:rsidRPr="00D51533" w:rsidRDefault="000E4305" w:rsidP="00077FC7">
      <w:pPr>
        <w:spacing w:line="264" w:lineRule="auto"/>
        <w:jc w:val="right"/>
        <w:rPr>
          <w:rFonts w:ascii="Arial Narrow" w:hAnsi="Arial Narrow" w:cs="Arial"/>
          <w:b/>
          <w:color w:val="000000" w:themeColor="text1"/>
        </w:rPr>
      </w:pPr>
    </w:p>
    <w:p w14:paraId="7B8E4865" w14:textId="3D2A0C9F" w:rsidR="00D33991" w:rsidRPr="00D51533" w:rsidRDefault="00D33991" w:rsidP="00077FC7">
      <w:pPr>
        <w:spacing w:line="264" w:lineRule="auto"/>
        <w:jc w:val="right"/>
        <w:rPr>
          <w:rFonts w:ascii="Arial Narrow" w:hAnsi="Arial Narrow" w:cs="Arial"/>
          <w:b/>
          <w:color w:val="000000" w:themeColor="text1"/>
        </w:rPr>
      </w:pPr>
      <w:r w:rsidRPr="00D51533">
        <w:rPr>
          <w:rFonts w:ascii="Arial Narrow" w:hAnsi="Arial Narrow" w:cs="Arial"/>
          <w:b/>
          <w:color w:val="000000" w:themeColor="text1"/>
        </w:rPr>
        <w:t xml:space="preserve">Bogotá D.C., </w:t>
      </w:r>
      <w:r w:rsidR="009968B6" w:rsidRPr="00D51533">
        <w:rPr>
          <w:rFonts w:ascii="Arial Narrow" w:hAnsi="Arial Narrow" w:cs="Arial"/>
          <w:b/>
          <w:color w:val="000000" w:themeColor="text1"/>
        </w:rPr>
        <w:t>junio</w:t>
      </w:r>
      <w:r w:rsidR="003E70DB" w:rsidRPr="00D51533">
        <w:rPr>
          <w:rFonts w:ascii="Arial Narrow" w:hAnsi="Arial Narrow" w:cs="Arial"/>
          <w:b/>
          <w:color w:val="000000" w:themeColor="text1"/>
        </w:rPr>
        <w:t xml:space="preserve"> de 2020</w:t>
      </w:r>
    </w:p>
    <w:p w14:paraId="7E7735F7" w14:textId="77777777" w:rsidR="00C931E0" w:rsidRPr="00D51533" w:rsidRDefault="00C931E0" w:rsidP="00077FC7">
      <w:pPr>
        <w:spacing w:line="264" w:lineRule="auto"/>
        <w:jc w:val="right"/>
        <w:rPr>
          <w:rFonts w:ascii="Arial Narrow" w:hAnsi="Arial Narrow" w:cs="Arial"/>
          <w:b/>
          <w:color w:val="000000" w:themeColor="text1"/>
        </w:rPr>
      </w:pPr>
    </w:p>
    <w:p w14:paraId="684EF98E" w14:textId="77777777" w:rsidR="00D33991" w:rsidRPr="00D51533" w:rsidRDefault="00D33991" w:rsidP="00077FC7">
      <w:pPr>
        <w:spacing w:line="264" w:lineRule="auto"/>
        <w:jc w:val="both"/>
        <w:rPr>
          <w:rFonts w:ascii="Arial Narrow" w:hAnsi="Arial Narrow" w:cs="Arial"/>
          <w:b/>
          <w:color w:val="000000" w:themeColor="text1"/>
        </w:rPr>
      </w:pPr>
    </w:p>
    <w:p w14:paraId="38C8B1ED" w14:textId="77777777" w:rsidR="00D33991" w:rsidRPr="00D51533" w:rsidRDefault="00D33991" w:rsidP="00077FC7">
      <w:pPr>
        <w:spacing w:line="264" w:lineRule="auto"/>
        <w:ind w:left="705" w:hanging="705"/>
        <w:jc w:val="both"/>
        <w:rPr>
          <w:rFonts w:ascii="Arial Narrow" w:hAnsi="Arial Narrow" w:cs="Arial"/>
          <w:b/>
          <w:color w:val="000000" w:themeColor="text1"/>
          <w:lang w:val="es-ES_tradnl"/>
        </w:rPr>
      </w:pPr>
      <w:r w:rsidRPr="00D51533">
        <w:rPr>
          <w:rFonts w:ascii="Arial Narrow" w:hAnsi="Arial Narrow" w:cs="Arial"/>
          <w:b/>
          <w:color w:val="000000" w:themeColor="text1"/>
          <w:lang w:val="es-ES_tradnl"/>
        </w:rPr>
        <w:t>1.</w:t>
      </w:r>
      <w:r w:rsidRPr="00D51533">
        <w:rPr>
          <w:rFonts w:ascii="Arial Narrow" w:hAnsi="Arial Narrow" w:cs="Arial"/>
          <w:b/>
          <w:color w:val="000000" w:themeColor="text1"/>
          <w:lang w:val="es-ES_tradnl"/>
        </w:rPr>
        <w:tab/>
        <w:t>Antecedentes y las razones de oportunidad y conveniencia que justifican la expedición de la norma</w:t>
      </w:r>
    </w:p>
    <w:p w14:paraId="065E95D0" w14:textId="4B40F55A" w:rsidR="00D33991" w:rsidRPr="00D51533" w:rsidRDefault="00D33991" w:rsidP="00077FC7">
      <w:pPr>
        <w:spacing w:line="264" w:lineRule="auto"/>
        <w:jc w:val="both"/>
        <w:rPr>
          <w:rFonts w:ascii="Arial Narrow" w:hAnsi="Arial Narrow" w:cs="Arial"/>
          <w:color w:val="000000" w:themeColor="text1"/>
        </w:rPr>
      </w:pPr>
    </w:p>
    <w:p w14:paraId="5983923A" w14:textId="77777777" w:rsidR="00247C76" w:rsidRPr="00D51533" w:rsidRDefault="00247C76" w:rsidP="00247C76">
      <w:pPr>
        <w:spacing w:line="276" w:lineRule="auto"/>
        <w:jc w:val="both"/>
        <w:rPr>
          <w:rFonts w:ascii="Arial Narrow" w:hAnsi="Arial Narrow" w:cs="Arial"/>
        </w:rPr>
      </w:pPr>
      <w:r w:rsidRPr="00D51533">
        <w:rPr>
          <w:rFonts w:ascii="Arial Narrow" w:hAnsi="Arial Narrow" w:cs="Arial"/>
        </w:rPr>
        <w:t xml:space="preserve">El Decreto </w:t>
      </w:r>
      <w:r w:rsidRPr="00D51533">
        <w:rPr>
          <w:rFonts w:ascii="Arial Narrow" w:hAnsi="Arial Narrow"/>
        </w:rPr>
        <w:t>825</w:t>
      </w:r>
      <w:r w:rsidRPr="00D51533">
        <w:rPr>
          <w:rFonts w:ascii="Arial Narrow" w:hAnsi="Arial Narrow" w:cs="Arial"/>
        </w:rPr>
        <w:t xml:space="preserve"> del 8 de junio de 2020 subrogó el título 15 de la parte 2 del libro 2 del Decreto 1078 de 2015 “Decreto Único Reglamentario del Sector de Tecnologías de la Información y las Comunicaciones”, para establecer los criterios para la formulación, presentación, autorización, ejecución, cuantificación de la inversión y verificación de las obligaciones de hacer como forma de pago por el uso del espectro radioeléctrico y la prestación de los servicios postales.</w:t>
      </w:r>
    </w:p>
    <w:p w14:paraId="278D91EA" w14:textId="77777777" w:rsidR="00247C76" w:rsidRPr="00D51533" w:rsidRDefault="00247C76" w:rsidP="00247C76">
      <w:pPr>
        <w:spacing w:line="276" w:lineRule="auto"/>
        <w:jc w:val="both"/>
        <w:rPr>
          <w:rFonts w:ascii="Arial Narrow" w:hAnsi="Arial Narrow" w:cs="Arial"/>
        </w:rPr>
      </w:pPr>
    </w:p>
    <w:p w14:paraId="7DDE2CAD" w14:textId="62BF2D06" w:rsidR="008A6213" w:rsidRPr="00D51533" w:rsidRDefault="00247C76" w:rsidP="00247C76">
      <w:pPr>
        <w:spacing w:line="264" w:lineRule="auto"/>
        <w:jc w:val="both"/>
        <w:rPr>
          <w:rFonts w:ascii="Arial Narrow" w:hAnsi="Arial Narrow" w:cs="Arial"/>
        </w:rPr>
      </w:pPr>
      <w:r w:rsidRPr="00D51533">
        <w:rPr>
          <w:rFonts w:ascii="Arial Narrow" w:hAnsi="Arial Narrow" w:cs="Arial"/>
          <w:iCs/>
        </w:rPr>
        <w:t xml:space="preserve">De conformidad con lo anterior, el numeral 6 del artículo </w:t>
      </w:r>
      <w:r w:rsidRPr="00D51533">
        <w:rPr>
          <w:rFonts w:ascii="Arial Narrow" w:hAnsi="Arial Narrow" w:cs="Arial"/>
          <w:bCs/>
          <w:iCs/>
          <w:lang w:val="es-ES_tradnl"/>
        </w:rPr>
        <w:t>2.2.15.3. del Decreto 1078 de 2015, dispone que es responsabilidad del Ministerio de Tecnologías de la Información y las Comunicaciones, entre otras, la de adoptar</w:t>
      </w:r>
      <w:r w:rsidRPr="00D51533">
        <w:rPr>
          <w:rFonts w:ascii="Arial Narrow" w:hAnsi="Arial Narrow" w:cs="Arial"/>
          <w:iCs/>
        </w:rPr>
        <w:t xml:space="preserve">, mediante resolución, la metodología, procedimiento y requisitos para la formulación, presentación, autorización, ejecución, cuantificación de la inversión y verificación de las obligaciones de hacer, que incluya el procedimiento a surtir al interior del Ministerio, así como los plazos y condiciones específicas de la formulación, presentación, aprobación, ejecución, cuantificación de la inversión y verificación de los proyectos respectivos. </w:t>
      </w:r>
      <w:r w:rsidRPr="00D51533">
        <w:rPr>
          <w:rFonts w:ascii="Arial Narrow" w:hAnsi="Arial Narrow" w:cs="Arial"/>
        </w:rPr>
        <w:t>Por lo anterior, se hace necesario fijar la citada metodología, procedimiento y requisitos, aplicables a las obligaciones de hacer.</w:t>
      </w:r>
    </w:p>
    <w:p w14:paraId="7273E258" w14:textId="77777777" w:rsidR="00247C76" w:rsidRPr="00D51533" w:rsidRDefault="00247C76" w:rsidP="00247C76">
      <w:pPr>
        <w:spacing w:line="264" w:lineRule="auto"/>
        <w:jc w:val="both"/>
        <w:rPr>
          <w:rFonts w:ascii="Arial Narrow" w:hAnsi="Arial Narrow" w:cs="Arial"/>
          <w:color w:val="000000" w:themeColor="text1"/>
          <w:lang w:val="es-ES_tradnl"/>
        </w:rPr>
      </w:pPr>
    </w:p>
    <w:p w14:paraId="3F629EA5" w14:textId="77777777" w:rsidR="00D33991" w:rsidRPr="00D51533" w:rsidRDefault="00D33991" w:rsidP="00077FC7">
      <w:pPr>
        <w:spacing w:line="264" w:lineRule="auto"/>
        <w:jc w:val="both"/>
        <w:rPr>
          <w:rFonts w:ascii="Arial Narrow" w:hAnsi="Arial Narrow" w:cs="Arial"/>
          <w:b/>
          <w:color w:val="000000" w:themeColor="text1"/>
          <w:lang w:val="es-ES_tradnl"/>
        </w:rPr>
      </w:pPr>
      <w:r w:rsidRPr="00D51533">
        <w:rPr>
          <w:rFonts w:ascii="Arial Narrow" w:hAnsi="Arial Narrow" w:cs="Arial"/>
          <w:b/>
          <w:color w:val="000000" w:themeColor="text1"/>
          <w:lang w:val="es-ES_tradnl"/>
        </w:rPr>
        <w:t>2.</w:t>
      </w:r>
      <w:r w:rsidRPr="00D51533">
        <w:rPr>
          <w:rFonts w:ascii="Arial Narrow" w:hAnsi="Arial Narrow" w:cs="Arial"/>
          <w:b/>
          <w:color w:val="000000" w:themeColor="text1"/>
          <w:lang w:val="es-ES_tradnl"/>
        </w:rPr>
        <w:tab/>
        <w:t>Ámbito de aplicación del acto administrativo</w:t>
      </w:r>
    </w:p>
    <w:p w14:paraId="456CFAE8" w14:textId="27C421C5" w:rsidR="00D33991" w:rsidRPr="00D51533" w:rsidRDefault="00D33991" w:rsidP="00077FC7">
      <w:pPr>
        <w:spacing w:line="264" w:lineRule="auto"/>
        <w:jc w:val="both"/>
        <w:rPr>
          <w:rFonts w:ascii="Arial Narrow" w:hAnsi="Arial Narrow" w:cs="Arial"/>
          <w:color w:val="000000" w:themeColor="text1"/>
          <w:lang w:val="es-ES_tradnl"/>
        </w:rPr>
      </w:pPr>
    </w:p>
    <w:p w14:paraId="6E6D52CB" w14:textId="3C5AD3E5" w:rsidR="004F1C7F" w:rsidRPr="00D51533" w:rsidRDefault="00247C76" w:rsidP="00077FC7">
      <w:pPr>
        <w:spacing w:line="264" w:lineRule="auto"/>
        <w:jc w:val="both"/>
        <w:rPr>
          <w:rFonts w:ascii="Arial Narrow" w:hAnsi="Arial Narrow" w:cs="Arial"/>
          <w:color w:val="000000" w:themeColor="text1"/>
          <w:lang w:val="es-ES_tradnl"/>
        </w:rPr>
      </w:pPr>
      <w:r w:rsidRPr="00D51533">
        <w:rPr>
          <w:rFonts w:ascii="Arial Narrow" w:hAnsi="Arial Narrow" w:cs="Arial"/>
          <w:color w:val="000000" w:themeColor="text1"/>
          <w:lang w:val="es-ES_tradnl"/>
        </w:rPr>
        <w:t>Proveedores de redes y servicios de telecomunicaciones y operadores postales.</w:t>
      </w:r>
    </w:p>
    <w:p w14:paraId="5E6F4B6D" w14:textId="551BE71D" w:rsidR="004F1C7F" w:rsidRPr="00D51533" w:rsidRDefault="004F1C7F" w:rsidP="00077FC7">
      <w:pPr>
        <w:spacing w:line="264" w:lineRule="auto"/>
        <w:jc w:val="both"/>
        <w:rPr>
          <w:rFonts w:ascii="Arial Narrow" w:hAnsi="Arial Narrow" w:cs="Arial"/>
          <w:color w:val="000000" w:themeColor="text1"/>
          <w:lang w:val="es-ES_tradnl"/>
        </w:rPr>
      </w:pPr>
    </w:p>
    <w:p w14:paraId="45C30F8D" w14:textId="2DECC13D" w:rsidR="00D33991" w:rsidRPr="00D51533" w:rsidRDefault="00D33991" w:rsidP="00077FC7">
      <w:pPr>
        <w:spacing w:line="264" w:lineRule="auto"/>
        <w:jc w:val="both"/>
        <w:rPr>
          <w:rFonts w:ascii="Arial Narrow" w:hAnsi="Arial Narrow" w:cs="Arial"/>
          <w:b/>
          <w:color w:val="000000" w:themeColor="text1"/>
          <w:lang w:val="es-ES_tradnl"/>
        </w:rPr>
      </w:pPr>
      <w:r w:rsidRPr="00D51533">
        <w:rPr>
          <w:rFonts w:ascii="Arial Narrow" w:hAnsi="Arial Narrow" w:cs="Arial"/>
          <w:b/>
          <w:color w:val="000000" w:themeColor="text1"/>
          <w:lang w:val="es-ES_tradnl"/>
        </w:rPr>
        <w:t>3.</w:t>
      </w:r>
      <w:r w:rsidRPr="00D51533">
        <w:rPr>
          <w:rFonts w:ascii="Arial Narrow" w:hAnsi="Arial Narrow" w:cs="Arial"/>
          <w:b/>
          <w:color w:val="000000" w:themeColor="text1"/>
          <w:lang w:val="es-ES_tradnl"/>
        </w:rPr>
        <w:tab/>
        <w:t xml:space="preserve">Estudio preliminar de viabilidad jurídica de la expedición de la norma </w:t>
      </w:r>
    </w:p>
    <w:p w14:paraId="3ABEC44B" w14:textId="77777777" w:rsidR="005C245F" w:rsidRPr="00D51533" w:rsidRDefault="005C245F" w:rsidP="00077FC7">
      <w:pPr>
        <w:spacing w:line="264" w:lineRule="auto"/>
        <w:ind w:left="-142"/>
        <w:jc w:val="both"/>
        <w:outlineLvl w:val="0"/>
        <w:rPr>
          <w:rFonts w:ascii="Arial Narrow" w:hAnsi="Arial Narrow" w:cs="Arial"/>
          <w:b/>
          <w:color w:val="000000" w:themeColor="text1"/>
          <w:lang w:val="es-ES_tradnl"/>
        </w:rPr>
      </w:pPr>
    </w:p>
    <w:p w14:paraId="491CCA59" w14:textId="01D746AB" w:rsidR="0022613F" w:rsidRPr="00D51533" w:rsidRDefault="005C245F" w:rsidP="00D51533">
      <w:pPr>
        <w:spacing w:line="264" w:lineRule="auto"/>
        <w:jc w:val="both"/>
        <w:outlineLvl w:val="0"/>
        <w:rPr>
          <w:rFonts w:ascii="Arial Narrow" w:hAnsi="Arial Narrow" w:cs="Arial"/>
          <w:iCs/>
        </w:rPr>
      </w:pPr>
      <w:r w:rsidRPr="00D51533">
        <w:rPr>
          <w:rFonts w:ascii="Arial Narrow" w:hAnsi="Arial Narrow" w:cs="Arial"/>
          <w:bCs/>
          <w:color w:val="000000" w:themeColor="text1"/>
          <w:lang w:val="es-ES_tradnl"/>
        </w:rPr>
        <w:t>E</w:t>
      </w:r>
      <w:r w:rsidRPr="00D51533">
        <w:rPr>
          <w:rFonts w:ascii="Arial Narrow" w:hAnsi="Arial Narrow" w:cs="Arial"/>
          <w:iCs/>
        </w:rPr>
        <w:t xml:space="preserve">l numeral 6 del artículo </w:t>
      </w:r>
      <w:r w:rsidRPr="00D51533">
        <w:rPr>
          <w:rFonts w:ascii="Arial Narrow" w:hAnsi="Arial Narrow" w:cs="Arial"/>
          <w:bCs/>
          <w:iCs/>
          <w:lang w:val="es-ES_tradnl"/>
        </w:rPr>
        <w:t>2.2.15.3. del Decreto 1078 de 2015, dispone que es responsabilidad del Ministerio de Tecnologías de la Información y las Comunicaciones, entre otras, la de adoptar</w:t>
      </w:r>
      <w:r w:rsidRPr="00D51533">
        <w:rPr>
          <w:rFonts w:ascii="Arial Narrow" w:hAnsi="Arial Narrow" w:cs="Arial"/>
          <w:iCs/>
        </w:rPr>
        <w:t>, mediante resolución, la metodología, procedimiento y requisitos para la formulación, presentación, autorización, ejecución, cuantificación de la inversión y verificación de las obligaciones de hacer, que incluya el procedimiento a surtir al interior del Ministerio, así como los plazos y condiciones específicas de la formulación, presentación, aprobación, ejecución, cuantificación de la inversión y verificación de los proyectos respectivos</w:t>
      </w:r>
    </w:p>
    <w:p w14:paraId="305131CE" w14:textId="77777777" w:rsidR="005C245F" w:rsidRPr="00D51533" w:rsidRDefault="005C245F" w:rsidP="00077FC7">
      <w:pPr>
        <w:spacing w:line="264" w:lineRule="auto"/>
        <w:ind w:left="-142"/>
        <w:jc w:val="both"/>
        <w:outlineLvl w:val="0"/>
        <w:rPr>
          <w:rFonts w:ascii="Arial Narrow" w:hAnsi="Arial Narrow" w:cs="Arial"/>
          <w:lang w:val="es-ES"/>
        </w:rPr>
      </w:pPr>
    </w:p>
    <w:p w14:paraId="0BFF3D84" w14:textId="7B80B9C5" w:rsidR="00D33991" w:rsidRPr="00D51533" w:rsidRDefault="00D33991" w:rsidP="00077FC7">
      <w:pPr>
        <w:spacing w:line="264" w:lineRule="auto"/>
        <w:jc w:val="both"/>
        <w:rPr>
          <w:rFonts w:ascii="Arial Narrow" w:hAnsi="Arial Narrow" w:cs="Arial"/>
          <w:b/>
          <w:color w:val="000000" w:themeColor="text1"/>
        </w:rPr>
      </w:pPr>
      <w:r w:rsidRPr="00D51533">
        <w:rPr>
          <w:rFonts w:ascii="Arial Narrow" w:hAnsi="Arial Narrow" w:cs="Arial"/>
          <w:b/>
          <w:color w:val="000000" w:themeColor="text1"/>
          <w:lang w:eastAsia="en-US"/>
        </w:rPr>
        <w:lastRenderedPageBreak/>
        <w:t>3.</w:t>
      </w:r>
      <w:r w:rsidR="00E30A0E" w:rsidRPr="00D51533">
        <w:rPr>
          <w:rFonts w:ascii="Arial Narrow" w:hAnsi="Arial Narrow" w:cs="Arial"/>
          <w:b/>
          <w:color w:val="000000" w:themeColor="text1"/>
          <w:lang w:eastAsia="en-US"/>
        </w:rPr>
        <w:t>1</w:t>
      </w:r>
      <w:r w:rsidRPr="00D51533">
        <w:rPr>
          <w:rFonts w:ascii="Arial Narrow" w:hAnsi="Arial Narrow" w:cs="Arial"/>
          <w:b/>
          <w:color w:val="000000" w:themeColor="text1"/>
          <w:lang w:eastAsia="en-US"/>
        </w:rPr>
        <w:t>.</w:t>
      </w:r>
      <w:r w:rsidRPr="00D51533">
        <w:rPr>
          <w:rFonts w:ascii="Arial Narrow" w:hAnsi="Arial Narrow" w:cs="Arial"/>
          <w:b/>
          <w:color w:val="000000" w:themeColor="text1"/>
          <w:lang w:eastAsia="en-US"/>
        </w:rPr>
        <w:tab/>
        <w:t xml:space="preserve">Vigencia de la ley o norma reglamentada o desarrollada con el </w:t>
      </w:r>
      <w:r w:rsidRPr="00D51533">
        <w:rPr>
          <w:rFonts w:ascii="Arial Narrow" w:hAnsi="Arial Narrow" w:cs="Arial"/>
          <w:b/>
          <w:color w:val="000000" w:themeColor="text1"/>
          <w:lang w:val="es-ES_tradnl"/>
        </w:rPr>
        <w:t>acto administrativo</w:t>
      </w:r>
    </w:p>
    <w:p w14:paraId="1463BBBF" w14:textId="77777777" w:rsidR="001A536C" w:rsidRPr="00D51533" w:rsidRDefault="001A536C" w:rsidP="00077FC7">
      <w:pPr>
        <w:spacing w:line="264" w:lineRule="auto"/>
        <w:jc w:val="both"/>
        <w:rPr>
          <w:rFonts w:ascii="Arial Narrow" w:hAnsi="Arial Narrow" w:cs="Arial"/>
          <w:b/>
          <w:color w:val="000000" w:themeColor="text1"/>
        </w:rPr>
      </w:pPr>
    </w:p>
    <w:p w14:paraId="616723B6" w14:textId="412806DF" w:rsidR="0097044A" w:rsidRPr="00D51533" w:rsidRDefault="005C245F" w:rsidP="002117E3">
      <w:pPr>
        <w:spacing w:line="264" w:lineRule="auto"/>
        <w:jc w:val="both"/>
        <w:outlineLvl w:val="0"/>
        <w:rPr>
          <w:rFonts w:ascii="Arial Narrow" w:hAnsi="Arial Narrow" w:cs="Arial"/>
          <w:lang w:val="es-ES"/>
        </w:rPr>
      </w:pPr>
      <w:r w:rsidRPr="00D51533">
        <w:rPr>
          <w:rFonts w:ascii="Arial Narrow" w:hAnsi="Arial Narrow" w:cs="Arial"/>
        </w:rPr>
        <w:t xml:space="preserve">El </w:t>
      </w:r>
      <w:r w:rsidR="002117E3" w:rsidRPr="00D51533">
        <w:rPr>
          <w:rFonts w:ascii="Arial Narrow" w:hAnsi="Arial Narrow" w:cs="Arial"/>
        </w:rPr>
        <w:t>título 15 de la parte 2 del libro 2 del Decreto 1078 de 2015 se encuentra vigente.</w:t>
      </w:r>
    </w:p>
    <w:p w14:paraId="3A80A747" w14:textId="77777777" w:rsidR="00917D03" w:rsidRPr="00D51533" w:rsidRDefault="00917D03" w:rsidP="00077FC7">
      <w:pPr>
        <w:spacing w:line="264" w:lineRule="auto"/>
        <w:jc w:val="both"/>
        <w:rPr>
          <w:rFonts w:ascii="Arial Narrow" w:hAnsi="Arial Narrow" w:cs="Arial"/>
          <w:color w:val="000000" w:themeColor="text1"/>
          <w:lang w:val="es-ES"/>
        </w:rPr>
      </w:pPr>
    </w:p>
    <w:p w14:paraId="59E7BAC2" w14:textId="38C1F099" w:rsidR="00D33991" w:rsidRPr="00D51533" w:rsidRDefault="00D33991" w:rsidP="00077FC7">
      <w:pPr>
        <w:spacing w:line="264" w:lineRule="auto"/>
        <w:ind w:left="705" w:hanging="705"/>
        <w:jc w:val="both"/>
        <w:rPr>
          <w:rFonts w:ascii="Arial Narrow" w:hAnsi="Arial Narrow" w:cs="Arial"/>
          <w:b/>
          <w:color w:val="000000" w:themeColor="text1"/>
        </w:rPr>
      </w:pPr>
      <w:r w:rsidRPr="00D51533">
        <w:rPr>
          <w:rFonts w:ascii="Arial Narrow" w:hAnsi="Arial Narrow" w:cs="Arial"/>
          <w:b/>
          <w:color w:val="000000" w:themeColor="text1"/>
          <w:lang w:eastAsia="en-US"/>
        </w:rPr>
        <w:t>3.</w:t>
      </w:r>
      <w:r w:rsidR="00E30A0E" w:rsidRPr="00D51533">
        <w:rPr>
          <w:rFonts w:ascii="Arial Narrow" w:hAnsi="Arial Narrow" w:cs="Arial"/>
          <w:b/>
          <w:color w:val="000000" w:themeColor="text1"/>
          <w:lang w:eastAsia="en-US"/>
        </w:rPr>
        <w:t>2</w:t>
      </w:r>
      <w:r w:rsidRPr="00D51533">
        <w:rPr>
          <w:rFonts w:ascii="Arial Narrow" w:hAnsi="Arial Narrow" w:cs="Arial"/>
          <w:b/>
          <w:color w:val="000000" w:themeColor="text1"/>
          <w:lang w:eastAsia="en-US"/>
        </w:rPr>
        <w:t>.</w:t>
      </w:r>
      <w:r w:rsidRPr="00D51533">
        <w:rPr>
          <w:rFonts w:ascii="Arial Narrow" w:hAnsi="Arial Narrow" w:cs="Arial"/>
          <w:b/>
          <w:color w:val="000000" w:themeColor="text1"/>
          <w:lang w:eastAsia="en-US"/>
        </w:rPr>
        <w:tab/>
        <w:t xml:space="preserve">Disposiciones que se derogan, subrogan, modifican, adicionan o desarrollan con el </w:t>
      </w:r>
      <w:r w:rsidRPr="00D51533">
        <w:rPr>
          <w:rFonts w:ascii="Arial Narrow" w:hAnsi="Arial Narrow" w:cs="Arial"/>
          <w:b/>
          <w:color w:val="000000" w:themeColor="text1"/>
          <w:lang w:val="es-ES_tradnl"/>
        </w:rPr>
        <w:t>acto administrativo</w:t>
      </w:r>
    </w:p>
    <w:p w14:paraId="526B7232" w14:textId="3E745B0F" w:rsidR="00917D03" w:rsidRPr="00D51533" w:rsidRDefault="00917D03" w:rsidP="00077FC7">
      <w:pPr>
        <w:spacing w:line="264" w:lineRule="auto"/>
        <w:jc w:val="both"/>
        <w:rPr>
          <w:rFonts w:ascii="Arial Narrow" w:hAnsi="Arial Narrow" w:cs="Arial"/>
        </w:rPr>
      </w:pPr>
    </w:p>
    <w:p w14:paraId="383D5D0F" w14:textId="2F8600E2" w:rsidR="00E72108" w:rsidRPr="00D51533" w:rsidRDefault="00111499" w:rsidP="005808AA">
      <w:pPr>
        <w:spacing w:line="264" w:lineRule="auto"/>
        <w:jc w:val="both"/>
        <w:rPr>
          <w:rFonts w:ascii="Arial Narrow" w:hAnsi="Arial Narrow" w:cs="Arial"/>
          <w:lang w:val="es-ES"/>
        </w:rPr>
      </w:pPr>
      <w:r w:rsidRPr="00D51533">
        <w:rPr>
          <w:rFonts w:ascii="Arial Narrow" w:hAnsi="Arial Narrow" w:cs="Arial"/>
        </w:rPr>
        <w:t>Se derogan las Resoluciones 895 de 2016 y 2878 de 2017.</w:t>
      </w:r>
    </w:p>
    <w:p w14:paraId="35553AA8" w14:textId="77777777" w:rsidR="00E72108" w:rsidRPr="00D51533" w:rsidRDefault="00E72108" w:rsidP="00077FC7">
      <w:pPr>
        <w:spacing w:line="264" w:lineRule="auto"/>
        <w:jc w:val="both"/>
        <w:rPr>
          <w:rFonts w:ascii="Arial Narrow" w:hAnsi="Arial Narrow" w:cs="Arial"/>
          <w:color w:val="000000" w:themeColor="text1"/>
          <w:lang w:val="es-ES"/>
        </w:rPr>
      </w:pPr>
    </w:p>
    <w:p w14:paraId="033E9E64" w14:textId="64FBEC7A" w:rsidR="000B72DC" w:rsidRPr="00D51533" w:rsidRDefault="00D33991" w:rsidP="00077FC7">
      <w:pPr>
        <w:spacing w:line="264" w:lineRule="auto"/>
        <w:ind w:left="705" w:hanging="705"/>
        <w:jc w:val="both"/>
        <w:rPr>
          <w:rFonts w:ascii="Arial Narrow" w:hAnsi="Arial Narrow" w:cs="Arial"/>
          <w:b/>
          <w:color w:val="000000" w:themeColor="text1"/>
        </w:rPr>
      </w:pPr>
      <w:r w:rsidRPr="00D51533">
        <w:rPr>
          <w:rFonts w:ascii="Arial Narrow" w:hAnsi="Arial Narrow" w:cs="Arial"/>
          <w:b/>
          <w:color w:val="000000" w:themeColor="text1"/>
        </w:rPr>
        <w:t>3.</w:t>
      </w:r>
      <w:r w:rsidR="00E30A0E" w:rsidRPr="00D51533">
        <w:rPr>
          <w:rFonts w:ascii="Arial Narrow" w:hAnsi="Arial Narrow" w:cs="Arial"/>
          <w:b/>
          <w:color w:val="000000" w:themeColor="text1"/>
        </w:rPr>
        <w:t>3</w:t>
      </w:r>
      <w:r w:rsidRPr="00D51533">
        <w:rPr>
          <w:rFonts w:ascii="Arial Narrow" w:hAnsi="Arial Narrow" w:cs="Arial"/>
          <w:b/>
          <w:color w:val="000000" w:themeColor="text1"/>
        </w:rPr>
        <w:t>.</w:t>
      </w:r>
      <w:r w:rsidRPr="00D51533">
        <w:rPr>
          <w:rFonts w:ascii="Arial Narrow" w:hAnsi="Arial Narrow" w:cs="Arial"/>
          <w:color w:val="000000" w:themeColor="text1"/>
        </w:rPr>
        <w:tab/>
      </w:r>
      <w:r w:rsidRPr="00D51533">
        <w:rPr>
          <w:rFonts w:ascii="Arial Narrow" w:hAnsi="Arial Narrow" w:cs="Arial"/>
          <w:b/>
          <w:color w:val="000000" w:themeColor="text1"/>
        </w:rPr>
        <w:t>Revisión y análisis de las decisiones judiciales de los órganos de cierre de cada jurisdicción que pueden tener impacto o ser relevantes para la expedición del acto</w:t>
      </w:r>
    </w:p>
    <w:p w14:paraId="7D6674A4" w14:textId="77777777" w:rsidR="0097044A" w:rsidRPr="00D51533" w:rsidRDefault="0097044A" w:rsidP="00077FC7">
      <w:pPr>
        <w:spacing w:line="264" w:lineRule="auto"/>
        <w:ind w:left="705" w:hanging="705"/>
        <w:jc w:val="both"/>
        <w:rPr>
          <w:rFonts w:ascii="Arial Narrow" w:hAnsi="Arial Narrow" w:cs="Arial"/>
          <w:b/>
          <w:color w:val="000000" w:themeColor="text1"/>
        </w:rPr>
      </w:pPr>
    </w:p>
    <w:p w14:paraId="6AEDE783" w14:textId="21BE36C7" w:rsidR="00D33991" w:rsidRPr="00D51533" w:rsidRDefault="00111499" w:rsidP="00077FC7">
      <w:pPr>
        <w:spacing w:line="264" w:lineRule="auto"/>
        <w:ind w:left="705" w:hanging="705"/>
        <w:jc w:val="both"/>
        <w:rPr>
          <w:rFonts w:ascii="Arial Narrow" w:hAnsi="Arial Narrow" w:cs="Arial"/>
          <w:color w:val="000000" w:themeColor="text1"/>
          <w:lang w:val="es-ES"/>
        </w:rPr>
      </w:pPr>
      <w:r w:rsidRPr="00D51533">
        <w:rPr>
          <w:rFonts w:ascii="Arial Narrow" w:eastAsia="Times New Roman" w:hAnsi="Arial Narrow" w:cs="Calibri"/>
          <w:color w:val="000000"/>
          <w:bdr w:val="none" w:sz="0" w:space="0" w:color="auto" w:frame="1"/>
          <w:lang w:val="es-ES" w:eastAsia="es-ES"/>
        </w:rPr>
        <w:t>No se advierten decisiones judiciales relevantes.</w:t>
      </w:r>
    </w:p>
    <w:p w14:paraId="625EFA93" w14:textId="77777777" w:rsidR="0097044A" w:rsidRPr="00D51533" w:rsidRDefault="0097044A" w:rsidP="00077FC7">
      <w:pPr>
        <w:spacing w:line="264" w:lineRule="auto"/>
        <w:jc w:val="both"/>
        <w:rPr>
          <w:rFonts w:ascii="Arial Narrow" w:hAnsi="Arial Narrow" w:cs="Arial"/>
          <w:b/>
          <w:color w:val="000000" w:themeColor="text1"/>
        </w:rPr>
      </w:pPr>
    </w:p>
    <w:p w14:paraId="43D77D5B" w14:textId="3224619F" w:rsidR="00D33991" w:rsidRPr="00D51533" w:rsidRDefault="00D33991" w:rsidP="00077FC7">
      <w:pPr>
        <w:spacing w:line="264" w:lineRule="auto"/>
        <w:ind w:left="705" w:hanging="705"/>
        <w:jc w:val="both"/>
        <w:rPr>
          <w:rFonts w:ascii="Arial Narrow" w:hAnsi="Arial Narrow" w:cs="Arial"/>
          <w:b/>
          <w:color w:val="000000" w:themeColor="text1"/>
        </w:rPr>
      </w:pPr>
      <w:r w:rsidRPr="00D51533">
        <w:rPr>
          <w:rFonts w:ascii="Arial Narrow" w:hAnsi="Arial Narrow" w:cs="Arial"/>
          <w:b/>
          <w:color w:val="000000" w:themeColor="text1"/>
        </w:rPr>
        <w:t>3.</w:t>
      </w:r>
      <w:r w:rsidR="00E30A0E" w:rsidRPr="00D51533">
        <w:rPr>
          <w:rFonts w:ascii="Arial Narrow" w:hAnsi="Arial Narrow" w:cs="Arial"/>
          <w:b/>
          <w:color w:val="000000" w:themeColor="text1"/>
        </w:rPr>
        <w:t>4</w:t>
      </w:r>
      <w:r w:rsidRPr="00D51533">
        <w:rPr>
          <w:rFonts w:ascii="Arial Narrow" w:hAnsi="Arial Narrow" w:cs="Arial"/>
          <w:b/>
          <w:color w:val="000000" w:themeColor="text1"/>
        </w:rPr>
        <w:t>.</w:t>
      </w:r>
      <w:r w:rsidRPr="00D51533">
        <w:rPr>
          <w:rFonts w:ascii="Arial Narrow" w:hAnsi="Arial Narrow" w:cs="Arial"/>
          <w:color w:val="000000" w:themeColor="text1"/>
        </w:rPr>
        <w:tab/>
      </w:r>
      <w:r w:rsidRPr="00D51533">
        <w:rPr>
          <w:rFonts w:ascii="Arial Narrow" w:hAnsi="Arial Narrow" w:cs="Arial"/>
          <w:b/>
          <w:color w:val="000000" w:themeColor="text1"/>
        </w:rPr>
        <w:t>Advertencia de cualquier otra circunstancia jurídica que pueda ser relevante para la expedición del acto</w:t>
      </w:r>
    </w:p>
    <w:p w14:paraId="3CF0F422" w14:textId="77777777" w:rsidR="00D33991" w:rsidRPr="00D51533" w:rsidRDefault="00D33991" w:rsidP="00077FC7">
      <w:pPr>
        <w:spacing w:line="264" w:lineRule="auto"/>
        <w:jc w:val="both"/>
        <w:rPr>
          <w:rFonts w:ascii="Arial Narrow" w:hAnsi="Arial Narrow" w:cs="Arial"/>
          <w:color w:val="000000" w:themeColor="text1"/>
        </w:rPr>
      </w:pPr>
    </w:p>
    <w:p w14:paraId="32825987" w14:textId="47B1FF35" w:rsidR="00BC6B46" w:rsidRPr="00D51533" w:rsidRDefault="00111499" w:rsidP="00077FC7">
      <w:pPr>
        <w:spacing w:line="264" w:lineRule="auto"/>
        <w:jc w:val="both"/>
        <w:rPr>
          <w:rFonts w:ascii="Arial Narrow" w:hAnsi="Arial Narrow" w:cs="Arial"/>
          <w:color w:val="000000" w:themeColor="text1"/>
        </w:rPr>
      </w:pPr>
      <w:r w:rsidRPr="00D51533">
        <w:rPr>
          <w:rFonts w:ascii="Arial Narrow" w:hAnsi="Arial Narrow" w:cs="Arial"/>
          <w:color w:val="000000" w:themeColor="text1"/>
        </w:rPr>
        <w:t>No se advierten situaciones adicionales.</w:t>
      </w:r>
    </w:p>
    <w:p w14:paraId="0ADBDE42" w14:textId="12EFAD3F" w:rsidR="004167B3" w:rsidRPr="00D51533" w:rsidRDefault="004167B3" w:rsidP="00077FC7">
      <w:pPr>
        <w:spacing w:line="264" w:lineRule="auto"/>
        <w:jc w:val="both"/>
        <w:rPr>
          <w:rFonts w:ascii="Arial Narrow" w:hAnsi="Arial Narrow" w:cs="Arial"/>
          <w:color w:val="000000" w:themeColor="text1"/>
        </w:rPr>
      </w:pPr>
    </w:p>
    <w:p w14:paraId="18E1D375" w14:textId="77777777" w:rsidR="00D33991" w:rsidRPr="00D51533" w:rsidRDefault="00D33991" w:rsidP="00077FC7">
      <w:pPr>
        <w:spacing w:line="264" w:lineRule="auto"/>
        <w:jc w:val="both"/>
        <w:rPr>
          <w:rFonts w:ascii="Arial Narrow" w:hAnsi="Arial Narrow" w:cs="Arial"/>
          <w:b/>
          <w:color w:val="000000" w:themeColor="text1"/>
          <w:lang w:val="es-ES_tradnl"/>
        </w:rPr>
      </w:pPr>
      <w:r w:rsidRPr="00D51533">
        <w:rPr>
          <w:rFonts w:ascii="Arial Narrow" w:hAnsi="Arial Narrow" w:cs="Arial"/>
          <w:b/>
          <w:color w:val="000000" w:themeColor="text1"/>
          <w:lang w:val="es-ES_tradnl"/>
        </w:rPr>
        <w:t>4.</w:t>
      </w:r>
      <w:r w:rsidRPr="00D51533">
        <w:rPr>
          <w:rFonts w:ascii="Arial Narrow" w:hAnsi="Arial Narrow" w:cs="Arial"/>
          <w:b/>
          <w:color w:val="000000" w:themeColor="text1"/>
          <w:lang w:val="es-ES_tradnl"/>
        </w:rPr>
        <w:tab/>
        <w:t>Estudio preliminar sobre posible impacto económico de la norma a expedir</w:t>
      </w:r>
    </w:p>
    <w:p w14:paraId="2A79F590" w14:textId="77777777" w:rsidR="00D33991" w:rsidRPr="00D51533" w:rsidRDefault="00D33991" w:rsidP="00077FC7">
      <w:pPr>
        <w:autoSpaceDE w:val="0"/>
        <w:autoSpaceDN w:val="0"/>
        <w:adjustRightInd w:val="0"/>
        <w:spacing w:line="264" w:lineRule="auto"/>
        <w:jc w:val="both"/>
        <w:rPr>
          <w:rFonts w:ascii="Arial Narrow" w:hAnsi="Arial Narrow" w:cs="Arial"/>
          <w:color w:val="000000" w:themeColor="text1"/>
          <w:lang w:val="es-ES_tradnl"/>
        </w:rPr>
      </w:pPr>
    </w:p>
    <w:p w14:paraId="7289FBB3" w14:textId="77777777" w:rsidR="00E34B0B" w:rsidRPr="00D51533" w:rsidRDefault="00E34B0B" w:rsidP="00E34B0B">
      <w:pPr>
        <w:autoSpaceDE w:val="0"/>
        <w:autoSpaceDN w:val="0"/>
        <w:adjustRightInd w:val="0"/>
        <w:jc w:val="both"/>
        <w:rPr>
          <w:rFonts w:ascii="Arial Narrow" w:hAnsi="Arial Narrow" w:cs="Arial"/>
        </w:rPr>
      </w:pPr>
      <w:r w:rsidRPr="00D51533">
        <w:rPr>
          <w:rFonts w:ascii="Arial Narrow" w:hAnsi="Arial Narrow" w:cs="Arial"/>
        </w:rPr>
        <w:t xml:space="preserve">Las obligaciones de hacer son un mecanismo eficiente para la provisión de redes y servicios de telecomunicaciones, que beneficia principalmente a la población pobre, vulnerable, en zonas rurales y apartadas, así como a instituciones oficiales como bibliotecas, escuelas y centros de salud, igualmente, permiten la prestación de redes de emergencias. Este mecanismo ha sido usado en el país desde 2004, cuando con la asignación de permisos de espectro radioeléctrico a los operadores móviles se definieron condiciones para promover la cobertura de las redes y servicios de telecomunicaciones en zonas rurales y apartadas del país, mediante obligaciones de hacer. Esto permitió también el aumento de la cobertura móvil en los corredores viales en el país. </w:t>
      </w:r>
    </w:p>
    <w:p w14:paraId="7C180FE6" w14:textId="77777777" w:rsidR="000A1052" w:rsidRPr="00D51533" w:rsidRDefault="000A1052" w:rsidP="00077FC7">
      <w:pPr>
        <w:autoSpaceDE w:val="0"/>
        <w:autoSpaceDN w:val="0"/>
        <w:adjustRightInd w:val="0"/>
        <w:spacing w:line="264" w:lineRule="auto"/>
        <w:jc w:val="both"/>
        <w:rPr>
          <w:rFonts w:ascii="Arial Narrow" w:hAnsi="Arial Narrow" w:cs="Arial"/>
          <w:color w:val="000000" w:themeColor="text1"/>
        </w:rPr>
      </w:pPr>
    </w:p>
    <w:p w14:paraId="578E3C3F" w14:textId="77777777" w:rsidR="00D33991" w:rsidRPr="00D51533" w:rsidRDefault="00D33991" w:rsidP="00077FC7">
      <w:pPr>
        <w:autoSpaceDE w:val="0"/>
        <w:autoSpaceDN w:val="0"/>
        <w:adjustRightInd w:val="0"/>
        <w:spacing w:line="264" w:lineRule="auto"/>
        <w:jc w:val="both"/>
        <w:rPr>
          <w:rFonts w:ascii="Arial Narrow" w:hAnsi="Arial Narrow" w:cs="Arial"/>
          <w:b/>
          <w:bCs/>
          <w:color w:val="000000" w:themeColor="text1"/>
        </w:rPr>
      </w:pPr>
      <w:r w:rsidRPr="00D51533">
        <w:rPr>
          <w:rFonts w:ascii="Arial Narrow" w:hAnsi="Arial Narrow" w:cs="Arial"/>
          <w:b/>
          <w:bCs/>
          <w:color w:val="000000" w:themeColor="text1"/>
        </w:rPr>
        <w:t>5.</w:t>
      </w:r>
      <w:r w:rsidRPr="00D51533">
        <w:rPr>
          <w:rFonts w:ascii="Arial Narrow" w:hAnsi="Arial Narrow" w:cs="Arial"/>
          <w:b/>
          <w:bCs/>
          <w:color w:val="000000" w:themeColor="text1"/>
        </w:rPr>
        <w:tab/>
        <w:t>Disponibilidad presupuestal</w:t>
      </w:r>
    </w:p>
    <w:p w14:paraId="06AA28F0" w14:textId="77777777" w:rsidR="00D33991" w:rsidRPr="00D51533" w:rsidRDefault="00D33991" w:rsidP="00077FC7">
      <w:pPr>
        <w:autoSpaceDE w:val="0"/>
        <w:autoSpaceDN w:val="0"/>
        <w:adjustRightInd w:val="0"/>
        <w:spacing w:line="264" w:lineRule="auto"/>
        <w:jc w:val="both"/>
        <w:rPr>
          <w:rFonts w:ascii="Arial Narrow" w:hAnsi="Arial Narrow" w:cs="Arial"/>
          <w:b/>
          <w:bCs/>
          <w:color w:val="000000" w:themeColor="text1"/>
        </w:rPr>
      </w:pPr>
    </w:p>
    <w:p w14:paraId="1309AD15" w14:textId="4C44DBE3" w:rsidR="001E0934" w:rsidRPr="00D51533" w:rsidRDefault="001E0934" w:rsidP="001E0934">
      <w:pPr>
        <w:autoSpaceDE w:val="0"/>
        <w:autoSpaceDN w:val="0"/>
        <w:adjustRightInd w:val="0"/>
        <w:jc w:val="both"/>
        <w:rPr>
          <w:rFonts w:ascii="Arial Narrow" w:hAnsi="Arial Narrow" w:cs="Arial"/>
        </w:rPr>
      </w:pPr>
      <w:r w:rsidRPr="00D51533">
        <w:rPr>
          <w:rFonts w:ascii="Arial Narrow" w:hAnsi="Arial Narrow" w:cs="Arial"/>
        </w:rPr>
        <w:t>En 2015, la Ley 1753 incorporó las obligaciones de hacer en la legislación, como medio de pago de la contraprestación económica por el otorgamiento o renovación de permisos de uso del espectro radioeléctrico, la cual no es la única fuente de financiación del Fondo Único de TIC, por tanto, las obligaciones de hacer, además de ser una herramienta muy importante para el cierre de la brecha digital, llevando el servicio a las poblaciones más apartadas, no generan riesgos para la estabilidad del Fondo.</w:t>
      </w:r>
    </w:p>
    <w:p w14:paraId="67C43A58" w14:textId="77777777" w:rsidR="00D33991" w:rsidRPr="00D51533" w:rsidRDefault="00D33991" w:rsidP="00077FC7">
      <w:pPr>
        <w:autoSpaceDE w:val="0"/>
        <w:autoSpaceDN w:val="0"/>
        <w:adjustRightInd w:val="0"/>
        <w:spacing w:line="264" w:lineRule="auto"/>
        <w:jc w:val="both"/>
        <w:rPr>
          <w:rFonts w:ascii="Arial Narrow" w:hAnsi="Arial Narrow" w:cs="Arial"/>
          <w:b/>
          <w:bCs/>
          <w:color w:val="000000" w:themeColor="text1"/>
        </w:rPr>
      </w:pPr>
    </w:p>
    <w:p w14:paraId="6DFF1E81" w14:textId="77777777" w:rsidR="00D33991" w:rsidRPr="00D51533" w:rsidRDefault="00D33991" w:rsidP="00077FC7">
      <w:pPr>
        <w:autoSpaceDE w:val="0"/>
        <w:autoSpaceDN w:val="0"/>
        <w:adjustRightInd w:val="0"/>
        <w:spacing w:line="264" w:lineRule="auto"/>
        <w:ind w:left="705" w:hanging="705"/>
        <w:jc w:val="both"/>
        <w:rPr>
          <w:rFonts w:ascii="Arial Narrow" w:hAnsi="Arial Narrow" w:cs="Arial"/>
          <w:b/>
          <w:bCs/>
          <w:color w:val="000000" w:themeColor="text1"/>
        </w:rPr>
      </w:pPr>
      <w:r w:rsidRPr="00D51533">
        <w:rPr>
          <w:rFonts w:ascii="Arial Narrow" w:hAnsi="Arial Narrow" w:cs="Arial"/>
          <w:b/>
          <w:bCs/>
          <w:color w:val="000000" w:themeColor="text1"/>
        </w:rPr>
        <w:t>6.</w:t>
      </w:r>
      <w:r w:rsidRPr="00D51533">
        <w:rPr>
          <w:rFonts w:ascii="Arial Narrow" w:hAnsi="Arial Narrow" w:cs="Arial"/>
          <w:b/>
          <w:bCs/>
          <w:color w:val="000000" w:themeColor="text1"/>
        </w:rPr>
        <w:tab/>
      </w:r>
      <w:r w:rsidRPr="00D51533">
        <w:rPr>
          <w:rFonts w:ascii="Arial Narrow" w:hAnsi="Arial Narrow" w:cs="Arial"/>
          <w:b/>
          <w:color w:val="000000" w:themeColor="text1"/>
          <w:lang w:val="es-ES_tradnl"/>
        </w:rPr>
        <w:t>Estudio preliminar sobre posible impacto</w:t>
      </w:r>
      <w:r w:rsidRPr="00D51533">
        <w:rPr>
          <w:rFonts w:ascii="Arial Narrow" w:hAnsi="Arial Narrow" w:cs="Arial"/>
          <w:b/>
          <w:bCs/>
          <w:color w:val="000000" w:themeColor="text1"/>
        </w:rPr>
        <w:t xml:space="preserve"> medioambiental o sobre el patrimonio cultural de la Nación</w:t>
      </w:r>
    </w:p>
    <w:p w14:paraId="6F422136" w14:textId="77777777" w:rsidR="00D33991" w:rsidRPr="00D51533" w:rsidRDefault="00D33991" w:rsidP="00077FC7">
      <w:pPr>
        <w:autoSpaceDE w:val="0"/>
        <w:autoSpaceDN w:val="0"/>
        <w:adjustRightInd w:val="0"/>
        <w:spacing w:line="264" w:lineRule="auto"/>
        <w:jc w:val="both"/>
        <w:rPr>
          <w:rFonts w:ascii="Arial Narrow" w:hAnsi="Arial Narrow" w:cs="Arial"/>
          <w:color w:val="000000" w:themeColor="text1"/>
        </w:rPr>
      </w:pPr>
    </w:p>
    <w:p w14:paraId="5701199D" w14:textId="77777777" w:rsidR="00D33991" w:rsidRPr="00D51533" w:rsidRDefault="00D33991" w:rsidP="00077FC7">
      <w:pPr>
        <w:autoSpaceDE w:val="0"/>
        <w:autoSpaceDN w:val="0"/>
        <w:adjustRightInd w:val="0"/>
        <w:spacing w:line="264" w:lineRule="auto"/>
        <w:jc w:val="both"/>
        <w:rPr>
          <w:rFonts w:ascii="Arial Narrow" w:hAnsi="Arial Narrow" w:cs="Arial"/>
          <w:color w:val="000000" w:themeColor="text1"/>
        </w:rPr>
      </w:pPr>
      <w:r w:rsidRPr="00D51533">
        <w:rPr>
          <w:rFonts w:ascii="Arial Narrow" w:hAnsi="Arial Narrow" w:cs="Arial"/>
          <w:color w:val="000000" w:themeColor="text1"/>
        </w:rPr>
        <w:t>La norma para expedir no genera impacto medioambiental o sobre el patrimonio cultural de la Nación.</w:t>
      </w:r>
    </w:p>
    <w:p w14:paraId="265848A2" w14:textId="77777777" w:rsidR="00D33991" w:rsidRPr="00D51533" w:rsidRDefault="00D33991" w:rsidP="00077FC7">
      <w:pPr>
        <w:spacing w:line="264" w:lineRule="auto"/>
        <w:contextualSpacing/>
        <w:jc w:val="both"/>
        <w:rPr>
          <w:rFonts w:ascii="Arial Narrow" w:hAnsi="Arial Narrow" w:cs="Arial"/>
          <w:b/>
          <w:color w:val="000000" w:themeColor="text1"/>
        </w:rPr>
      </w:pPr>
    </w:p>
    <w:p w14:paraId="23E72A92" w14:textId="77777777" w:rsidR="00D33991" w:rsidRPr="00D51533" w:rsidRDefault="00D33991" w:rsidP="00077FC7">
      <w:pPr>
        <w:pStyle w:val="NormalWeb"/>
        <w:spacing w:before="0" w:beforeAutospacing="0" w:after="0" w:afterAutospacing="0" w:line="264" w:lineRule="auto"/>
        <w:jc w:val="both"/>
        <w:rPr>
          <w:rFonts w:ascii="Arial Narrow" w:hAnsi="Arial Narrow" w:cs="Arial"/>
          <w:b/>
          <w:color w:val="000000" w:themeColor="text1"/>
        </w:rPr>
      </w:pPr>
      <w:r w:rsidRPr="00D51533">
        <w:rPr>
          <w:rFonts w:ascii="Arial Narrow" w:hAnsi="Arial Narrow" w:cs="Arial"/>
          <w:b/>
          <w:color w:val="000000" w:themeColor="text1"/>
        </w:rPr>
        <w:t>7.</w:t>
      </w:r>
      <w:r w:rsidRPr="00D51533">
        <w:rPr>
          <w:rFonts w:ascii="Arial Narrow" w:hAnsi="Arial Narrow" w:cs="Arial"/>
          <w:b/>
          <w:color w:val="000000" w:themeColor="text1"/>
        </w:rPr>
        <w:tab/>
        <w:t>Manifestación de Impacto Regulatorio</w:t>
      </w:r>
    </w:p>
    <w:p w14:paraId="7658F3F5" w14:textId="77777777" w:rsidR="00D33991" w:rsidRPr="00D51533" w:rsidRDefault="00D33991" w:rsidP="00077FC7">
      <w:pPr>
        <w:pStyle w:val="NormalWeb"/>
        <w:spacing w:before="0" w:beforeAutospacing="0" w:after="0" w:afterAutospacing="0" w:line="264" w:lineRule="auto"/>
        <w:jc w:val="both"/>
        <w:rPr>
          <w:rFonts w:ascii="Arial Narrow" w:hAnsi="Arial Narrow" w:cs="Arial"/>
          <w:color w:val="000000" w:themeColor="text1"/>
        </w:rPr>
      </w:pPr>
    </w:p>
    <w:p w14:paraId="067039DD" w14:textId="77777777" w:rsidR="005808AA" w:rsidRPr="00D51533" w:rsidRDefault="005808AA" w:rsidP="005808AA">
      <w:pPr>
        <w:spacing w:line="264" w:lineRule="auto"/>
        <w:jc w:val="both"/>
        <w:rPr>
          <w:rFonts w:ascii="Arial Narrow" w:eastAsia="Times New Roman" w:hAnsi="Arial Narrow" w:cs="Arial"/>
          <w:color w:val="000000" w:themeColor="text1"/>
          <w:lang w:val="es-ES" w:eastAsia="es-ES"/>
        </w:rPr>
      </w:pPr>
      <w:r w:rsidRPr="00D51533">
        <w:rPr>
          <w:rFonts w:ascii="Arial Narrow" w:eastAsia="Times New Roman" w:hAnsi="Arial Narrow" w:cs="Arial"/>
          <w:color w:val="000000" w:themeColor="text1"/>
          <w:lang w:val="es-ES" w:eastAsia="es-ES"/>
        </w:rPr>
        <w:t>El proyecto de resolución no genera una nueva obligación y por tanto no necesita manifestación de impacto regulatorio.</w:t>
      </w:r>
    </w:p>
    <w:p w14:paraId="4D9404CD" w14:textId="5C6E16DE" w:rsidR="00D33991" w:rsidRPr="00077FC7" w:rsidRDefault="00D33991" w:rsidP="005808AA">
      <w:pPr>
        <w:spacing w:line="264" w:lineRule="auto"/>
        <w:jc w:val="both"/>
        <w:rPr>
          <w:rFonts w:ascii="Arial Narrow" w:eastAsia="Times New Roman" w:hAnsi="Arial Narrow" w:cs="Arial"/>
          <w:color w:val="000000" w:themeColor="text1"/>
          <w:sz w:val="22"/>
          <w:szCs w:val="22"/>
          <w:lang w:val="es-ES" w:eastAsia="es-ES"/>
        </w:rPr>
      </w:pPr>
    </w:p>
    <w:sectPr w:rsidR="00D33991" w:rsidRPr="00077FC7" w:rsidSect="00BC54B0">
      <w:headerReference w:type="default" r:id="rId11"/>
      <w:footerReference w:type="default" r:id="rId12"/>
      <w:pgSz w:w="12240" w:h="15840" w:code="1"/>
      <w:pgMar w:top="1418" w:right="104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8D049" w14:textId="77777777" w:rsidR="00D76038" w:rsidRDefault="00D76038" w:rsidP="00D33991">
      <w:r>
        <w:separator/>
      </w:r>
    </w:p>
  </w:endnote>
  <w:endnote w:type="continuationSeparator" w:id="0">
    <w:p w14:paraId="7B137986" w14:textId="77777777" w:rsidR="00D76038" w:rsidRDefault="00D76038" w:rsidP="00D33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793503AD" w14:textId="77777777" w:rsidR="00CD1720" w:rsidRDefault="00D51533" w:rsidP="00CB061F">
            <w:pPr>
              <w:pStyle w:val="Piedepgina"/>
              <w:rPr>
                <w:rFonts w:ascii="Arial Narrow" w:hAnsi="Arial Narrow"/>
                <w:sz w:val="16"/>
                <w:szCs w:val="16"/>
              </w:rPr>
            </w:pPr>
          </w:p>
          <w:p w14:paraId="01DAF6DE" w14:textId="1059A17C" w:rsidR="00CD1720" w:rsidRDefault="00CF7CD5"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FC759F">
              <w:rPr>
                <w:rFonts w:ascii="Arial Narrow" w:hAnsi="Arial Narrow"/>
                <w:bCs/>
                <w:noProof/>
                <w:sz w:val="16"/>
                <w:szCs w:val="16"/>
              </w:rPr>
              <w:t>4</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FC759F">
              <w:rPr>
                <w:rFonts w:ascii="Arial Narrow" w:hAnsi="Arial Narrow"/>
                <w:bCs/>
                <w:noProof/>
                <w:sz w:val="16"/>
                <w:szCs w:val="16"/>
              </w:rPr>
              <w:t>4</w:t>
            </w:r>
            <w:r w:rsidRPr="00374DDE">
              <w:rPr>
                <w:rFonts w:ascii="Arial Narrow" w:hAnsi="Arial Narrow"/>
                <w:bCs/>
                <w:sz w:val="16"/>
                <w:szCs w:val="16"/>
              </w:rPr>
              <w:fldChar w:fldCharType="end"/>
            </w:r>
            <w:r>
              <w:rPr>
                <w:rFonts w:ascii="Arial Narrow" w:hAnsi="Arial Narrow"/>
                <w:bCs/>
                <w:sz w:val="16"/>
                <w:szCs w:val="16"/>
              </w:rPr>
              <w:tab/>
              <w:t>GJU-TIC-FM-013</w:t>
            </w:r>
          </w:p>
          <w:p w14:paraId="483D4F3B" w14:textId="36BFB9A0" w:rsidR="00CD1720" w:rsidRPr="00374DDE" w:rsidRDefault="00CF7CD5"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73156732" w14:textId="77777777" w:rsidR="00CD1720" w:rsidRDefault="00D515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032D4" w14:textId="77777777" w:rsidR="00D76038" w:rsidRDefault="00D76038" w:rsidP="00D33991">
      <w:r>
        <w:separator/>
      </w:r>
    </w:p>
  </w:footnote>
  <w:footnote w:type="continuationSeparator" w:id="0">
    <w:p w14:paraId="6A29CCAB" w14:textId="77777777" w:rsidR="00D76038" w:rsidRDefault="00D76038" w:rsidP="00D33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61" w:type="pct"/>
      <w:jc w:val="center"/>
      <w:tblBorders>
        <w:insideH w:val="single" w:sz="4" w:space="0" w:color="auto"/>
      </w:tblBorders>
      <w:tblLook w:val="01E0" w:firstRow="1" w:lastRow="1" w:firstColumn="1" w:lastColumn="1" w:noHBand="0" w:noVBand="0"/>
    </w:tblPr>
    <w:tblGrid>
      <w:gridCol w:w="10993"/>
    </w:tblGrid>
    <w:tr w:rsidR="00CD1720" w:rsidRPr="00384075" w14:paraId="68B9F1BE" w14:textId="77777777" w:rsidTr="001F260D">
      <w:trPr>
        <w:trHeight w:val="565"/>
        <w:jc w:val="center"/>
      </w:trPr>
      <w:tc>
        <w:tcPr>
          <w:tcW w:w="9889" w:type="dxa"/>
          <w:vAlign w:val="center"/>
        </w:tcPr>
        <w:p w14:paraId="481A8212" w14:textId="77777777" w:rsidR="00CD1720" w:rsidRPr="00384075" w:rsidRDefault="00CF7CD5"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606"/>
            <w:gridCol w:w="4871"/>
            <w:gridCol w:w="1556"/>
          </w:tblGrid>
          <w:tr w:rsidR="00CD1720" w14:paraId="525822C7" w14:textId="77777777" w:rsidTr="00687CCA">
            <w:trPr>
              <w:trHeight w:val="1275"/>
            </w:trPr>
            <w:tc>
              <w:tcPr>
                <w:tcW w:w="2183" w:type="dxa"/>
                <w:vAlign w:val="center"/>
              </w:tcPr>
              <w:p w14:paraId="3BFCBF13" w14:textId="77777777" w:rsidR="00CD1720" w:rsidRDefault="00CF7CD5" w:rsidP="00282E9D">
                <w:pPr>
                  <w:pStyle w:val="Encabezado"/>
                  <w:jc w:val="center"/>
                </w:pPr>
                <w:r>
                  <w:rPr>
                    <w:noProof/>
                    <w:lang w:val="es-CO" w:eastAsia="es-CO"/>
                  </w:rPr>
                  <w:drawing>
                    <wp:inline distT="0" distB="0" distL="0" distR="0" wp14:anchorId="78B2154E" wp14:editId="62E853A2">
                      <wp:extent cx="2148840" cy="388620"/>
                      <wp:effectExtent l="0" t="0" r="3810" b="0"/>
                      <wp:docPr id="23" name="Imagen 23"/>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2148840" cy="388620"/>
                              </a:xfrm>
                              <a:prstGeom prst="rect">
                                <a:avLst/>
                              </a:prstGeom>
                            </pic:spPr>
                          </pic:pic>
                        </a:graphicData>
                      </a:graphic>
                    </wp:inline>
                  </w:drawing>
                </w:r>
              </w:p>
            </w:tc>
            <w:tc>
              <w:tcPr>
                <w:tcW w:w="6264" w:type="dxa"/>
                <w:vAlign w:val="center"/>
              </w:tcPr>
              <w:p w14:paraId="6A3B057B" w14:textId="77777777" w:rsidR="00CD1720" w:rsidRPr="00BB1B4A" w:rsidRDefault="00CF7CD5" w:rsidP="00282E9D">
                <w:pPr>
                  <w:jc w:val="center"/>
                  <w:rPr>
                    <w:rFonts w:ascii="Arial Narrow" w:hAnsi="Arial Narrow"/>
                    <w:b/>
                  </w:rPr>
                </w:pPr>
                <w:r w:rsidRPr="00BB1B4A">
                  <w:rPr>
                    <w:rFonts w:ascii="Arial Narrow" w:hAnsi="Arial Narrow"/>
                    <w:b/>
                  </w:rPr>
                  <w:t>SOPORTE TÉCNICO</w:t>
                </w:r>
              </w:p>
            </w:tc>
            <w:tc>
              <w:tcPr>
                <w:tcW w:w="1586" w:type="dxa"/>
                <w:vAlign w:val="center"/>
              </w:tcPr>
              <w:p w14:paraId="754E27C2" w14:textId="77777777" w:rsidR="00CD1720" w:rsidRDefault="00CF7CD5" w:rsidP="00282E9D">
                <w:pPr>
                  <w:pStyle w:val="Encabezado"/>
                  <w:jc w:val="center"/>
                </w:pPr>
                <w:r w:rsidRPr="004161E7">
                  <w:rPr>
                    <w:noProof/>
                    <w:lang w:val="es-CO" w:eastAsia="es-CO"/>
                  </w:rPr>
                  <w:drawing>
                    <wp:inline distT="0" distB="0" distL="0" distR="0" wp14:anchorId="05DD6943" wp14:editId="1A1BE90A">
                      <wp:extent cx="791570" cy="768114"/>
                      <wp:effectExtent l="0" t="0" r="8890" b="0"/>
                      <wp:docPr id="2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3B1C50" w14:textId="77777777" w:rsidR="00CD1720" w:rsidRPr="00384075" w:rsidRDefault="00D51533" w:rsidP="009320D2">
          <w:pPr>
            <w:pStyle w:val="Estilo2"/>
            <w:numPr>
              <w:ilvl w:val="0"/>
              <w:numId w:val="0"/>
            </w:numPr>
            <w:ind w:left="360"/>
            <w:jc w:val="right"/>
            <w:rPr>
              <w:rFonts w:ascii="Arial" w:hAnsi="Arial" w:cs="Arial"/>
            </w:rPr>
          </w:pPr>
        </w:p>
      </w:tc>
    </w:tr>
  </w:tbl>
  <w:p w14:paraId="407BE735" w14:textId="77777777" w:rsidR="00CD1720" w:rsidRPr="00874DE8" w:rsidRDefault="00D51533"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5EDE"/>
    <w:multiLevelType w:val="multilevel"/>
    <w:tmpl w:val="7DD83C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9242FD8"/>
    <w:multiLevelType w:val="hybridMultilevel"/>
    <w:tmpl w:val="8DBAB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8D45CF"/>
    <w:multiLevelType w:val="hybridMultilevel"/>
    <w:tmpl w:val="C2E0C5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3AC30BA"/>
    <w:multiLevelType w:val="hybridMultilevel"/>
    <w:tmpl w:val="E6AE4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5" w15:restartNumberingAfterBreak="0">
    <w:nsid w:val="40B40D24"/>
    <w:multiLevelType w:val="hybridMultilevel"/>
    <w:tmpl w:val="9626C486"/>
    <w:lvl w:ilvl="0" w:tplc="240A0001">
      <w:start w:val="1"/>
      <w:numFmt w:val="bullet"/>
      <w:lvlText w:val=""/>
      <w:lvlJc w:val="left"/>
      <w:pPr>
        <w:ind w:left="2750" w:hanging="360"/>
      </w:pPr>
      <w:rPr>
        <w:rFonts w:ascii="Symbol" w:hAnsi="Symbol" w:hint="default"/>
      </w:rPr>
    </w:lvl>
    <w:lvl w:ilvl="1" w:tplc="240A0003">
      <w:start w:val="1"/>
      <w:numFmt w:val="bullet"/>
      <w:lvlText w:val="o"/>
      <w:lvlJc w:val="left"/>
      <w:pPr>
        <w:ind w:left="3470" w:hanging="360"/>
      </w:pPr>
      <w:rPr>
        <w:rFonts w:ascii="Courier New" w:hAnsi="Courier New" w:cs="Courier New" w:hint="default"/>
      </w:rPr>
    </w:lvl>
    <w:lvl w:ilvl="2" w:tplc="240A0005">
      <w:start w:val="1"/>
      <w:numFmt w:val="bullet"/>
      <w:lvlText w:val=""/>
      <w:lvlJc w:val="left"/>
      <w:pPr>
        <w:ind w:left="4190" w:hanging="360"/>
      </w:pPr>
      <w:rPr>
        <w:rFonts w:ascii="Wingdings" w:hAnsi="Wingdings" w:hint="default"/>
      </w:rPr>
    </w:lvl>
    <w:lvl w:ilvl="3" w:tplc="240A0001">
      <w:start w:val="1"/>
      <w:numFmt w:val="bullet"/>
      <w:lvlText w:val=""/>
      <w:lvlJc w:val="left"/>
      <w:pPr>
        <w:ind w:left="4910" w:hanging="360"/>
      </w:pPr>
      <w:rPr>
        <w:rFonts w:ascii="Symbol" w:hAnsi="Symbol" w:hint="default"/>
      </w:rPr>
    </w:lvl>
    <w:lvl w:ilvl="4" w:tplc="240A0003">
      <w:start w:val="1"/>
      <w:numFmt w:val="bullet"/>
      <w:lvlText w:val="o"/>
      <w:lvlJc w:val="left"/>
      <w:pPr>
        <w:ind w:left="5630" w:hanging="360"/>
      </w:pPr>
      <w:rPr>
        <w:rFonts w:ascii="Courier New" w:hAnsi="Courier New" w:cs="Courier New" w:hint="default"/>
      </w:rPr>
    </w:lvl>
    <w:lvl w:ilvl="5" w:tplc="240A0005">
      <w:start w:val="1"/>
      <w:numFmt w:val="bullet"/>
      <w:lvlText w:val=""/>
      <w:lvlJc w:val="left"/>
      <w:pPr>
        <w:ind w:left="6350" w:hanging="360"/>
      </w:pPr>
      <w:rPr>
        <w:rFonts w:ascii="Wingdings" w:hAnsi="Wingdings" w:hint="default"/>
      </w:rPr>
    </w:lvl>
    <w:lvl w:ilvl="6" w:tplc="240A0001">
      <w:start w:val="1"/>
      <w:numFmt w:val="bullet"/>
      <w:lvlText w:val=""/>
      <w:lvlJc w:val="left"/>
      <w:pPr>
        <w:ind w:left="7070" w:hanging="360"/>
      </w:pPr>
      <w:rPr>
        <w:rFonts w:ascii="Symbol" w:hAnsi="Symbol" w:hint="default"/>
      </w:rPr>
    </w:lvl>
    <w:lvl w:ilvl="7" w:tplc="240A0003">
      <w:start w:val="1"/>
      <w:numFmt w:val="bullet"/>
      <w:lvlText w:val="o"/>
      <w:lvlJc w:val="left"/>
      <w:pPr>
        <w:ind w:left="7790" w:hanging="360"/>
      </w:pPr>
      <w:rPr>
        <w:rFonts w:ascii="Courier New" w:hAnsi="Courier New" w:cs="Courier New" w:hint="default"/>
      </w:rPr>
    </w:lvl>
    <w:lvl w:ilvl="8" w:tplc="240A0005">
      <w:start w:val="1"/>
      <w:numFmt w:val="bullet"/>
      <w:lvlText w:val=""/>
      <w:lvlJc w:val="left"/>
      <w:pPr>
        <w:ind w:left="8510" w:hanging="360"/>
      </w:pPr>
      <w:rPr>
        <w:rFonts w:ascii="Wingdings" w:hAnsi="Wingdings" w:hint="default"/>
      </w:rPr>
    </w:lvl>
  </w:abstractNum>
  <w:abstractNum w:abstractNumId="6" w15:restartNumberingAfterBreak="0">
    <w:nsid w:val="65D8653D"/>
    <w:multiLevelType w:val="hybridMultilevel"/>
    <w:tmpl w:val="65362BE8"/>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7" w15:restartNumberingAfterBreak="0">
    <w:nsid w:val="7E35087F"/>
    <w:multiLevelType w:val="hybridMultilevel"/>
    <w:tmpl w:val="2F984904"/>
    <w:lvl w:ilvl="0" w:tplc="9A981EB4">
      <w:start w:val="1"/>
      <w:numFmt w:val="lowerLetter"/>
      <w:lvlText w:val="%1)"/>
      <w:lvlJc w:val="left"/>
      <w:pPr>
        <w:ind w:left="530" w:hanging="360"/>
      </w:pPr>
    </w:lvl>
    <w:lvl w:ilvl="1" w:tplc="240A0019">
      <w:start w:val="1"/>
      <w:numFmt w:val="lowerLetter"/>
      <w:lvlText w:val="%2."/>
      <w:lvlJc w:val="left"/>
      <w:pPr>
        <w:ind w:left="1250" w:hanging="360"/>
      </w:pPr>
    </w:lvl>
    <w:lvl w:ilvl="2" w:tplc="240A001B">
      <w:start w:val="1"/>
      <w:numFmt w:val="lowerRoman"/>
      <w:lvlText w:val="%3."/>
      <w:lvlJc w:val="right"/>
      <w:pPr>
        <w:ind w:left="1970" w:hanging="180"/>
      </w:pPr>
    </w:lvl>
    <w:lvl w:ilvl="3" w:tplc="240A000F">
      <w:start w:val="1"/>
      <w:numFmt w:val="decimal"/>
      <w:lvlText w:val="%4."/>
      <w:lvlJc w:val="left"/>
      <w:pPr>
        <w:ind w:left="2690" w:hanging="360"/>
      </w:pPr>
    </w:lvl>
    <w:lvl w:ilvl="4" w:tplc="240A0019">
      <w:start w:val="1"/>
      <w:numFmt w:val="lowerLetter"/>
      <w:lvlText w:val="%5."/>
      <w:lvlJc w:val="left"/>
      <w:pPr>
        <w:ind w:left="3410" w:hanging="360"/>
      </w:pPr>
    </w:lvl>
    <w:lvl w:ilvl="5" w:tplc="240A001B">
      <w:start w:val="1"/>
      <w:numFmt w:val="lowerRoman"/>
      <w:lvlText w:val="%6."/>
      <w:lvlJc w:val="right"/>
      <w:pPr>
        <w:ind w:left="4130" w:hanging="180"/>
      </w:pPr>
    </w:lvl>
    <w:lvl w:ilvl="6" w:tplc="240A000F">
      <w:start w:val="1"/>
      <w:numFmt w:val="decimal"/>
      <w:lvlText w:val="%7."/>
      <w:lvlJc w:val="left"/>
      <w:pPr>
        <w:ind w:left="4850" w:hanging="360"/>
      </w:pPr>
    </w:lvl>
    <w:lvl w:ilvl="7" w:tplc="240A0019">
      <w:start w:val="1"/>
      <w:numFmt w:val="lowerLetter"/>
      <w:lvlText w:val="%8."/>
      <w:lvlJc w:val="left"/>
      <w:pPr>
        <w:ind w:left="5570" w:hanging="360"/>
      </w:pPr>
    </w:lvl>
    <w:lvl w:ilvl="8" w:tplc="240A001B">
      <w:start w:val="1"/>
      <w:numFmt w:val="lowerRoman"/>
      <w:lvlText w:val="%9."/>
      <w:lvlJc w:val="right"/>
      <w:pPr>
        <w:ind w:left="6290" w:hanging="180"/>
      </w:pPr>
    </w:lvl>
  </w:abstractNum>
  <w:num w:numId="1">
    <w:abstractNumId w:val="4"/>
  </w:num>
  <w:num w:numId="2">
    <w:abstractNumId w:val="0"/>
  </w:num>
  <w:num w:numId="3">
    <w:abstractNumId w:val="1"/>
  </w:num>
  <w:num w:numId="4">
    <w:abstractNumId w:val="6"/>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991"/>
    <w:rsid w:val="00051338"/>
    <w:rsid w:val="00062618"/>
    <w:rsid w:val="00062C5E"/>
    <w:rsid w:val="00077FC7"/>
    <w:rsid w:val="00085D6D"/>
    <w:rsid w:val="000A1052"/>
    <w:rsid w:val="000B59C2"/>
    <w:rsid w:val="000B72DC"/>
    <w:rsid w:val="000D234C"/>
    <w:rsid w:val="000E066C"/>
    <w:rsid w:val="000E160F"/>
    <w:rsid w:val="000E4305"/>
    <w:rsid w:val="000F4F69"/>
    <w:rsid w:val="00111499"/>
    <w:rsid w:val="001414CB"/>
    <w:rsid w:val="00167B8D"/>
    <w:rsid w:val="0019752E"/>
    <w:rsid w:val="001A536C"/>
    <w:rsid w:val="001D61F7"/>
    <w:rsid w:val="001D7769"/>
    <w:rsid w:val="001E0934"/>
    <w:rsid w:val="00203533"/>
    <w:rsid w:val="002117E3"/>
    <w:rsid w:val="002232A3"/>
    <w:rsid w:val="0022613F"/>
    <w:rsid w:val="00235A68"/>
    <w:rsid w:val="00247C76"/>
    <w:rsid w:val="00263FE5"/>
    <w:rsid w:val="002856B6"/>
    <w:rsid w:val="002B551F"/>
    <w:rsid w:val="002D34F1"/>
    <w:rsid w:val="002E7108"/>
    <w:rsid w:val="002E7E8E"/>
    <w:rsid w:val="003227F8"/>
    <w:rsid w:val="00337A47"/>
    <w:rsid w:val="00347CD1"/>
    <w:rsid w:val="00361F85"/>
    <w:rsid w:val="00390140"/>
    <w:rsid w:val="003C6CCA"/>
    <w:rsid w:val="003D1650"/>
    <w:rsid w:val="003E1A06"/>
    <w:rsid w:val="003E59D2"/>
    <w:rsid w:val="003E70DB"/>
    <w:rsid w:val="003F2F7B"/>
    <w:rsid w:val="004167B3"/>
    <w:rsid w:val="00431CD3"/>
    <w:rsid w:val="00470781"/>
    <w:rsid w:val="004A1748"/>
    <w:rsid w:val="004B72EF"/>
    <w:rsid w:val="004D4181"/>
    <w:rsid w:val="004F1C7F"/>
    <w:rsid w:val="00553372"/>
    <w:rsid w:val="005808AA"/>
    <w:rsid w:val="005C245F"/>
    <w:rsid w:val="005D6289"/>
    <w:rsid w:val="00620D52"/>
    <w:rsid w:val="006B2153"/>
    <w:rsid w:val="006B64EE"/>
    <w:rsid w:val="006D1D5F"/>
    <w:rsid w:val="006F71F5"/>
    <w:rsid w:val="00721D5F"/>
    <w:rsid w:val="007222E9"/>
    <w:rsid w:val="00730817"/>
    <w:rsid w:val="00742ED8"/>
    <w:rsid w:val="007730B6"/>
    <w:rsid w:val="00795957"/>
    <w:rsid w:val="007C7ADA"/>
    <w:rsid w:val="007E4113"/>
    <w:rsid w:val="007E6AEB"/>
    <w:rsid w:val="007F2105"/>
    <w:rsid w:val="00801C3E"/>
    <w:rsid w:val="00814727"/>
    <w:rsid w:val="00841EDC"/>
    <w:rsid w:val="00844983"/>
    <w:rsid w:val="00855229"/>
    <w:rsid w:val="008A22D7"/>
    <w:rsid w:val="008A60EE"/>
    <w:rsid w:val="008A6213"/>
    <w:rsid w:val="00917D03"/>
    <w:rsid w:val="00931330"/>
    <w:rsid w:val="0093197C"/>
    <w:rsid w:val="00964F3C"/>
    <w:rsid w:val="00964FCF"/>
    <w:rsid w:val="0097044A"/>
    <w:rsid w:val="00981158"/>
    <w:rsid w:val="009968B6"/>
    <w:rsid w:val="009A47C6"/>
    <w:rsid w:val="009B0868"/>
    <w:rsid w:val="009C692B"/>
    <w:rsid w:val="009F7B7A"/>
    <w:rsid w:val="00AC6D46"/>
    <w:rsid w:val="00B347E4"/>
    <w:rsid w:val="00B36286"/>
    <w:rsid w:val="00B4227D"/>
    <w:rsid w:val="00B46E96"/>
    <w:rsid w:val="00B5086B"/>
    <w:rsid w:val="00BA529D"/>
    <w:rsid w:val="00BB7AAA"/>
    <w:rsid w:val="00BC3EC1"/>
    <w:rsid w:val="00BC54B0"/>
    <w:rsid w:val="00BC6B46"/>
    <w:rsid w:val="00BF23D4"/>
    <w:rsid w:val="00C06C61"/>
    <w:rsid w:val="00C07683"/>
    <w:rsid w:val="00C21257"/>
    <w:rsid w:val="00C224F8"/>
    <w:rsid w:val="00C32090"/>
    <w:rsid w:val="00C33A29"/>
    <w:rsid w:val="00C40F3D"/>
    <w:rsid w:val="00C7798F"/>
    <w:rsid w:val="00C91CF2"/>
    <w:rsid w:val="00C931E0"/>
    <w:rsid w:val="00CA1221"/>
    <w:rsid w:val="00CD5A09"/>
    <w:rsid w:val="00CF7CD5"/>
    <w:rsid w:val="00D064C2"/>
    <w:rsid w:val="00D32322"/>
    <w:rsid w:val="00D33991"/>
    <w:rsid w:val="00D51533"/>
    <w:rsid w:val="00D56338"/>
    <w:rsid w:val="00D76038"/>
    <w:rsid w:val="00D77F2E"/>
    <w:rsid w:val="00DA5D6D"/>
    <w:rsid w:val="00DC5DFE"/>
    <w:rsid w:val="00DE024F"/>
    <w:rsid w:val="00E307A9"/>
    <w:rsid w:val="00E30A0E"/>
    <w:rsid w:val="00E34B0B"/>
    <w:rsid w:val="00E543A6"/>
    <w:rsid w:val="00E705DA"/>
    <w:rsid w:val="00E72108"/>
    <w:rsid w:val="00E8258B"/>
    <w:rsid w:val="00E83C8D"/>
    <w:rsid w:val="00EC1E02"/>
    <w:rsid w:val="00EE0663"/>
    <w:rsid w:val="00EE5AF5"/>
    <w:rsid w:val="00EF00A4"/>
    <w:rsid w:val="00F46455"/>
    <w:rsid w:val="00F52E72"/>
    <w:rsid w:val="00F608BE"/>
    <w:rsid w:val="00F71C24"/>
    <w:rsid w:val="00F9012C"/>
    <w:rsid w:val="00F94A74"/>
    <w:rsid w:val="00FA535B"/>
    <w:rsid w:val="00FC759F"/>
    <w:rsid w:val="00FD2D80"/>
    <w:rsid w:val="00FD54CC"/>
    <w:rsid w:val="00FF19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56A4C"/>
  <w15:chartTrackingRefBased/>
  <w15:docId w15:val="{62F812E7-4C02-41DE-9D9E-DB148D94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991"/>
    <w:pPr>
      <w:spacing w:after="0" w:line="240" w:lineRule="auto"/>
    </w:pPr>
    <w:rPr>
      <w:rFonts w:ascii="Times New Roman" w:eastAsia="Calibri" w:hAnsi="Times New Roman" w:cs="Times New Roman"/>
      <w:sz w:val="24"/>
      <w:szCs w:val="24"/>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TextonotapieCar"/>
    <w:uiPriority w:val="99"/>
    <w:qFormat/>
    <w:rsid w:val="00D33991"/>
    <w:rPr>
      <w:rFonts w:eastAsia="Times New Roman"/>
      <w:sz w:val="20"/>
      <w:szCs w:val="20"/>
      <w:lang w:val="x-none" w:eastAsia="es-ES"/>
    </w:rPr>
  </w:style>
  <w:style w:type="character" w:customStyle="1" w:styleId="TextonotapieCar">
    <w:name w:val="Texto nota pie Car"/>
    <w:aliases w:val="ALTS FOOTNOTE Car,Footnote Text Char1 Car,Footnote Text Char Char1 Car,Footnote Text Char4 Char Char Car,Footnote Text Char1 Char1 Char1 Char Car,Footnote Text Char Char1 Char1 Char Char Car,DNV-FT Car"/>
    <w:basedOn w:val="Fuentedeprrafopredeter"/>
    <w:link w:val="Textonotapie"/>
    <w:uiPriority w:val="99"/>
    <w:rsid w:val="00D33991"/>
    <w:rPr>
      <w:rFonts w:ascii="Times New Roman" w:eastAsia="Times New Roman" w:hAnsi="Times New Roman" w:cs="Times New Roman"/>
      <w:sz w:val="20"/>
      <w:szCs w:val="20"/>
      <w:lang w:val="x-none" w:eastAsia="es-ES"/>
    </w:rPr>
  </w:style>
  <w:style w:type="character" w:styleId="Refdenotaalpie">
    <w:name w:val="footnote reference"/>
    <w:aliases w:val="Appel note de bas de p,Footnote Reference/,Ref,de nota al pie"/>
    <w:uiPriority w:val="99"/>
    <w:rsid w:val="00D33991"/>
    <w:rPr>
      <w:vertAlign w:val="superscript"/>
    </w:rPr>
  </w:style>
  <w:style w:type="character" w:styleId="Refdecomentario">
    <w:name w:val="annotation reference"/>
    <w:uiPriority w:val="99"/>
    <w:semiHidden/>
    <w:unhideWhenUsed/>
    <w:rsid w:val="00D33991"/>
    <w:rPr>
      <w:sz w:val="16"/>
      <w:szCs w:val="16"/>
    </w:rPr>
  </w:style>
  <w:style w:type="paragraph" w:styleId="Textocomentario">
    <w:name w:val="annotation text"/>
    <w:basedOn w:val="Normal"/>
    <w:link w:val="TextocomentarioCar"/>
    <w:uiPriority w:val="99"/>
    <w:semiHidden/>
    <w:unhideWhenUsed/>
    <w:rsid w:val="00D33991"/>
    <w:rPr>
      <w:sz w:val="20"/>
      <w:szCs w:val="20"/>
      <w:lang w:val="x-none"/>
    </w:rPr>
  </w:style>
  <w:style w:type="character" w:customStyle="1" w:styleId="TextocomentarioCar">
    <w:name w:val="Texto comentario Car"/>
    <w:basedOn w:val="Fuentedeprrafopredeter"/>
    <w:link w:val="Textocomentario"/>
    <w:uiPriority w:val="99"/>
    <w:semiHidden/>
    <w:rsid w:val="00D33991"/>
    <w:rPr>
      <w:rFonts w:ascii="Times New Roman" w:eastAsia="Calibri" w:hAnsi="Times New Roman" w:cs="Times New Roman"/>
      <w:sz w:val="20"/>
      <w:szCs w:val="20"/>
      <w:lang w:val="x-none" w:eastAsia="es-CO"/>
    </w:rPr>
  </w:style>
  <w:style w:type="paragraph" w:styleId="Encabezado">
    <w:name w:val="header"/>
    <w:basedOn w:val="Normal"/>
    <w:link w:val="EncabezadoCar"/>
    <w:uiPriority w:val="99"/>
    <w:rsid w:val="00D33991"/>
    <w:pPr>
      <w:tabs>
        <w:tab w:val="center" w:pos="4252"/>
        <w:tab w:val="right" w:pos="8504"/>
      </w:tabs>
    </w:pPr>
    <w:rPr>
      <w:rFonts w:eastAsia="Times New Roman"/>
      <w:lang w:val="x-none" w:eastAsia="es-ES"/>
    </w:rPr>
  </w:style>
  <w:style w:type="character" w:customStyle="1" w:styleId="EncabezadoCar">
    <w:name w:val="Encabezado Car"/>
    <w:basedOn w:val="Fuentedeprrafopredeter"/>
    <w:link w:val="Encabezado"/>
    <w:uiPriority w:val="99"/>
    <w:rsid w:val="00D33991"/>
    <w:rPr>
      <w:rFonts w:ascii="Times New Roman" w:eastAsia="Times New Roman" w:hAnsi="Times New Roman" w:cs="Times New Roman"/>
      <w:sz w:val="24"/>
      <w:szCs w:val="24"/>
      <w:lang w:val="x-none" w:eastAsia="es-ES"/>
    </w:rPr>
  </w:style>
  <w:style w:type="numbering" w:customStyle="1" w:styleId="Estilo1">
    <w:name w:val="Estilo1"/>
    <w:basedOn w:val="Sinlista"/>
    <w:rsid w:val="00D33991"/>
    <w:pPr>
      <w:numPr>
        <w:numId w:val="1"/>
      </w:numPr>
    </w:pPr>
  </w:style>
  <w:style w:type="paragraph" w:customStyle="1" w:styleId="Estilo1CarCarCar">
    <w:name w:val="Estilo 1 Car Car Car"/>
    <w:basedOn w:val="Normal"/>
    <w:rsid w:val="00D33991"/>
    <w:pPr>
      <w:numPr>
        <w:numId w:val="1"/>
      </w:numPr>
      <w:jc w:val="both"/>
    </w:pPr>
    <w:rPr>
      <w:rFonts w:ascii="Verdana" w:eastAsia="Times New Roman" w:hAnsi="Verdana"/>
      <w:b/>
      <w:lang w:val="x-none" w:eastAsia="es-ES"/>
    </w:rPr>
  </w:style>
  <w:style w:type="paragraph" w:customStyle="1" w:styleId="Estilo2">
    <w:name w:val="Estilo2"/>
    <w:basedOn w:val="Normal"/>
    <w:rsid w:val="00D33991"/>
    <w:pPr>
      <w:numPr>
        <w:ilvl w:val="1"/>
        <w:numId w:val="1"/>
      </w:numPr>
    </w:pPr>
    <w:rPr>
      <w:rFonts w:ascii="Verdana" w:eastAsia="Times New Roman" w:hAnsi="Verdana"/>
      <w:lang w:val="es-ES" w:eastAsia="es-ES"/>
    </w:rPr>
  </w:style>
  <w:style w:type="paragraph" w:customStyle="1" w:styleId="Estilo3">
    <w:name w:val="Estilo3"/>
    <w:basedOn w:val="Normal"/>
    <w:rsid w:val="00D33991"/>
    <w:pPr>
      <w:numPr>
        <w:ilvl w:val="2"/>
        <w:numId w:val="1"/>
      </w:numPr>
    </w:pPr>
    <w:rPr>
      <w:rFonts w:ascii="Verdana" w:eastAsia="Times New Roman" w:hAnsi="Verdana"/>
      <w:lang w:val="es-ES" w:eastAsia="es-ES"/>
    </w:rPr>
  </w:style>
  <w:style w:type="paragraph" w:customStyle="1" w:styleId="Estilo4">
    <w:name w:val="Estilo4"/>
    <w:basedOn w:val="Continuarlista"/>
    <w:rsid w:val="00D33991"/>
    <w:pPr>
      <w:numPr>
        <w:ilvl w:val="3"/>
        <w:numId w:val="1"/>
      </w:numPr>
      <w:tabs>
        <w:tab w:val="clear" w:pos="2520"/>
        <w:tab w:val="num" w:pos="36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Piedepgina">
    <w:name w:val="footer"/>
    <w:basedOn w:val="Normal"/>
    <w:link w:val="PiedepginaCar"/>
    <w:uiPriority w:val="99"/>
    <w:unhideWhenUsed/>
    <w:rsid w:val="00D33991"/>
    <w:pPr>
      <w:tabs>
        <w:tab w:val="center" w:pos="4419"/>
        <w:tab w:val="right" w:pos="8838"/>
      </w:tabs>
    </w:pPr>
  </w:style>
  <w:style w:type="character" w:customStyle="1" w:styleId="PiedepginaCar">
    <w:name w:val="Pie de página Car"/>
    <w:basedOn w:val="Fuentedeprrafopredeter"/>
    <w:link w:val="Piedepgina"/>
    <w:uiPriority w:val="99"/>
    <w:rsid w:val="00D33991"/>
    <w:rPr>
      <w:rFonts w:ascii="Times New Roman" w:eastAsia="Calibri" w:hAnsi="Times New Roman" w:cs="Times New Roman"/>
      <w:sz w:val="24"/>
      <w:szCs w:val="24"/>
      <w:lang w:eastAsia="es-CO"/>
    </w:rPr>
  </w:style>
  <w:style w:type="paragraph" w:styleId="NormalWeb">
    <w:name w:val="Normal (Web)"/>
    <w:basedOn w:val="Normal"/>
    <w:uiPriority w:val="99"/>
    <w:rsid w:val="00D33991"/>
    <w:pPr>
      <w:spacing w:before="100" w:beforeAutospacing="1" w:after="100" w:afterAutospacing="1"/>
    </w:pPr>
    <w:rPr>
      <w:rFonts w:eastAsia="Times New Roman"/>
      <w:lang w:val="es-ES" w:eastAsia="es-ES"/>
    </w:rPr>
  </w:style>
  <w:style w:type="paragraph" w:styleId="Prrafodelista">
    <w:name w:val="List Paragraph"/>
    <w:aliases w:val="Viñetas - bolitas 3er nivel"/>
    <w:basedOn w:val="Normal"/>
    <w:link w:val="PrrafodelistaCar"/>
    <w:uiPriority w:val="99"/>
    <w:qFormat/>
    <w:rsid w:val="00D33991"/>
    <w:pPr>
      <w:ind w:left="720"/>
      <w:contextualSpacing/>
    </w:pPr>
  </w:style>
  <w:style w:type="table" w:styleId="Tablaconcuadrcula">
    <w:name w:val="Table Grid"/>
    <w:basedOn w:val="Tablanormal"/>
    <w:uiPriority w:val="59"/>
    <w:rsid w:val="00D33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w:basedOn w:val="Normal"/>
    <w:next w:val="Normal"/>
    <w:uiPriority w:val="35"/>
    <w:unhideWhenUsed/>
    <w:qFormat/>
    <w:rsid w:val="00D33991"/>
    <w:pPr>
      <w:spacing w:before="120" w:after="200"/>
    </w:pPr>
    <w:rPr>
      <w:rFonts w:asciiTheme="minorHAnsi" w:eastAsiaTheme="minorHAnsi" w:hAnsiTheme="minorHAnsi" w:cstheme="minorBidi"/>
      <w:i/>
      <w:iCs/>
      <w:color w:val="44546A" w:themeColor="text2"/>
      <w:sz w:val="18"/>
      <w:szCs w:val="18"/>
      <w:lang w:eastAsia="en-US"/>
    </w:rPr>
  </w:style>
  <w:style w:type="paragraph" w:styleId="Continuarlista">
    <w:name w:val="List Continue"/>
    <w:basedOn w:val="Normal"/>
    <w:uiPriority w:val="99"/>
    <w:semiHidden/>
    <w:unhideWhenUsed/>
    <w:rsid w:val="00D33991"/>
    <w:pPr>
      <w:spacing w:after="120"/>
      <w:ind w:left="283"/>
      <w:contextualSpacing/>
    </w:pPr>
  </w:style>
  <w:style w:type="paragraph" w:styleId="Textodeglobo">
    <w:name w:val="Balloon Text"/>
    <w:basedOn w:val="Normal"/>
    <w:link w:val="TextodegloboCar"/>
    <w:uiPriority w:val="99"/>
    <w:semiHidden/>
    <w:unhideWhenUsed/>
    <w:rsid w:val="00D339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991"/>
    <w:rPr>
      <w:rFonts w:ascii="Segoe UI" w:eastAsia="Calibri" w:hAnsi="Segoe UI" w:cs="Segoe UI"/>
      <w:sz w:val="18"/>
      <w:szCs w:val="18"/>
      <w:lang w:eastAsia="es-CO"/>
    </w:rPr>
  </w:style>
  <w:style w:type="paragraph" w:styleId="Asuntodelcomentario">
    <w:name w:val="annotation subject"/>
    <w:basedOn w:val="Textocomentario"/>
    <w:next w:val="Textocomentario"/>
    <w:link w:val="AsuntodelcomentarioCar"/>
    <w:uiPriority w:val="99"/>
    <w:semiHidden/>
    <w:unhideWhenUsed/>
    <w:rsid w:val="00F9012C"/>
    <w:rPr>
      <w:b/>
      <w:bCs/>
      <w:lang w:val="es-CO"/>
    </w:rPr>
  </w:style>
  <w:style w:type="character" w:customStyle="1" w:styleId="AsuntodelcomentarioCar">
    <w:name w:val="Asunto del comentario Car"/>
    <w:basedOn w:val="TextocomentarioCar"/>
    <w:link w:val="Asuntodelcomentario"/>
    <w:uiPriority w:val="99"/>
    <w:semiHidden/>
    <w:rsid w:val="00F9012C"/>
    <w:rPr>
      <w:rFonts w:ascii="Times New Roman" w:eastAsia="Calibri" w:hAnsi="Times New Roman" w:cs="Times New Roman"/>
      <w:b/>
      <w:bCs/>
      <w:sz w:val="20"/>
      <w:szCs w:val="20"/>
      <w:lang w:val="x-none" w:eastAsia="es-CO"/>
    </w:rPr>
  </w:style>
  <w:style w:type="paragraph" w:styleId="Subttulo">
    <w:name w:val="Subtitle"/>
    <w:basedOn w:val="Normal"/>
    <w:link w:val="SubttuloCar"/>
    <w:qFormat/>
    <w:rsid w:val="009A47C6"/>
    <w:pPr>
      <w:spacing w:after="60"/>
      <w:jc w:val="center"/>
      <w:outlineLvl w:val="1"/>
    </w:pPr>
    <w:rPr>
      <w:rFonts w:ascii="Tahoma" w:eastAsia="Times New Roman" w:hAnsi="Tahoma"/>
      <w:szCs w:val="20"/>
      <w:lang w:val="es-ES" w:eastAsia="es-ES"/>
    </w:rPr>
  </w:style>
  <w:style w:type="character" w:customStyle="1" w:styleId="SubttuloCar">
    <w:name w:val="Subtítulo Car"/>
    <w:basedOn w:val="Fuentedeprrafopredeter"/>
    <w:link w:val="Subttulo"/>
    <w:rsid w:val="009A47C6"/>
    <w:rPr>
      <w:rFonts w:ascii="Tahoma" w:eastAsia="Times New Roman" w:hAnsi="Tahoma" w:cs="Times New Roman"/>
      <w:sz w:val="24"/>
      <w:szCs w:val="20"/>
      <w:lang w:val="es-ES" w:eastAsia="es-ES"/>
    </w:rPr>
  </w:style>
  <w:style w:type="character" w:customStyle="1" w:styleId="PrrafodelistaCar">
    <w:name w:val="Párrafo de lista Car"/>
    <w:aliases w:val="Viñetas - bolitas 3er nivel Car"/>
    <w:link w:val="Prrafodelista"/>
    <w:uiPriority w:val="99"/>
    <w:locked/>
    <w:rsid w:val="0093197C"/>
    <w:rPr>
      <w:rFonts w:ascii="Times New Roman" w:eastAsia="Calibri" w:hAnsi="Times New Roman" w:cs="Times New Roman"/>
      <w:sz w:val="24"/>
      <w:szCs w:val="24"/>
      <w:lang w:eastAsia="es-CO"/>
    </w:rPr>
  </w:style>
  <w:style w:type="paragraph" w:customStyle="1" w:styleId="estilo10">
    <w:name w:val="estilo1"/>
    <w:basedOn w:val="Normal"/>
    <w:rsid w:val="0093197C"/>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488625">
      <w:bodyDiv w:val="1"/>
      <w:marLeft w:val="0"/>
      <w:marRight w:val="0"/>
      <w:marTop w:val="0"/>
      <w:marBottom w:val="0"/>
      <w:divBdr>
        <w:top w:val="none" w:sz="0" w:space="0" w:color="auto"/>
        <w:left w:val="none" w:sz="0" w:space="0" w:color="auto"/>
        <w:bottom w:val="none" w:sz="0" w:space="0" w:color="auto"/>
        <w:right w:val="none" w:sz="0" w:space="0" w:color="auto"/>
      </w:divBdr>
    </w:div>
    <w:div w:id="1125469115">
      <w:bodyDiv w:val="1"/>
      <w:marLeft w:val="0"/>
      <w:marRight w:val="0"/>
      <w:marTop w:val="0"/>
      <w:marBottom w:val="0"/>
      <w:divBdr>
        <w:top w:val="none" w:sz="0" w:space="0" w:color="auto"/>
        <w:left w:val="none" w:sz="0" w:space="0" w:color="auto"/>
        <w:bottom w:val="none" w:sz="0" w:space="0" w:color="auto"/>
        <w:right w:val="none" w:sz="0" w:space="0" w:color="auto"/>
      </w:divBdr>
    </w:div>
    <w:div w:id="169646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68D4F4CA20BD2B4DBCE4A8F9D119DF36" ma:contentTypeVersion="13" ma:contentTypeDescription="Crear nuevo documento." ma:contentTypeScope="" ma:versionID="ec4fde0a448f18b0e7d6468c623684c7">
  <xsd:schema xmlns:xsd="http://www.w3.org/2001/XMLSchema" xmlns:xs="http://www.w3.org/2001/XMLSchema" xmlns:p="http://schemas.microsoft.com/office/2006/metadata/properties" xmlns:ns3="877d80b6-9e48-446a-955d-ae21d5a9782d" xmlns:ns4="a6deaa59-896e-4381-bee1-0d904fb608f0" targetNamespace="http://schemas.microsoft.com/office/2006/metadata/properties" ma:root="true" ma:fieldsID="cbadda525e00052a9a5d8e596e94c738" ns3:_="" ns4:_="">
    <xsd:import namespace="877d80b6-9e48-446a-955d-ae21d5a9782d"/>
    <xsd:import namespace="a6deaa59-896e-4381-bee1-0d904fb608f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80b6-9e48-446a-955d-ae21d5a978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eaa59-896e-4381-bee1-0d904fb608f0"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D113D-90B1-40E9-905A-48528DE0A1BE}">
  <ds:schemaRefs>
    <ds:schemaRef ds:uri="http://schemas.openxmlformats.org/officeDocument/2006/bibliography"/>
  </ds:schemaRefs>
</ds:datastoreItem>
</file>

<file path=customXml/itemProps2.xml><?xml version="1.0" encoding="utf-8"?>
<ds:datastoreItem xmlns:ds="http://schemas.openxmlformats.org/officeDocument/2006/customXml" ds:itemID="{C888362C-F037-4B7B-9078-A82C25EBE976}">
  <ds:schemaRefs>
    <ds:schemaRef ds:uri="http://schemas.microsoft.com/sharepoint/v3/contenttype/forms"/>
  </ds:schemaRefs>
</ds:datastoreItem>
</file>

<file path=customXml/itemProps3.xml><?xml version="1.0" encoding="utf-8"?>
<ds:datastoreItem xmlns:ds="http://schemas.openxmlformats.org/officeDocument/2006/customXml" ds:itemID="{CD964E2C-4B33-4A58-AA10-0B7BC8C75394}">
  <ds:schemaRefs>
    <ds:schemaRef ds:uri="http://purl.org/dc/elements/1.1/"/>
    <ds:schemaRef ds:uri="http://www.w3.org/XML/1998/namespace"/>
    <ds:schemaRef ds:uri="http://purl.org/dc/terms/"/>
    <ds:schemaRef ds:uri="877d80b6-9e48-446a-955d-ae21d5a9782d"/>
    <ds:schemaRef ds:uri="http://schemas.microsoft.com/office/infopath/2007/PartnerControls"/>
    <ds:schemaRef ds:uri="http://schemas.microsoft.com/office/2006/metadata/properties"/>
    <ds:schemaRef ds:uri="http://schemas.microsoft.com/office/2006/documentManagement/types"/>
    <ds:schemaRef ds:uri="http://purl.org/dc/dcmitype/"/>
    <ds:schemaRef ds:uri="a6deaa59-896e-4381-bee1-0d904fb608f0"/>
    <ds:schemaRef ds:uri="http://schemas.openxmlformats.org/package/2006/metadata/core-properties"/>
  </ds:schemaRefs>
</ds:datastoreItem>
</file>

<file path=customXml/itemProps4.xml><?xml version="1.0" encoding="utf-8"?>
<ds:datastoreItem xmlns:ds="http://schemas.openxmlformats.org/officeDocument/2006/customXml" ds:itemID="{99E81D46-F17B-4847-A43B-6DFC36A55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7d80b6-9e48-446a-955d-ae21d5a9782d"/>
    <ds:schemaRef ds:uri="a6deaa59-896e-4381-bee1-0d904fb60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764</Words>
  <Characters>4208</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Fernando Gomez Castrillon</dc:creator>
  <cp:keywords/>
  <dc:description/>
  <cp:lastModifiedBy>Juliana Ramírez</cp:lastModifiedBy>
  <cp:revision>12</cp:revision>
  <dcterms:created xsi:type="dcterms:W3CDTF">2020-06-18T16:39:00Z</dcterms:created>
  <dcterms:modified xsi:type="dcterms:W3CDTF">2020-06-30T13:04:00Z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0x01010068D4F4CA20BD2B4DBCE4A8F9D119DF36</vt:lpwstr>
  </property>
</Properties>
</file>