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FBA1" w14:textId="77777777" w:rsidR="00BC48F6" w:rsidRPr="00267D02" w:rsidRDefault="00BC48F6" w:rsidP="00BC48F6">
      <w:pPr>
        <w:rPr>
          <w:rFonts w:ascii="Arial Narrow" w:hAnsi="Arial Narrow"/>
          <w:b/>
          <w:bCs/>
        </w:rPr>
      </w:pPr>
    </w:p>
    <w:p w14:paraId="5EDE3D7B" w14:textId="247DA22D" w:rsidR="00BC48F6" w:rsidRDefault="00BC48F6" w:rsidP="00AE66B4">
      <w:pPr>
        <w:jc w:val="center"/>
        <w:rPr>
          <w:rFonts w:ascii="Arial Narrow" w:hAnsi="Arial Narrow"/>
          <w:b/>
          <w:bCs/>
        </w:rPr>
      </w:pPr>
      <w:r>
        <w:rPr>
          <w:rFonts w:ascii="Arial Narrow" w:hAnsi="Arial Narrow"/>
          <w:b/>
          <w:bCs/>
        </w:rPr>
        <w:t xml:space="preserve">DOCUMENTO </w:t>
      </w:r>
      <w:r w:rsidRPr="00267D02">
        <w:rPr>
          <w:rFonts w:ascii="Arial Narrow" w:hAnsi="Arial Narrow"/>
          <w:b/>
          <w:bCs/>
        </w:rPr>
        <w:t>T</w:t>
      </w:r>
      <w:r>
        <w:rPr>
          <w:rFonts w:ascii="Arial Narrow" w:hAnsi="Arial Narrow"/>
          <w:b/>
          <w:bCs/>
        </w:rPr>
        <w:t>É</w:t>
      </w:r>
      <w:r w:rsidRPr="00267D02">
        <w:rPr>
          <w:rFonts w:ascii="Arial Narrow" w:hAnsi="Arial Narrow"/>
          <w:b/>
          <w:bCs/>
        </w:rPr>
        <w:t>CNICO</w:t>
      </w:r>
    </w:p>
    <w:p w14:paraId="7A99CC25" w14:textId="77777777" w:rsidR="00AE66B4" w:rsidRPr="00267D02" w:rsidRDefault="00AE66B4" w:rsidP="00BC48F6">
      <w:pPr>
        <w:rPr>
          <w:rFonts w:ascii="Arial Narrow" w:hAnsi="Arial Narrow"/>
          <w:b/>
          <w:bCs/>
        </w:rPr>
      </w:pPr>
    </w:p>
    <w:p w14:paraId="0EE98A67" w14:textId="13C19CB3" w:rsidR="00BC48F6" w:rsidRPr="001654A6" w:rsidRDefault="00BC48F6" w:rsidP="00BC48F6">
      <w:pPr>
        <w:rPr>
          <w:rFonts w:ascii="Arial Narrow" w:hAnsi="Arial Narrow"/>
        </w:rPr>
      </w:pPr>
      <w:r w:rsidRPr="00267D02">
        <w:rPr>
          <w:rFonts w:ascii="Arial Narrow" w:hAnsi="Arial Narrow"/>
          <w:b/>
          <w:bCs/>
        </w:rPr>
        <w:t>REFERENCIA:</w:t>
      </w:r>
      <w:r w:rsidRPr="00267D02">
        <w:rPr>
          <w:rFonts w:ascii="Arial Narrow" w:hAnsi="Arial Narrow"/>
        </w:rPr>
        <w:t xml:space="preserve">  Monto definido para la clasificación de un tercero que realiza un giro postal como </w:t>
      </w:r>
      <w:r w:rsidR="00DF0284" w:rsidRPr="00761E62">
        <w:rPr>
          <w:rFonts w:ascii="Arial Narrow" w:hAnsi="Arial Narrow"/>
        </w:rPr>
        <w:t xml:space="preserve">Cliente del Servicio Postal de Pago.  </w:t>
      </w:r>
    </w:p>
    <w:p w14:paraId="306F486B" w14:textId="77777777" w:rsidR="00BC48F6" w:rsidRPr="00267D02" w:rsidRDefault="00BC48F6" w:rsidP="00BC48F6">
      <w:pPr>
        <w:rPr>
          <w:rFonts w:ascii="Arial Narrow" w:hAnsi="Arial Narrow"/>
        </w:rPr>
      </w:pPr>
    </w:p>
    <w:p w14:paraId="3839F0C9" w14:textId="77777777" w:rsidR="00BC48F6" w:rsidRPr="00267D02" w:rsidRDefault="00BC48F6" w:rsidP="00BC48F6">
      <w:pPr>
        <w:pStyle w:val="Prrafodelista"/>
        <w:numPr>
          <w:ilvl w:val="0"/>
          <w:numId w:val="4"/>
        </w:numPr>
        <w:spacing w:after="160" w:line="259" w:lineRule="auto"/>
        <w:rPr>
          <w:rFonts w:ascii="Arial Narrow" w:hAnsi="Arial Narrow"/>
          <w:b/>
          <w:bCs/>
        </w:rPr>
      </w:pPr>
      <w:r w:rsidRPr="00267D02">
        <w:rPr>
          <w:rFonts w:ascii="Arial Narrow" w:hAnsi="Arial Narrow"/>
          <w:b/>
          <w:bCs/>
        </w:rPr>
        <w:t>INTRODUCCION</w:t>
      </w:r>
    </w:p>
    <w:p w14:paraId="21D7268A" w14:textId="62A440E1" w:rsidR="00BC48F6" w:rsidRDefault="00BC48F6" w:rsidP="00BC48F6">
      <w:pPr>
        <w:jc w:val="both"/>
        <w:rPr>
          <w:rFonts w:ascii="Arial Narrow" w:hAnsi="Arial Narrow"/>
        </w:rPr>
      </w:pPr>
      <w:r w:rsidRPr="00267D02">
        <w:rPr>
          <w:rFonts w:ascii="Arial Narrow" w:hAnsi="Arial Narrow"/>
        </w:rPr>
        <w:t xml:space="preserve">La </w:t>
      </w:r>
      <w:r w:rsidR="00AE66B4">
        <w:rPr>
          <w:rFonts w:ascii="Arial Narrow" w:hAnsi="Arial Narrow"/>
        </w:rPr>
        <w:t>R</w:t>
      </w:r>
      <w:r w:rsidRPr="00267D02">
        <w:rPr>
          <w:rFonts w:ascii="Arial Narrow" w:hAnsi="Arial Narrow"/>
        </w:rPr>
        <w:t xml:space="preserve">esolución 1292 de 2021 </w:t>
      </w:r>
      <w:r w:rsidR="00AE66B4">
        <w:rPr>
          <w:rFonts w:ascii="Arial Narrow" w:hAnsi="Arial Narrow"/>
        </w:rPr>
        <w:t xml:space="preserve">por la cual se establecen las reglas relativas </w:t>
      </w:r>
      <w:r w:rsidRPr="00267D02">
        <w:rPr>
          <w:rFonts w:ascii="Arial Narrow" w:hAnsi="Arial Narrow"/>
        </w:rPr>
        <w:t>al Sistema de Administración del Riesgo de Lavado de Activos, Financiación del Terrorismo y Financiación de la Proliferación de Armas de Destrucción Masiva para los Operadores Postales de Pago</w:t>
      </w:r>
      <w:r w:rsidR="00AE66B4">
        <w:rPr>
          <w:rFonts w:ascii="Arial Narrow" w:hAnsi="Arial Narrow"/>
        </w:rPr>
        <w:t>,</w:t>
      </w:r>
      <w:r w:rsidRPr="00267D02">
        <w:rPr>
          <w:rFonts w:ascii="Arial Narrow" w:hAnsi="Arial Narrow"/>
        </w:rPr>
        <w:t xml:space="preserve"> </w:t>
      </w:r>
      <w:r w:rsidR="00DB2696">
        <w:rPr>
          <w:rFonts w:ascii="Arial Narrow" w:hAnsi="Arial Narrow"/>
        </w:rPr>
        <w:t xml:space="preserve">modificada por la Resolución 003 de 2022, </w:t>
      </w:r>
      <w:r w:rsidRPr="00267D02">
        <w:rPr>
          <w:rFonts w:ascii="Arial Narrow" w:hAnsi="Arial Narrow"/>
        </w:rPr>
        <w:t xml:space="preserve">define </w:t>
      </w:r>
      <w:r w:rsidR="00DB2696">
        <w:rPr>
          <w:rFonts w:ascii="Arial Narrow" w:hAnsi="Arial Narrow"/>
        </w:rPr>
        <w:t xml:space="preserve">al </w:t>
      </w:r>
      <w:r w:rsidRPr="00267D02">
        <w:rPr>
          <w:rFonts w:ascii="Arial Narrow" w:hAnsi="Arial Narrow"/>
        </w:rPr>
        <w:t>cliente</w:t>
      </w:r>
      <w:r w:rsidR="00DB2696">
        <w:rPr>
          <w:rFonts w:ascii="Arial Narrow" w:hAnsi="Arial Narrow"/>
        </w:rPr>
        <w:t xml:space="preserve"> del servicio postal de pago,</w:t>
      </w:r>
      <w:r w:rsidRPr="00267D02">
        <w:rPr>
          <w:rFonts w:ascii="Arial Narrow" w:hAnsi="Arial Narrow"/>
        </w:rPr>
        <w:t xml:space="preserve"> como: el remitente del giro con el cual el Operador de Servicios Postales de Pago establece y mantiene una relación contractual para la prestación del servicio postal de pago, </w:t>
      </w:r>
      <w:r w:rsidR="00AE66B4">
        <w:rPr>
          <w:rFonts w:ascii="Arial Narrow" w:hAnsi="Arial Narrow"/>
        </w:rPr>
        <w:t xml:space="preserve">quien </w:t>
      </w:r>
      <w:r w:rsidRPr="00267D02">
        <w:rPr>
          <w:rFonts w:ascii="Arial Narrow" w:hAnsi="Arial Narrow"/>
        </w:rPr>
        <w:t xml:space="preserve">realiza una o varias operaciones </w:t>
      </w:r>
      <w:r w:rsidR="00DB2696">
        <w:rPr>
          <w:rFonts w:ascii="Arial Narrow" w:hAnsi="Arial Narrow"/>
        </w:rPr>
        <w:t xml:space="preserve">durante </w:t>
      </w:r>
      <w:r w:rsidRPr="00267D02">
        <w:rPr>
          <w:rFonts w:ascii="Arial Narrow" w:hAnsi="Arial Narrow"/>
        </w:rPr>
        <w:t xml:space="preserve">un mismo mes, </w:t>
      </w:r>
      <w:r w:rsidR="00DB2696">
        <w:rPr>
          <w:rFonts w:ascii="Arial Narrow" w:hAnsi="Arial Narrow"/>
        </w:rPr>
        <w:t xml:space="preserve">teniendo en cuenta </w:t>
      </w:r>
      <w:r w:rsidRPr="00267D02">
        <w:rPr>
          <w:rFonts w:ascii="Arial Narrow" w:hAnsi="Arial Narrow"/>
        </w:rPr>
        <w:t>los montos de operación fijados por el Ministerio de Tecnologías de la Información y las Comunicaciones mediante resolución.</w:t>
      </w:r>
    </w:p>
    <w:p w14:paraId="1B05FE90" w14:textId="77777777" w:rsidR="007D00E9" w:rsidRPr="00267D02" w:rsidRDefault="007D00E9" w:rsidP="00BC48F6">
      <w:pPr>
        <w:jc w:val="both"/>
        <w:rPr>
          <w:rFonts w:ascii="Arial Narrow" w:hAnsi="Arial Narrow"/>
        </w:rPr>
      </w:pPr>
    </w:p>
    <w:p w14:paraId="55EE359A" w14:textId="5C508FCA" w:rsidR="00BC48F6" w:rsidRPr="00267D02" w:rsidRDefault="00BC48F6" w:rsidP="00BC48F6">
      <w:pPr>
        <w:jc w:val="both"/>
        <w:rPr>
          <w:rFonts w:ascii="Arial Narrow" w:hAnsi="Arial Narrow"/>
        </w:rPr>
      </w:pPr>
      <w:r w:rsidRPr="00267D02">
        <w:rPr>
          <w:rFonts w:ascii="Arial Narrow" w:hAnsi="Arial Narrow"/>
        </w:rPr>
        <w:t>Teniendo en cuanta lo anterior, se hace necesario construir un documento técnico que sustente el valor del monto a fijar, y a partir del cual el tercero que realiza el giro se clasifica como cliente y por tanto, se le debe realizar el conocimiento de acuerdo con los lineamientos establecidos en el numeral 6.2.2 de la Resolución 1292 de 2021,</w:t>
      </w:r>
      <w:r w:rsidR="00AE66B4">
        <w:rPr>
          <w:rFonts w:ascii="Arial Narrow" w:hAnsi="Arial Narrow"/>
        </w:rPr>
        <w:t xml:space="preserve"> modificado por el artículo 2 de la Resolución 003 de 2022,</w:t>
      </w:r>
      <w:r w:rsidRPr="00267D02">
        <w:rPr>
          <w:rFonts w:ascii="Arial Narrow" w:hAnsi="Arial Narrow"/>
        </w:rPr>
        <w:t xml:space="preserve"> el cual hace referencia </w:t>
      </w:r>
      <w:r w:rsidR="00AE66B4">
        <w:rPr>
          <w:rFonts w:ascii="Arial Narrow" w:hAnsi="Arial Narrow"/>
        </w:rPr>
        <w:t xml:space="preserve">a </w:t>
      </w:r>
      <w:r w:rsidRPr="00267D02">
        <w:rPr>
          <w:rFonts w:ascii="Arial Narrow" w:hAnsi="Arial Narrow"/>
        </w:rPr>
        <w:t>las “</w:t>
      </w:r>
      <w:r w:rsidRPr="00267D02">
        <w:rPr>
          <w:rFonts w:ascii="Arial Narrow" w:hAnsi="Arial Narrow"/>
          <w:i/>
          <w:iCs/>
        </w:rPr>
        <w:t>Metodologías para el conocimiento del cliente que deben implementar los Operadores de Servicios Postales de Pago.”</w:t>
      </w:r>
    </w:p>
    <w:p w14:paraId="2E8B3B00" w14:textId="77777777" w:rsidR="00BC48F6" w:rsidRPr="00267D02" w:rsidRDefault="00BC48F6" w:rsidP="00BC48F6">
      <w:pPr>
        <w:pStyle w:val="Prrafodelista"/>
        <w:rPr>
          <w:rFonts w:ascii="Arial Narrow" w:hAnsi="Arial Narrow"/>
        </w:rPr>
      </w:pPr>
    </w:p>
    <w:p w14:paraId="2E63319D" w14:textId="77777777" w:rsidR="00BC48F6" w:rsidRPr="00267D02" w:rsidRDefault="00BC48F6" w:rsidP="00BC48F6">
      <w:pPr>
        <w:pStyle w:val="Prrafodelista"/>
        <w:numPr>
          <w:ilvl w:val="0"/>
          <w:numId w:val="4"/>
        </w:numPr>
        <w:spacing w:after="160" w:line="259" w:lineRule="auto"/>
        <w:rPr>
          <w:rFonts w:ascii="Arial Narrow" w:hAnsi="Arial Narrow"/>
          <w:b/>
          <w:bCs/>
        </w:rPr>
      </w:pPr>
      <w:r w:rsidRPr="00267D02">
        <w:rPr>
          <w:rFonts w:ascii="Arial Narrow" w:hAnsi="Arial Narrow"/>
          <w:b/>
          <w:bCs/>
        </w:rPr>
        <w:t xml:space="preserve">OBJETIVO </w:t>
      </w:r>
    </w:p>
    <w:p w14:paraId="2E7319DF" w14:textId="08EC1C60" w:rsidR="00BC48F6" w:rsidRPr="00267D02" w:rsidRDefault="00BC48F6" w:rsidP="00BC48F6">
      <w:pPr>
        <w:jc w:val="both"/>
        <w:rPr>
          <w:rFonts w:ascii="Arial Narrow" w:hAnsi="Arial Narrow"/>
        </w:rPr>
      </w:pPr>
      <w:r w:rsidRPr="00267D02">
        <w:rPr>
          <w:rFonts w:ascii="Arial Narrow" w:hAnsi="Arial Narrow"/>
        </w:rPr>
        <w:t>Establecer el valor del monto de operación acumulado del mes en operaciones de giro</w:t>
      </w:r>
      <w:r w:rsidR="00AE66B4">
        <w:rPr>
          <w:rFonts w:ascii="Arial Narrow" w:hAnsi="Arial Narrow"/>
        </w:rPr>
        <w:t>,</w:t>
      </w:r>
      <w:r w:rsidRPr="00267D02">
        <w:rPr>
          <w:rFonts w:ascii="Arial Narrow" w:hAnsi="Arial Narrow"/>
        </w:rPr>
        <w:t xml:space="preserve"> a partir del cual el remitente se considera cliente y debe</w:t>
      </w:r>
      <w:r>
        <w:rPr>
          <w:rFonts w:ascii="Arial Narrow" w:hAnsi="Arial Narrow"/>
        </w:rPr>
        <w:t>n ser</w:t>
      </w:r>
      <w:r w:rsidRPr="00267D02">
        <w:rPr>
          <w:rFonts w:ascii="Arial Narrow" w:hAnsi="Arial Narrow"/>
        </w:rPr>
        <w:t xml:space="preserve"> aplica</w:t>
      </w:r>
      <w:r>
        <w:rPr>
          <w:rFonts w:ascii="Arial Narrow" w:hAnsi="Arial Narrow"/>
        </w:rPr>
        <w:t>dos</w:t>
      </w:r>
      <w:r w:rsidRPr="00267D02">
        <w:rPr>
          <w:rFonts w:ascii="Arial Narrow" w:hAnsi="Arial Narrow"/>
        </w:rPr>
        <w:t xml:space="preserve"> los lineamientos normativos establecidos en la </w:t>
      </w:r>
      <w:r w:rsidR="00DB2696">
        <w:rPr>
          <w:rFonts w:ascii="Arial Narrow" w:hAnsi="Arial Narrow"/>
        </w:rPr>
        <w:t>R</w:t>
      </w:r>
      <w:r w:rsidRPr="00267D02">
        <w:rPr>
          <w:rFonts w:ascii="Arial Narrow" w:hAnsi="Arial Narrow"/>
        </w:rPr>
        <w:t>esolución 1292 de 2021</w:t>
      </w:r>
      <w:r w:rsidR="00DB2696">
        <w:rPr>
          <w:rFonts w:ascii="Arial Narrow" w:hAnsi="Arial Narrow"/>
        </w:rPr>
        <w:t>, modificada por la Resolución 003 de 2022</w:t>
      </w:r>
      <w:r w:rsidRPr="00267D02">
        <w:rPr>
          <w:rFonts w:ascii="Arial Narrow" w:hAnsi="Arial Narrow"/>
        </w:rPr>
        <w:t xml:space="preserve">.  </w:t>
      </w:r>
    </w:p>
    <w:p w14:paraId="10B43E94" w14:textId="77777777" w:rsidR="00BC48F6" w:rsidRPr="00267D02" w:rsidRDefault="00BC48F6" w:rsidP="00BC48F6">
      <w:pPr>
        <w:rPr>
          <w:rFonts w:ascii="Arial Narrow" w:hAnsi="Arial Narrow"/>
        </w:rPr>
      </w:pPr>
    </w:p>
    <w:p w14:paraId="6DD180F0" w14:textId="77777777" w:rsidR="00BC48F6" w:rsidRPr="00267D02" w:rsidRDefault="00BC48F6" w:rsidP="00BC48F6">
      <w:pPr>
        <w:pStyle w:val="Prrafodelista"/>
        <w:numPr>
          <w:ilvl w:val="0"/>
          <w:numId w:val="4"/>
        </w:numPr>
        <w:spacing w:after="160" w:line="259" w:lineRule="auto"/>
        <w:rPr>
          <w:rFonts w:ascii="Arial Narrow" w:hAnsi="Arial Narrow"/>
          <w:b/>
          <w:bCs/>
        </w:rPr>
      </w:pPr>
      <w:r w:rsidRPr="00267D02">
        <w:rPr>
          <w:rFonts w:ascii="Arial Narrow" w:hAnsi="Arial Narrow"/>
          <w:b/>
          <w:bCs/>
        </w:rPr>
        <w:t>METODOLOGIA</w:t>
      </w:r>
    </w:p>
    <w:p w14:paraId="194C7AD7" w14:textId="4FCDF700" w:rsidR="00BC48F6" w:rsidRPr="008D06C6" w:rsidRDefault="00BC48F6" w:rsidP="00BC48F6">
      <w:pPr>
        <w:jc w:val="both"/>
        <w:rPr>
          <w:rFonts w:ascii="Arial Narrow" w:hAnsi="Arial Narrow"/>
        </w:rPr>
      </w:pPr>
      <w:r w:rsidRPr="00267D02">
        <w:rPr>
          <w:rFonts w:ascii="Arial Narrow" w:hAnsi="Arial Narrow"/>
        </w:rPr>
        <w:t xml:space="preserve">La definición del monto acumulado mensual de operaciones de giros </w:t>
      </w:r>
      <w:r w:rsidR="00214454">
        <w:rPr>
          <w:rFonts w:ascii="Arial Narrow" w:hAnsi="Arial Narrow"/>
        </w:rPr>
        <w:t>par</w:t>
      </w:r>
      <w:r w:rsidRPr="00267D02">
        <w:rPr>
          <w:rFonts w:ascii="Arial Narrow" w:hAnsi="Arial Narrow"/>
        </w:rPr>
        <w:t>a</w:t>
      </w:r>
      <w:r w:rsidR="00214454">
        <w:rPr>
          <w:rFonts w:ascii="Arial Narrow" w:hAnsi="Arial Narrow"/>
        </w:rPr>
        <w:t xml:space="preserve"> ser adoptado con la finalidad de</w:t>
      </w:r>
      <w:r w:rsidRPr="00267D02">
        <w:rPr>
          <w:rFonts w:ascii="Arial Narrow" w:hAnsi="Arial Narrow"/>
        </w:rPr>
        <w:t xml:space="preserve"> clasificar </w:t>
      </w:r>
      <w:r w:rsidR="00214454">
        <w:rPr>
          <w:rFonts w:ascii="Arial Narrow" w:hAnsi="Arial Narrow"/>
        </w:rPr>
        <w:t>al</w:t>
      </w:r>
      <w:r w:rsidRPr="00257BA2">
        <w:rPr>
          <w:rFonts w:ascii="Arial Narrow" w:hAnsi="Arial Narrow"/>
        </w:rPr>
        <w:t xml:space="preserve"> </w:t>
      </w:r>
      <w:r w:rsidR="001D1079" w:rsidRPr="008D06C6">
        <w:rPr>
          <w:rFonts w:ascii="Arial Narrow" w:hAnsi="Arial Narrow"/>
        </w:rPr>
        <w:t>cliente</w:t>
      </w:r>
      <w:r w:rsidRPr="008D06C6">
        <w:rPr>
          <w:rFonts w:ascii="Arial Narrow" w:hAnsi="Arial Narrow"/>
        </w:rPr>
        <w:t xml:space="preserve"> se definió teniendo en cuenta los siguientes tres componentes</w:t>
      </w:r>
      <w:r w:rsidR="00DB2696" w:rsidRPr="008D06C6">
        <w:rPr>
          <w:rFonts w:ascii="Arial Narrow" w:hAnsi="Arial Narrow"/>
        </w:rPr>
        <w:t xml:space="preserve"> a saber</w:t>
      </w:r>
      <w:r w:rsidRPr="008D06C6">
        <w:rPr>
          <w:rFonts w:ascii="Arial Narrow" w:hAnsi="Arial Narrow"/>
        </w:rPr>
        <w:t>:</w:t>
      </w:r>
    </w:p>
    <w:p w14:paraId="308AF9A0" w14:textId="77777777" w:rsidR="00DB2696" w:rsidRPr="008D06C6" w:rsidRDefault="00DB2696" w:rsidP="00BC48F6">
      <w:pPr>
        <w:jc w:val="both"/>
        <w:rPr>
          <w:rFonts w:ascii="Arial Narrow" w:hAnsi="Arial Narrow"/>
        </w:rPr>
      </w:pPr>
    </w:p>
    <w:p w14:paraId="26114321" w14:textId="37C3C565" w:rsidR="00BC48F6" w:rsidRPr="00784E8D" w:rsidRDefault="00DB2696" w:rsidP="00761E62">
      <w:pPr>
        <w:pStyle w:val="Prrafodelista"/>
        <w:numPr>
          <w:ilvl w:val="0"/>
          <w:numId w:val="3"/>
        </w:numPr>
        <w:spacing w:after="160" w:line="259" w:lineRule="auto"/>
        <w:jc w:val="both"/>
        <w:rPr>
          <w:rFonts w:ascii="Arial Narrow" w:hAnsi="Arial Narrow"/>
        </w:rPr>
      </w:pPr>
      <w:r w:rsidRPr="00784E8D">
        <w:rPr>
          <w:rFonts w:ascii="Arial Narrow" w:hAnsi="Arial Narrow"/>
        </w:rPr>
        <w:t xml:space="preserve">El primero, </w:t>
      </w:r>
      <w:r w:rsidR="00D22E46" w:rsidRPr="00784E8D">
        <w:rPr>
          <w:rFonts w:ascii="Arial Narrow" w:hAnsi="Arial Narrow"/>
        </w:rPr>
        <w:t>estimación del monto de giro requerido para ser designado como cliente</w:t>
      </w:r>
      <w:r w:rsidR="003C2418" w:rsidRPr="00784E8D">
        <w:rPr>
          <w:rFonts w:ascii="Arial Narrow" w:hAnsi="Arial Narrow"/>
        </w:rPr>
        <w:t>,</w:t>
      </w:r>
      <w:r w:rsidR="00D22E46" w:rsidRPr="00784E8D">
        <w:rPr>
          <w:rFonts w:ascii="Arial Narrow" w:hAnsi="Arial Narrow"/>
        </w:rPr>
        <w:t xml:space="preserve"> con base en la adopción de un </w:t>
      </w:r>
      <w:r w:rsidRPr="00784E8D">
        <w:rPr>
          <w:rFonts w:ascii="Arial Narrow" w:hAnsi="Arial Narrow"/>
        </w:rPr>
        <w:t>m</w:t>
      </w:r>
      <w:r w:rsidR="00BC48F6" w:rsidRPr="00784E8D">
        <w:rPr>
          <w:rFonts w:ascii="Arial Narrow" w:hAnsi="Arial Narrow"/>
        </w:rPr>
        <w:t>odelo estadístico</w:t>
      </w:r>
      <w:r w:rsidR="00D22E46" w:rsidRPr="00784E8D">
        <w:rPr>
          <w:rFonts w:ascii="Arial Narrow" w:hAnsi="Arial Narrow"/>
        </w:rPr>
        <w:t xml:space="preserve"> predefinido por el MinTIC</w:t>
      </w:r>
      <w:r w:rsidR="003C2418" w:rsidRPr="00784E8D">
        <w:rPr>
          <w:rFonts w:ascii="Arial Narrow" w:hAnsi="Arial Narrow"/>
        </w:rPr>
        <w:t>,</w:t>
      </w:r>
      <w:r w:rsidR="00D22E46" w:rsidRPr="00784E8D">
        <w:rPr>
          <w:rFonts w:ascii="Arial Narrow" w:hAnsi="Arial Narrow"/>
        </w:rPr>
        <w:t xml:space="preserve"> el cual toma como referencia</w:t>
      </w:r>
      <w:r w:rsidR="0066124B" w:rsidRPr="00784E8D">
        <w:rPr>
          <w:rFonts w:ascii="Arial Narrow" w:hAnsi="Arial Narrow"/>
        </w:rPr>
        <w:t xml:space="preserve"> </w:t>
      </w:r>
      <w:r w:rsidR="00D22E46" w:rsidRPr="00784E8D">
        <w:rPr>
          <w:rFonts w:ascii="Arial Narrow" w:hAnsi="Arial Narrow"/>
        </w:rPr>
        <w:t>el histórico de las</w:t>
      </w:r>
      <w:r w:rsidR="00BC48F6" w:rsidRPr="00784E8D">
        <w:rPr>
          <w:rFonts w:ascii="Arial Narrow" w:hAnsi="Arial Narrow"/>
        </w:rPr>
        <w:t xml:space="preserve"> operaciones realizadas por los operadores postales</w:t>
      </w:r>
      <w:r w:rsidRPr="00784E8D">
        <w:rPr>
          <w:rFonts w:ascii="Arial Narrow" w:hAnsi="Arial Narrow"/>
        </w:rPr>
        <w:t>,</w:t>
      </w:r>
      <w:r w:rsidR="00BC48F6" w:rsidRPr="00784E8D">
        <w:rPr>
          <w:rFonts w:ascii="Arial Narrow" w:hAnsi="Arial Narrow"/>
        </w:rPr>
        <w:t xml:space="preserve"> para </w:t>
      </w:r>
      <w:r w:rsidR="00D22E46" w:rsidRPr="00784E8D">
        <w:rPr>
          <w:rFonts w:ascii="Arial Narrow" w:hAnsi="Arial Narrow"/>
        </w:rPr>
        <w:t>un periodo predeterminado</w:t>
      </w:r>
      <w:r w:rsidR="003C2418" w:rsidRPr="00784E8D">
        <w:rPr>
          <w:rFonts w:ascii="Arial Narrow" w:hAnsi="Arial Narrow"/>
        </w:rPr>
        <w:t>, para</w:t>
      </w:r>
      <w:r w:rsidR="00D22E46" w:rsidRPr="00784E8D">
        <w:rPr>
          <w:rFonts w:ascii="Arial Narrow" w:hAnsi="Arial Narrow"/>
        </w:rPr>
        <w:t xml:space="preserve"> </w:t>
      </w:r>
      <w:r w:rsidR="00BC48F6" w:rsidRPr="00784E8D">
        <w:rPr>
          <w:rFonts w:ascii="Arial Narrow" w:hAnsi="Arial Narrow"/>
        </w:rPr>
        <w:t>el periodo comprendido entre</w:t>
      </w:r>
      <w:r w:rsidR="0066124B" w:rsidRPr="00784E8D">
        <w:rPr>
          <w:rFonts w:ascii="Arial Narrow" w:hAnsi="Arial Narrow"/>
        </w:rPr>
        <w:t xml:space="preserve"> los meses de </w:t>
      </w:r>
      <w:r w:rsidR="00761E62" w:rsidRPr="00784E8D">
        <w:rPr>
          <w:rFonts w:ascii="Arial Narrow" w:hAnsi="Arial Narrow"/>
        </w:rPr>
        <w:t xml:space="preserve">enero y </w:t>
      </w:r>
      <w:r w:rsidR="004735E4">
        <w:rPr>
          <w:rFonts w:ascii="Arial Narrow" w:hAnsi="Arial Narrow"/>
        </w:rPr>
        <w:t xml:space="preserve">mayo </w:t>
      </w:r>
      <w:r w:rsidR="00214454" w:rsidRPr="00784E8D">
        <w:rPr>
          <w:rFonts w:ascii="Arial Narrow" w:hAnsi="Arial Narrow"/>
        </w:rPr>
        <w:t>de 2021</w:t>
      </w:r>
      <w:r w:rsidR="00761E62" w:rsidRPr="00784E8D">
        <w:rPr>
          <w:rFonts w:ascii="Arial Narrow" w:hAnsi="Arial Narrow"/>
        </w:rPr>
        <w:t>.</w:t>
      </w:r>
    </w:p>
    <w:p w14:paraId="7F49053A" w14:textId="7CDCCD84" w:rsidR="00BC48F6" w:rsidRPr="008D06C6" w:rsidRDefault="00DB2696" w:rsidP="00BC48F6">
      <w:pPr>
        <w:pStyle w:val="Prrafodelista"/>
        <w:numPr>
          <w:ilvl w:val="0"/>
          <w:numId w:val="3"/>
        </w:numPr>
        <w:spacing w:after="160" w:line="259" w:lineRule="auto"/>
        <w:jc w:val="both"/>
        <w:rPr>
          <w:rFonts w:ascii="Arial Narrow" w:hAnsi="Arial Narrow"/>
        </w:rPr>
      </w:pPr>
      <w:r w:rsidRPr="008D06C6">
        <w:rPr>
          <w:rFonts w:ascii="Arial Narrow" w:hAnsi="Arial Narrow"/>
        </w:rPr>
        <w:t>El segundo,</w:t>
      </w:r>
      <w:r w:rsidR="00454282" w:rsidRPr="008D06C6">
        <w:rPr>
          <w:rFonts w:ascii="Arial Narrow" w:hAnsi="Arial Narrow"/>
        </w:rPr>
        <w:t xml:space="preserve"> monto de giro propuesto por los Operadores Postales de Pago, basado en la aplicación de sus modelos internos, el cual fue dado a conocer al Min TIC </w:t>
      </w:r>
      <w:r w:rsidRPr="008D06C6">
        <w:rPr>
          <w:rFonts w:ascii="Arial Narrow" w:hAnsi="Arial Narrow"/>
        </w:rPr>
        <w:t xml:space="preserve">mediante </w:t>
      </w:r>
      <w:r w:rsidR="00BC48F6" w:rsidRPr="008D06C6">
        <w:rPr>
          <w:rFonts w:ascii="Arial Narrow" w:hAnsi="Arial Narrow"/>
        </w:rPr>
        <w:t xml:space="preserve">comunicado </w:t>
      </w:r>
      <w:r w:rsidR="0066124B" w:rsidRPr="008D06C6">
        <w:rPr>
          <w:rFonts w:ascii="Arial Narrow" w:hAnsi="Arial Narrow"/>
        </w:rPr>
        <w:t xml:space="preserve">radicado </w:t>
      </w:r>
      <w:r w:rsidR="00BC48F6" w:rsidRPr="008D06C6">
        <w:rPr>
          <w:rFonts w:ascii="Arial Narrow" w:hAnsi="Arial Narrow"/>
        </w:rPr>
        <w:t xml:space="preserve">bajo </w:t>
      </w:r>
      <w:r w:rsidRPr="008D06C6">
        <w:rPr>
          <w:rFonts w:ascii="Arial Narrow" w:hAnsi="Arial Narrow"/>
        </w:rPr>
        <w:t xml:space="preserve">el </w:t>
      </w:r>
      <w:r w:rsidR="0066124B" w:rsidRPr="008D06C6">
        <w:rPr>
          <w:rFonts w:ascii="Arial Narrow" w:hAnsi="Arial Narrow"/>
        </w:rPr>
        <w:t xml:space="preserve">número </w:t>
      </w:r>
      <w:r w:rsidR="00BC48F6" w:rsidRPr="008D06C6">
        <w:rPr>
          <w:rFonts w:ascii="Arial Narrow" w:hAnsi="Arial Narrow"/>
        </w:rPr>
        <w:t>211065008</w:t>
      </w:r>
      <w:r w:rsidR="00784E8D">
        <w:rPr>
          <w:rFonts w:ascii="Arial Narrow" w:hAnsi="Arial Narrow"/>
        </w:rPr>
        <w:t>.</w:t>
      </w:r>
    </w:p>
    <w:p w14:paraId="2F5A83C6" w14:textId="21C60C01" w:rsidR="00BC48F6" w:rsidRPr="008D06C6" w:rsidRDefault="00DB2696" w:rsidP="00BC48F6">
      <w:pPr>
        <w:pStyle w:val="Prrafodelista"/>
        <w:numPr>
          <w:ilvl w:val="0"/>
          <w:numId w:val="3"/>
        </w:numPr>
        <w:spacing w:after="160" w:line="259" w:lineRule="auto"/>
        <w:jc w:val="both"/>
        <w:rPr>
          <w:rFonts w:ascii="Arial Narrow" w:hAnsi="Arial Narrow"/>
        </w:rPr>
      </w:pPr>
      <w:r w:rsidRPr="008D06C6">
        <w:rPr>
          <w:rFonts w:ascii="Arial Narrow" w:hAnsi="Arial Narrow"/>
        </w:rPr>
        <w:lastRenderedPageBreak/>
        <w:t xml:space="preserve">Por último, </w:t>
      </w:r>
      <w:r w:rsidR="00454282" w:rsidRPr="008D06C6">
        <w:rPr>
          <w:rFonts w:ascii="Arial Narrow" w:hAnsi="Arial Narrow"/>
        </w:rPr>
        <w:t xml:space="preserve">la designación de indicadores estadísticos y análisis de los </w:t>
      </w:r>
      <w:r w:rsidRPr="008D06C6">
        <w:rPr>
          <w:rFonts w:ascii="Arial Narrow" w:hAnsi="Arial Narrow"/>
        </w:rPr>
        <w:t>m</w:t>
      </w:r>
      <w:r w:rsidR="00BC48F6" w:rsidRPr="008D06C6">
        <w:rPr>
          <w:rFonts w:ascii="Arial Narrow" w:hAnsi="Arial Narrow"/>
        </w:rPr>
        <w:t>ontos definidos por entidades del sector financiero</w:t>
      </w:r>
      <w:r w:rsidR="00CE74E7">
        <w:rPr>
          <w:rFonts w:ascii="Arial Narrow" w:hAnsi="Arial Narrow"/>
        </w:rPr>
        <w:t>,</w:t>
      </w:r>
      <w:r w:rsidR="00BC48F6" w:rsidRPr="008D06C6">
        <w:rPr>
          <w:rFonts w:ascii="Arial Narrow" w:hAnsi="Arial Narrow"/>
        </w:rPr>
        <w:t xml:space="preserve"> para operaciones simplificadas de giros y/o transferencias</w:t>
      </w:r>
      <w:r w:rsidRPr="008D06C6">
        <w:rPr>
          <w:rFonts w:ascii="Arial Narrow" w:hAnsi="Arial Narrow"/>
        </w:rPr>
        <w:t>.</w:t>
      </w:r>
    </w:p>
    <w:p w14:paraId="50A724EA" w14:textId="35F86D90" w:rsidR="00BC48F6" w:rsidRPr="008D06C6" w:rsidRDefault="00BC48F6" w:rsidP="00BC48F6">
      <w:pPr>
        <w:jc w:val="both"/>
        <w:rPr>
          <w:rFonts w:ascii="Arial Narrow" w:hAnsi="Arial Narrow"/>
        </w:rPr>
      </w:pPr>
      <w:r w:rsidRPr="008D06C6">
        <w:rPr>
          <w:rFonts w:ascii="Arial Narrow" w:hAnsi="Arial Narrow"/>
        </w:rPr>
        <w:t xml:space="preserve">A continuación, se describe cada uno de ellos. </w:t>
      </w:r>
    </w:p>
    <w:p w14:paraId="16900834" w14:textId="77777777" w:rsidR="00BC48F6" w:rsidRPr="008D06C6" w:rsidRDefault="00BC48F6" w:rsidP="00BC48F6">
      <w:pPr>
        <w:jc w:val="both"/>
        <w:rPr>
          <w:rFonts w:ascii="Arial Narrow" w:hAnsi="Arial Narrow"/>
        </w:rPr>
      </w:pPr>
    </w:p>
    <w:p w14:paraId="373FF76E" w14:textId="77777777" w:rsidR="00BC48F6" w:rsidRPr="008D06C6" w:rsidRDefault="00BC48F6" w:rsidP="00BC48F6">
      <w:pPr>
        <w:pStyle w:val="Prrafodelista"/>
        <w:numPr>
          <w:ilvl w:val="1"/>
          <w:numId w:val="4"/>
        </w:numPr>
        <w:spacing w:after="160" w:line="259" w:lineRule="auto"/>
        <w:jc w:val="both"/>
        <w:rPr>
          <w:rFonts w:ascii="Arial Narrow" w:hAnsi="Arial Narrow"/>
          <w:b/>
          <w:bCs/>
        </w:rPr>
      </w:pPr>
      <w:r w:rsidRPr="008D06C6">
        <w:rPr>
          <w:rFonts w:ascii="Arial Narrow" w:hAnsi="Arial Narrow"/>
          <w:b/>
          <w:bCs/>
        </w:rPr>
        <w:t>Modelo estadístico interno del MINTIC</w:t>
      </w:r>
    </w:p>
    <w:p w14:paraId="2C04094F" w14:textId="67CC0CB9" w:rsidR="00BC48F6" w:rsidRPr="008D06C6" w:rsidRDefault="00BC48F6" w:rsidP="00BC48F6">
      <w:pPr>
        <w:jc w:val="both"/>
        <w:rPr>
          <w:rFonts w:ascii="Arial Narrow" w:hAnsi="Arial Narrow"/>
        </w:rPr>
      </w:pPr>
      <w:r w:rsidRPr="008D06C6">
        <w:rPr>
          <w:rFonts w:ascii="Arial Narrow" w:hAnsi="Arial Narrow"/>
        </w:rPr>
        <w:t xml:space="preserve">Bajo el modelo estadístico interno definido por la Subdirección de </w:t>
      </w:r>
      <w:r w:rsidR="00DB2696" w:rsidRPr="008D06C6">
        <w:rPr>
          <w:rFonts w:ascii="Arial Narrow" w:hAnsi="Arial Narrow"/>
        </w:rPr>
        <w:t xml:space="preserve">Asuntos Postales, </w:t>
      </w:r>
      <w:r w:rsidRPr="008D06C6">
        <w:rPr>
          <w:rFonts w:ascii="Arial Narrow" w:hAnsi="Arial Narrow"/>
        </w:rPr>
        <w:t xml:space="preserve">se tomó como referencia la información histórica de las operaciones diarias de giros postales realizadas por los operadores postales en el periodo comprendido entre </w:t>
      </w:r>
      <w:r w:rsidRPr="00784E8D">
        <w:rPr>
          <w:rFonts w:ascii="Arial Narrow" w:hAnsi="Arial Narrow"/>
        </w:rPr>
        <w:t xml:space="preserve">enero y </w:t>
      </w:r>
      <w:r w:rsidR="004735E4">
        <w:rPr>
          <w:rFonts w:ascii="Arial Narrow" w:hAnsi="Arial Narrow"/>
        </w:rPr>
        <w:t xml:space="preserve">mayo de </w:t>
      </w:r>
      <w:r w:rsidRPr="00784E8D">
        <w:rPr>
          <w:rFonts w:ascii="Arial Narrow" w:hAnsi="Arial Narrow"/>
        </w:rPr>
        <w:t>2021,</w:t>
      </w:r>
      <w:r w:rsidRPr="008D06C6">
        <w:rPr>
          <w:rFonts w:ascii="Arial Narrow" w:hAnsi="Arial Narrow"/>
        </w:rPr>
        <w:t xml:space="preserve"> estimando los percentiles correspondientes a 25%, 50%, 80% y 95%. Teniendo en cuenta que el conocimiento del cliente es un proceso que implica inversión en tecnología, capacitación al personal, infraestructura, y </w:t>
      </w:r>
      <w:r w:rsidR="00DB2696" w:rsidRPr="008D06C6">
        <w:rPr>
          <w:rFonts w:ascii="Arial Narrow" w:hAnsi="Arial Narrow"/>
        </w:rPr>
        <w:t xml:space="preserve">que </w:t>
      </w:r>
      <w:r w:rsidRPr="008D06C6">
        <w:rPr>
          <w:rFonts w:ascii="Arial Narrow" w:hAnsi="Arial Narrow"/>
        </w:rPr>
        <w:t>debe ser implementado por los operadores en un tiempo prudente</w:t>
      </w:r>
      <w:r w:rsidR="00DB2696" w:rsidRPr="008D06C6">
        <w:rPr>
          <w:rFonts w:ascii="Arial Narrow" w:hAnsi="Arial Narrow"/>
        </w:rPr>
        <w:t>,</w:t>
      </w:r>
      <w:r w:rsidRPr="008D06C6">
        <w:rPr>
          <w:rFonts w:ascii="Arial Narrow" w:hAnsi="Arial Narrow"/>
        </w:rPr>
        <w:t xml:space="preserve"> se definió </w:t>
      </w:r>
      <w:r w:rsidR="00454282" w:rsidRPr="008D06C6">
        <w:rPr>
          <w:rFonts w:ascii="Arial Narrow" w:hAnsi="Arial Narrow"/>
        </w:rPr>
        <w:t xml:space="preserve">aplicar </w:t>
      </w:r>
      <w:r w:rsidRPr="008D06C6">
        <w:rPr>
          <w:rFonts w:ascii="Arial Narrow" w:hAnsi="Arial Narrow"/>
        </w:rPr>
        <w:t>el</w:t>
      </w:r>
      <w:r w:rsidR="00454282" w:rsidRPr="008D06C6">
        <w:rPr>
          <w:rFonts w:ascii="Arial Narrow" w:hAnsi="Arial Narrow"/>
        </w:rPr>
        <w:t xml:space="preserve"> percentil del</w:t>
      </w:r>
      <w:r w:rsidRPr="008D06C6">
        <w:rPr>
          <w:rFonts w:ascii="Arial Narrow" w:hAnsi="Arial Narrow"/>
        </w:rPr>
        <w:t xml:space="preserve"> 80%</w:t>
      </w:r>
      <w:r w:rsidR="00454282" w:rsidRPr="008D06C6">
        <w:rPr>
          <w:rFonts w:ascii="Arial Narrow" w:hAnsi="Arial Narrow"/>
        </w:rPr>
        <w:t xml:space="preserve">, generando como resultado un </w:t>
      </w:r>
      <w:r w:rsidRPr="00784E8D">
        <w:rPr>
          <w:rFonts w:ascii="Arial Narrow" w:hAnsi="Arial Narrow"/>
        </w:rPr>
        <w:t>valor de $300.000.</w:t>
      </w:r>
      <w:r w:rsidRPr="008D06C6">
        <w:rPr>
          <w:rFonts w:ascii="Arial Narrow" w:hAnsi="Arial Narrow"/>
        </w:rPr>
        <w:t xml:space="preserve"> </w:t>
      </w:r>
    </w:p>
    <w:p w14:paraId="31E5E714" w14:textId="77777777" w:rsidR="00BC48F6" w:rsidRPr="008D06C6" w:rsidRDefault="00BC48F6" w:rsidP="00BC48F6">
      <w:pPr>
        <w:pStyle w:val="Prrafodelista"/>
        <w:ind w:left="780"/>
        <w:jc w:val="both"/>
        <w:rPr>
          <w:rFonts w:ascii="Arial Narrow" w:hAnsi="Arial Narrow"/>
          <w:b/>
          <w:bCs/>
        </w:rPr>
      </w:pPr>
    </w:p>
    <w:p w14:paraId="5BDEB9C3" w14:textId="77777777" w:rsidR="00BC48F6" w:rsidRPr="008D06C6" w:rsidRDefault="00BC48F6" w:rsidP="00BC48F6">
      <w:pPr>
        <w:pStyle w:val="Prrafodelista"/>
        <w:numPr>
          <w:ilvl w:val="1"/>
          <w:numId w:val="4"/>
        </w:numPr>
        <w:spacing w:after="160" w:line="259" w:lineRule="auto"/>
        <w:jc w:val="both"/>
        <w:rPr>
          <w:rFonts w:ascii="Arial Narrow" w:hAnsi="Arial Narrow"/>
          <w:b/>
          <w:bCs/>
        </w:rPr>
      </w:pPr>
      <w:r w:rsidRPr="008D06C6">
        <w:rPr>
          <w:rFonts w:ascii="Arial Narrow" w:hAnsi="Arial Narrow"/>
          <w:b/>
          <w:bCs/>
        </w:rPr>
        <w:t>Modelo externo y monto definido por los Operadores</w:t>
      </w:r>
    </w:p>
    <w:p w14:paraId="0A896355" w14:textId="1104B45F" w:rsidR="00BC48F6" w:rsidRPr="008D06C6" w:rsidRDefault="00BC48F6" w:rsidP="00BC48F6">
      <w:pPr>
        <w:jc w:val="both"/>
        <w:rPr>
          <w:rFonts w:ascii="Arial Narrow" w:hAnsi="Arial Narrow"/>
        </w:rPr>
      </w:pPr>
      <w:r w:rsidRPr="008D06C6">
        <w:rPr>
          <w:rFonts w:ascii="Arial Narrow" w:hAnsi="Arial Narrow"/>
        </w:rPr>
        <w:t xml:space="preserve">Los operadores de giros postales de pago igualmente, en mesas de trabajo y reuniones llevadas a cabo con el Ministerio de Tecnologías de la </w:t>
      </w:r>
      <w:r w:rsidR="00DB2696" w:rsidRPr="008D06C6">
        <w:rPr>
          <w:rFonts w:ascii="Arial Narrow" w:hAnsi="Arial Narrow"/>
        </w:rPr>
        <w:t>I</w:t>
      </w:r>
      <w:r w:rsidRPr="008D06C6">
        <w:rPr>
          <w:rFonts w:ascii="Arial Narrow" w:hAnsi="Arial Narrow"/>
        </w:rPr>
        <w:t>nformación y Comunicaciones</w:t>
      </w:r>
      <w:r w:rsidR="00DB2696" w:rsidRPr="008D06C6">
        <w:rPr>
          <w:rFonts w:ascii="Arial Narrow" w:hAnsi="Arial Narrow"/>
        </w:rPr>
        <w:t>,</w:t>
      </w:r>
      <w:r w:rsidRPr="008D06C6">
        <w:rPr>
          <w:rFonts w:ascii="Arial Narrow" w:hAnsi="Arial Narrow"/>
        </w:rPr>
        <w:t xml:space="preserve"> expresaron su deseo en colaborar </w:t>
      </w:r>
      <w:r w:rsidR="00DB2696" w:rsidRPr="008D06C6">
        <w:rPr>
          <w:rFonts w:ascii="Arial Narrow" w:hAnsi="Arial Narrow"/>
        </w:rPr>
        <w:t>con la fijación de dicho monto, efectuando</w:t>
      </w:r>
      <w:r w:rsidRPr="008D06C6">
        <w:rPr>
          <w:rFonts w:ascii="Arial Narrow" w:hAnsi="Arial Narrow"/>
        </w:rPr>
        <w:t xml:space="preserve"> </w:t>
      </w:r>
      <w:r w:rsidR="00DB2696" w:rsidRPr="008D06C6">
        <w:rPr>
          <w:rFonts w:ascii="Arial Narrow" w:hAnsi="Arial Narrow"/>
        </w:rPr>
        <w:t xml:space="preserve">para ello, </w:t>
      </w:r>
      <w:r w:rsidRPr="008D06C6">
        <w:rPr>
          <w:rFonts w:ascii="Arial Narrow" w:hAnsi="Arial Narrow"/>
        </w:rPr>
        <w:t xml:space="preserve">sus estimativos </w:t>
      </w:r>
      <w:r w:rsidRPr="008D06C6">
        <w:rPr>
          <w:rFonts w:ascii="Arial Narrow" w:hAnsi="Arial Narrow"/>
          <w:i/>
          <w:iCs/>
        </w:rPr>
        <w:t xml:space="preserve">propios con datos históricos de operaciones y un modelo propio, </w:t>
      </w:r>
      <w:r w:rsidRPr="008D06C6">
        <w:rPr>
          <w:rFonts w:ascii="Arial Narrow" w:hAnsi="Arial Narrow"/>
        </w:rPr>
        <w:t>con el objetivo de proponer igualmente un monto que se considerara prudente frente al nivel de exposición al riesgo</w:t>
      </w:r>
      <w:r w:rsidR="00226B50" w:rsidRPr="008D06C6">
        <w:rPr>
          <w:rFonts w:ascii="Arial Narrow" w:hAnsi="Arial Narrow"/>
        </w:rPr>
        <w:t xml:space="preserve"> de lavado de activos y financiación del terrorismo</w:t>
      </w:r>
      <w:r w:rsidRPr="008D06C6">
        <w:rPr>
          <w:rFonts w:ascii="Arial Narrow" w:hAnsi="Arial Narrow"/>
        </w:rPr>
        <w:t xml:space="preserve">, pero también viable frente </w:t>
      </w:r>
      <w:r w:rsidR="00DB2696" w:rsidRPr="008D06C6">
        <w:rPr>
          <w:rFonts w:ascii="Arial Narrow" w:hAnsi="Arial Narrow"/>
        </w:rPr>
        <w:t xml:space="preserve">para </w:t>
      </w:r>
      <w:r w:rsidRPr="008D06C6">
        <w:rPr>
          <w:rFonts w:ascii="Arial Narrow" w:hAnsi="Arial Narrow"/>
        </w:rPr>
        <w:t xml:space="preserve">su implementación. De dicho ejercicio </w:t>
      </w:r>
      <w:r w:rsidR="00DB2696" w:rsidRPr="008D06C6">
        <w:rPr>
          <w:rFonts w:ascii="Arial Narrow" w:hAnsi="Arial Narrow"/>
        </w:rPr>
        <w:t xml:space="preserve">el </w:t>
      </w:r>
      <w:r w:rsidRPr="008D06C6">
        <w:rPr>
          <w:rFonts w:ascii="Arial Narrow" w:hAnsi="Arial Narrow"/>
        </w:rPr>
        <w:t xml:space="preserve">valor resultante, corresponde a Dos (2) Salarios Mínimos Legales Vigentes. </w:t>
      </w:r>
    </w:p>
    <w:p w14:paraId="53B46029" w14:textId="77777777" w:rsidR="00BC48F6" w:rsidRPr="008D06C6" w:rsidRDefault="00BC48F6" w:rsidP="00BC48F6">
      <w:pPr>
        <w:jc w:val="both"/>
        <w:rPr>
          <w:rFonts w:ascii="Arial Narrow" w:hAnsi="Arial Narrow"/>
        </w:rPr>
      </w:pPr>
    </w:p>
    <w:p w14:paraId="49D9EC25" w14:textId="77777777" w:rsidR="00BC48F6" w:rsidRPr="008D06C6" w:rsidRDefault="00BC48F6" w:rsidP="00BC48F6">
      <w:pPr>
        <w:pStyle w:val="Prrafodelista"/>
        <w:numPr>
          <w:ilvl w:val="1"/>
          <w:numId w:val="4"/>
        </w:numPr>
        <w:spacing w:after="160" w:line="259" w:lineRule="auto"/>
        <w:jc w:val="both"/>
        <w:rPr>
          <w:rFonts w:ascii="Arial Narrow" w:hAnsi="Arial Narrow"/>
          <w:b/>
          <w:bCs/>
        </w:rPr>
      </w:pPr>
      <w:r w:rsidRPr="008D06C6">
        <w:rPr>
          <w:rFonts w:ascii="Arial Narrow" w:hAnsi="Arial Narrow"/>
          <w:b/>
          <w:bCs/>
        </w:rPr>
        <w:t>Montos definidos por el sector financiero para operaciones simplificadas de giros</w:t>
      </w:r>
    </w:p>
    <w:p w14:paraId="2F363D97" w14:textId="23BF8442" w:rsidR="00B05F95" w:rsidRPr="008D06C6" w:rsidRDefault="00226B50" w:rsidP="00226B50">
      <w:pPr>
        <w:jc w:val="both"/>
        <w:rPr>
          <w:rFonts w:ascii="Arial Narrow" w:hAnsi="Arial Narrow"/>
        </w:rPr>
      </w:pPr>
      <w:r w:rsidRPr="008D06C6">
        <w:rPr>
          <w:rFonts w:ascii="Arial Narrow" w:hAnsi="Arial Narrow"/>
        </w:rPr>
        <w:t xml:space="preserve">La Superintendencia Financiera de Colombia, mediante la publicación de la circular 027 de 2020, dio a conocer </w:t>
      </w:r>
      <w:r w:rsidR="004A665F" w:rsidRPr="008D06C6">
        <w:rPr>
          <w:rFonts w:ascii="Arial Narrow" w:hAnsi="Arial Narrow"/>
        </w:rPr>
        <w:t>las disposiciones</w:t>
      </w:r>
      <w:r w:rsidRPr="008D06C6">
        <w:rPr>
          <w:rFonts w:ascii="Arial Narrow" w:hAnsi="Arial Narrow"/>
        </w:rPr>
        <w:t xml:space="preserve"> normativ</w:t>
      </w:r>
      <w:r w:rsidR="004A665F" w:rsidRPr="008D06C6">
        <w:rPr>
          <w:rFonts w:ascii="Arial Narrow" w:hAnsi="Arial Narrow"/>
        </w:rPr>
        <w:t>a</w:t>
      </w:r>
      <w:r w:rsidRPr="008D06C6">
        <w:rPr>
          <w:rFonts w:ascii="Arial Narrow" w:hAnsi="Arial Narrow"/>
        </w:rPr>
        <w:t>s del SARLAFT 4.0</w:t>
      </w:r>
      <w:r w:rsidR="007136A5" w:rsidRPr="008D06C6">
        <w:rPr>
          <w:rFonts w:ascii="Arial Narrow" w:hAnsi="Arial Narrow"/>
        </w:rPr>
        <w:t xml:space="preserve"> aplicables a las entidades del sector financiero</w:t>
      </w:r>
      <w:r w:rsidR="00B05F95" w:rsidRPr="008D06C6">
        <w:rPr>
          <w:rFonts w:ascii="Arial Narrow" w:hAnsi="Arial Narrow"/>
        </w:rPr>
        <w:t xml:space="preserve">, </w:t>
      </w:r>
      <w:r w:rsidR="00CE74E7">
        <w:rPr>
          <w:rFonts w:ascii="Arial Narrow" w:hAnsi="Arial Narrow"/>
        </w:rPr>
        <w:t xml:space="preserve">entre </w:t>
      </w:r>
      <w:r w:rsidR="00B05F95" w:rsidRPr="008D06C6">
        <w:rPr>
          <w:rFonts w:ascii="Arial Narrow" w:hAnsi="Arial Narrow"/>
        </w:rPr>
        <w:t xml:space="preserve">las </w:t>
      </w:r>
      <w:r w:rsidR="00CE74E7">
        <w:rPr>
          <w:rFonts w:ascii="Arial Narrow" w:hAnsi="Arial Narrow"/>
        </w:rPr>
        <w:t xml:space="preserve">cuales </w:t>
      </w:r>
      <w:r w:rsidR="00B05F95" w:rsidRPr="008D06C6">
        <w:rPr>
          <w:rFonts w:ascii="Arial Narrow" w:hAnsi="Arial Narrow"/>
        </w:rPr>
        <w:t xml:space="preserve">se encuentra la adopción de procedimientos para el conocimiento del cliente. </w:t>
      </w:r>
    </w:p>
    <w:p w14:paraId="5A303C0F" w14:textId="77777777" w:rsidR="00B05F95" w:rsidRPr="008D06C6" w:rsidRDefault="00B05F95" w:rsidP="00226B50">
      <w:pPr>
        <w:jc w:val="both"/>
        <w:rPr>
          <w:rFonts w:ascii="Arial Narrow" w:hAnsi="Arial Narrow"/>
        </w:rPr>
      </w:pPr>
    </w:p>
    <w:p w14:paraId="52084DBB" w14:textId="0541907A" w:rsidR="00CF0173" w:rsidRPr="008D06C6" w:rsidRDefault="00CF0173" w:rsidP="00CF0173">
      <w:pPr>
        <w:jc w:val="both"/>
        <w:rPr>
          <w:rFonts w:ascii="Arial Narrow" w:hAnsi="Arial Narrow"/>
          <w:i/>
          <w:iCs/>
        </w:rPr>
      </w:pPr>
      <w:r w:rsidRPr="008D06C6">
        <w:rPr>
          <w:rFonts w:ascii="Arial Narrow" w:hAnsi="Arial Narrow"/>
        </w:rPr>
        <w:t>De acuerdo con el numeral 5 de la norma, denominado “</w:t>
      </w:r>
      <w:r w:rsidRPr="008D06C6">
        <w:rPr>
          <w:rFonts w:ascii="Arial Narrow" w:hAnsi="Arial Narrow"/>
          <w:i/>
          <w:iCs/>
        </w:rPr>
        <w:t xml:space="preserve">Reglas Especiales Para Transferencias” </w:t>
      </w:r>
      <w:r w:rsidRPr="00761E62">
        <w:rPr>
          <w:rFonts w:ascii="Arial Narrow" w:hAnsi="Arial Narrow"/>
        </w:rPr>
        <w:t>se definió:</w:t>
      </w:r>
      <w:r w:rsidRPr="008D06C6">
        <w:rPr>
          <w:rFonts w:ascii="Arial Narrow" w:hAnsi="Arial Narrow"/>
          <w:i/>
          <w:iCs/>
        </w:rPr>
        <w:t xml:space="preserve"> “Quien realice como ordenante o reciba como beneficiario, 3 o más operaciones de transferencia en el trimestre, o 5 o más en el semestre, o 6 o más en un año, cuyo monto individual sea superior a medio salario mínimo legal mensual vigente, se considera como cliente. Así mismo, quien realice como ordenante o reciba como beneficiario más de 3 operaciones de transferencia en el trimestre, más de 6 al semestre, o más de 12 en un año, cuyo monto individual sea igual o inferior a medio salario mínimo legal mensual vigente, se considera como cliente”. </w:t>
      </w:r>
    </w:p>
    <w:p w14:paraId="239AE31D" w14:textId="77777777" w:rsidR="00CF0173" w:rsidRPr="008D06C6" w:rsidRDefault="00CF0173" w:rsidP="00CF0173">
      <w:pPr>
        <w:jc w:val="both"/>
        <w:rPr>
          <w:rFonts w:ascii="Arial Narrow" w:hAnsi="Arial Narrow"/>
        </w:rPr>
      </w:pPr>
    </w:p>
    <w:p w14:paraId="4C290932" w14:textId="063965A1" w:rsidR="00B05F95" w:rsidRPr="008D06C6" w:rsidRDefault="00CF0173" w:rsidP="00226B50">
      <w:pPr>
        <w:jc w:val="both"/>
        <w:rPr>
          <w:rFonts w:ascii="Arial Narrow" w:hAnsi="Arial Narrow"/>
        </w:rPr>
      </w:pPr>
      <w:r w:rsidRPr="008D06C6">
        <w:rPr>
          <w:rFonts w:ascii="Arial Narrow" w:hAnsi="Arial Narrow"/>
        </w:rPr>
        <w:t>De esta forma</w:t>
      </w:r>
      <w:r w:rsidR="0094705D" w:rsidRPr="008D06C6">
        <w:rPr>
          <w:rFonts w:ascii="Arial Narrow" w:hAnsi="Arial Narrow"/>
        </w:rPr>
        <w:t>,</w:t>
      </w:r>
      <w:r w:rsidRPr="008D06C6">
        <w:rPr>
          <w:rFonts w:ascii="Arial Narrow" w:hAnsi="Arial Narrow"/>
        </w:rPr>
        <w:t xml:space="preserve"> se </w:t>
      </w:r>
      <w:r w:rsidR="0094705D" w:rsidRPr="008D06C6">
        <w:rPr>
          <w:rFonts w:ascii="Arial Narrow" w:hAnsi="Arial Narrow"/>
        </w:rPr>
        <w:t>estableció</w:t>
      </w:r>
      <w:r w:rsidRPr="008D06C6">
        <w:rPr>
          <w:rFonts w:ascii="Arial Narrow" w:hAnsi="Arial Narrow"/>
        </w:rPr>
        <w:t xml:space="preserve"> un monto mínimo </w:t>
      </w:r>
      <w:r w:rsidR="00137F28" w:rsidRPr="008D06C6">
        <w:rPr>
          <w:rFonts w:ascii="Arial Narrow" w:hAnsi="Arial Narrow"/>
        </w:rPr>
        <w:t>individual de operación y frecuencia</w:t>
      </w:r>
      <w:r w:rsidR="000A3C09">
        <w:rPr>
          <w:rFonts w:ascii="Arial Narrow" w:hAnsi="Arial Narrow"/>
        </w:rPr>
        <w:t>,</w:t>
      </w:r>
      <w:r w:rsidR="00137F28" w:rsidRPr="008D06C6">
        <w:rPr>
          <w:rFonts w:ascii="Arial Narrow" w:hAnsi="Arial Narrow"/>
        </w:rPr>
        <w:t xml:space="preserve"> </w:t>
      </w:r>
      <w:r w:rsidRPr="008D06C6">
        <w:rPr>
          <w:rFonts w:ascii="Arial Narrow" w:hAnsi="Arial Narrow"/>
        </w:rPr>
        <w:t xml:space="preserve">a partir del cual nace la definición del cliente y </w:t>
      </w:r>
      <w:r w:rsidR="00137F28" w:rsidRPr="008D06C6">
        <w:rPr>
          <w:rFonts w:ascii="Arial Narrow" w:hAnsi="Arial Narrow"/>
        </w:rPr>
        <w:t xml:space="preserve">sobre el </w:t>
      </w:r>
      <w:r w:rsidR="000A3C09">
        <w:rPr>
          <w:rFonts w:ascii="Arial Narrow" w:hAnsi="Arial Narrow"/>
        </w:rPr>
        <w:t xml:space="preserve">que </w:t>
      </w:r>
      <w:r w:rsidR="00137F28" w:rsidRPr="008D06C6">
        <w:rPr>
          <w:rFonts w:ascii="Arial Narrow" w:hAnsi="Arial Narrow"/>
        </w:rPr>
        <w:t>las entidades vigiladas deben adoptar procedimientos adecuados de</w:t>
      </w:r>
      <w:r w:rsidRPr="008D06C6">
        <w:rPr>
          <w:rFonts w:ascii="Arial Narrow" w:hAnsi="Arial Narrow"/>
        </w:rPr>
        <w:t xml:space="preserve"> conocimiento del cliente</w:t>
      </w:r>
      <w:r w:rsidR="00137F28" w:rsidRPr="008D06C6">
        <w:rPr>
          <w:rFonts w:ascii="Arial Narrow" w:hAnsi="Arial Narrow"/>
        </w:rPr>
        <w:t>.</w:t>
      </w:r>
    </w:p>
    <w:p w14:paraId="35BF11DB" w14:textId="0D0EC221" w:rsidR="00226B50" w:rsidRPr="008D06C6" w:rsidRDefault="00137F28" w:rsidP="00226B50">
      <w:pPr>
        <w:jc w:val="both"/>
        <w:rPr>
          <w:rFonts w:ascii="Arial Narrow" w:hAnsi="Arial Narrow"/>
        </w:rPr>
      </w:pPr>
      <w:r w:rsidRPr="008D06C6">
        <w:rPr>
          <w:rFonts w:ascii="Arial Narrow" w:hAnsi="Arial Narrow"/>
        </w:rPr>
        <w:lastRenderedPageBreak/>
        <w:t>Adicionalmente</w:t>
      </w:r>
      <w:r w:rsidR="0094705D" w:rsidRPr="008D06C6">
        <w:rPr>
          <w:rFonts w:ascii="Arial Narrow" w:hAnsi="Arial Narrow"/>
        </w:rPr>
        <w:t xml:space="preserve">, en </w:t>
      </w:r>
      <w:r w:rsidR="007136A5" w:rsidRPr="008D06C6">
        <w:rPr>
          <w:rFonts w:ascii="Arial Narrow" w:hAnsi="Arial Narrow"/>
        </w:rPr>
        <w:t xml:space="preserve">el numeral </w:t>
      </w:r>
      <w:r w:rsidR="004A665F" w:rsidRPr="008D06C6">
        <w:rPr>
          <w:rFonts w:ascii="Arial Narrow" w:hAnsi="Arial Narrow"/>
        </w:rPr>
        <w:t>4.2.2.2.1.4.</w:t>
      </w:r>
      <w:r w:rsidR="0094705D" w:rsidRPr="008D06C6">
        <w:rPr>
          <w:rFonts w:ascii="Arial Narrow" w:hAnsi="Arial Narrow"/>
        </w:rPr>
        <w:t xml:space="preserve"> del marco normativo del SARLAFT 4.0 </w:t>
      </w:r>
      <w:r w:rsidR="004A665F" w:rsidRPr="008D06C6">
        <w:rPr>
          <w:rFonts w:ascii="Arial Narrow" w:hAnsi="Arial Narrow"/>
        </w:rPr>
        <w:t>se estableci</w:t>
      </w:r>
      <w:r w:rsidR="000A3C09">
        <w:rPr>
          <w:rFonts w:ascii="Arial Narrow" w:hAnsi="Arial Narrow"/>
        </w:rPr>
        <w:t>eron</w:t>
      </w:r>
      <w:r w:rsidR="004A665F" w:rsidRPr="008D06C6">
        <w:rPr>
          <w:rFonts w:ascii="Arial Narrow" w:hAnsi="Arial Narrow"/>
        </w:rPr>
        <w:t xml:space="preserve"> </w:t>
      </w:r>
      <w:r w:rsidR="0094705D" w:rsidRPr="008D06C6">
        <w:rPr>
          <w:rFonts w:ascii="Arial Narrow" w:hAnsi="Arial Narrow"/>
        </w:rPr>
        <w:t>las disposiciones normativas</w:t>
      </w:r>
      <w:r w:rsidR="004A665F" w:rsidRPr="008D06C6">
        <w:rPr>
          <w:rFonts w:ascii="Arial Narrow" w:hAnsi="Arial Narrow"/>
        </w:rPr>
        <w:t xml:space="preserve"> </w:t>
      </w:r>
      <w:r w:rsidRPr="008D06C6">
        <w:rPr>
          <w:rFonts w:ascii="Arial Narrow" w:hAnsi="Arial Narrow"/>
        </w:rPr>
        <w:t xml:space="preserve">a adoptar </w:t>
      </w:r>
      <w:r w:rsidR="004A665F" w:rsidRPr="008D06C6">
        <w:rPr>
          <w:rFonts w:ascii="Arial Narrow" w:hAnsi="Arial Narrow"/>
        </w:rPr>
        <w:t xml:space="preserve">frente a los procedimientos simplificados de conocimiento del cliente, dentro de los </w:t>
      </w:r>
      <w:r w:rsidR="006A0A5D">
        <w:rPr>
          <w:rFonts w:ascii="Arial Narrow" w:hAnsi="Arial Narrow"/>
        </w:rPr>
        <w:t xml:space="preserve">cuales </w:t>
      </w:r>
      <w:r w:rsidR="004A665F" w:rsidRPr="008D06C6">
        <w:rPr>
          <w:rFonts w:ascii="Arial Narrow" w:hAnsi="Arial Narrow"/>
        </w:rPr>
        <w:t xml:space="preserve">se encuentra </w:t>
      </w:r>
      <w:r w:rsidR="0094705D" w:rsidRPr="008D06C6">
        <w:rPr>
          <w:rFonts w:ascii="Arial Narrow" w:hAnsi="Arial Narrow"/>
        </w:rPr>
        <w:t>la</w:t>
      </w:r>
      <w:r w:rsidR="004A665F" w:rsidRPr="008D06C6">
        <w:rPr>
          <w:rFonts w:ascii="Arial Narrow" w:hAnsi="Arial Narrow"/>
        </w:rPr>
        <w:t xml:space="preserve"> siguiente:</w:t>
      </w:r>
    </w:p>
    <w:p w14:paraId="7E1CC942" w14:textId="77777777" w:rsidR="00226B50" w:rsidRPr="008D06C6" w:rsidRDefault="00226B50" w:rsidP="00226B50">
      <w:pPr>
        <w:jc w:val="both"/>
        <w:rPr>
          <w:rFonts w:ascii="Arial Narrow" w:hAnsi="Arial Narrow"/>
        </w:rPr>
      </w:pPr>
    </w:p>
    <w:p w14:paraId="3161ECDA" w14:textId="45321C6F" w:rsidR="00226B50" w:rsidRPr="008D06C6" w:rsidRDefault="00226B50" w:rsidP="004A665F">
      <w:pPr>
        <w:jc w:val="both"/>
        <w:rPr>
          <w:rFonts w:ascii="Arial Narrow" w:hAnsi="Arial Narrow"/>
        </w:rPr>
      </w:pPr>
      <w:r w:rsidRPr="008D06C6">
        <w:rPr>
          <w:rFonts w:ascii="Arial Narrow" w:hAnsi="Arial Narrow"/>
        </w:rPr>
        <w:t>“</w:t>
      </w:r>
      <w:r w:rsidRPr="008D06C6">
        <w:rPr>
          <w:rFonts w:ascii="Arial Narrow" w:hAnsi="Arial Narrow" w:cs="Calibri"/>
          <w:i/>
          <w:iCs/>
        </w:rPr>
        <w:t>En el desarrollo de los procedimientos de conocimiento del cliente, las entidades vigiladas pueden implementar procedimientos simplificados de conocimiento de cliente para las operaciones, productos o servicios que se encuentran listados en este numeral</w:t>
      </w:r>
      <w:r w:rsidRPr="008D06C6">
        <w:rPr>
          <w:rStyle w:val="Refdenotaalpie"/>
          <w:rFonts w:ascii="Arial Narrow" w:hAnsi="Arial Narrow" w:cs="Calibri"/>
          <w:i/>
          <w:iCs/>
        </w:rPr>
        <w:footnoteReference w:id="1"/>
      </w:r>
      <w:r w:rsidRPr="008D06C6">
        <w:rPr>
          <w:rFonts w:ascii="Arial Narrow" w:hAnsi="Arial Narrow" w:cs="Calibri"/>
          <w:i/>
          <w:iCs/>
        </w:rPr>
        <w:t xml:space="preserve">. Dichos procedimientos deben comprender, como mínimo, la individualización de los potenciales clientes a través de la verificación de su identidad al momento de su vinculación con la siguiente información: el tipo de documento de identificación, el nombre, el número y la fecha de expedición del documento de identificación. </w:t>
      </w:r>
      <w:r w:rsidRPr="008D06C6">
        <w:rPr>
          <w:rFonts w:ascii="Arial Narrow" w:hAnsi="Arial Narrow"/>
          <w:i/>
          <w:iCs/>
        </w:rPr>
        <w:t>Los procedimientos de conocimiento de cliente simplificados implican un tratamiento diferencial de las entidades vigiladas en las gestiones de conocimiento de sus clientes, poblamiento de la base de datos y el respectivo monitoreo de los factores de riesgo.”</w:t>
      </w:r>
      <w:r w:rsidRPr="008D06C6">
        <w:rPr>
          <w:rFonts w:ascii="Arial Narrow" w:hAnsi="Arial Narrow"/>
        </w:rPr>
        <w:t xml:space="preserve"> </w:t>
      </w:r>
    </w:p>
    <w:p w14:paraId="2E79B594" w14:textId="0E37ADC9" w:rsidR="004A665F" w:rsidRPr="008D06C6" w:rsidRDefault="004A665F" w:rsidP="004A665F">
      <w:pPr>
        <w:jc w:val="both"/>
        <w:rPr>
          <w:rFonts w:ascii="Arial Narrow" w:hAnsi="Arial Narrow"/>
        </w:rPr>
      </w:pPr>
    </w:p>
    <w:p w14:paraId="0912A248" w14:textId="1A110348" w:rsidR="004A665F" w:rsidRDefault="009B15AF" w:rsidP="004A665F">
      <w:pPr>
        <w:jc w:val="both"/>
        <w:rPr>
          <w:rFonts w:ascii="Arial Narrow" w:hAnsi="Arial Narrow"/>
        </w:rPr>
      </w:pPr>
      <w:r w:rsidRPr="008D06C6">
        <w:rPr>
          <w:rFonts w:ascii="Arial Narrow" w:hAnsi="Arial Narrow"/>
        </w:rPr>
        <w:t>Por tanto,</w:t>
      </w:r>
      <w:r w:rsidR="004A665F" w:rsidRPr="008D06C6">
        <w:rPr>
          <w:rFonts w:ascii="Arial Narrow" w:hAnsi="Arial Narrow"/>
        </w:rPr>
        <w:t xml:space="preserve"> </w:t>
      </w:r>
      <w:r w:rsidR="001B6853" w:rsidRPr="008D06C6">
        <w:rPr>
          <w:rFonts w:ascii="Arial Narrow" w:hAnsi="Arial Narrow"/>
        </w:rPr>
        <w:t>les</w:t>
      </w:r>
      <w:r w:rsidR="004A665F" w:rsidRPr="008D06C6">
        <w:rPr>
          <w:rFonts w:ascii="Arial Narrow" w:hAnsi="Arial Narrow"/>
        </w:rPr>
        <w:t xml:space="preserve"> </w:t>
      </w:r>
      <w:r w:rsidR="006A0A5D">
        <w:rPr>
          <w:rFonts w:ascii="Arial Narrow" w:hAnsi="Arial Narrow"/>
        </w:rPr>
        <w:t xml:space="preserve">fue otorgada </w:t>
      </w:r>
      <w:r w:rsidR="004A665F" w:rsidRPr="008D06C6">
        <w:rPr>
          <w:rFonts w:ascii="Arial Narrow" w:hAnsi="Arial Narrow"/>
        </w:rPr>
        <w:t xml:space="preserve">a las entidades vigiladas por </w:t>
      </w:r>
      <w:r w:rsidR="006A0A5D">
        <w:rPr>
          <w:rFonts w:ascii="Arial Narrow" w:hAnsi="Arial Narrow"/>
        </w:rPr>
        <w:t xml:space="preserve">parte de </w:t>
      </w:r>
      <w:r w:rsidR="004A665F" w:rsidRPr="008D06C6">
        <w:rPr>
          <w:rFonts w:ascii="Arial Narrow" w:hAnsi="Arial Narrow"/>
        </w:rPr>
        <w:t>la Superintendencia Financiera de Colombia</w:t>
      </w:r>
      <w:r w:rsidR="00137F28" w:rsidRPr="008D06C6">
        <w:rPr>
          <w:rFonts w:ascii="Arial Narrow" w:hAnsi="Arial Narrow"/>
        </w:rPr>
        <w:t>,</w:t>
      </w:r>
      <w:r w:rsidR="001B6853" w:rsidRPr="008D06C6">
        <w:rPr>
          <w:rFonts w:ascii="Arial Narrow" w:hAnsi="Arial Narrow"/>
        </w:rPr>
        <w:t xml:space="preserve"> la posibilidad de</w:t>
      </w:r>
      <w:r w:rsidR="004A665F" w:rsidRPr="008D06C6">
        <w:rPr>
          <w:rFonts w:ascii="Arial Narrow" w:hAnsi="Arial Narrow"/>
        </w:rPr>
        <w:t xml:space="preserve"> adoptar </w:t>
      </w:r>
      <w:r w:rsidR="001B6853" w:rsidRPr="008D06C6">
        <w:rPr>
          <w:rFonts w:ascii="Arial Narrow" w:hAnsi="Arial Narrow"/>
        </w:rPr>
        <w:t xml:space="preserve">procedimientos </w:t>
      </w:r>
      <w:r w:rsidR="0094705D" w:rsidRPr="008D06C6">
        <w:rPr>
          <w:rFonts w:ascii="Arial Narrow" w:hAnsi="Arial Narrow"/>
        </w:rPr>
        <w:t xml:space="preserve">simplificados de conocimiento del cliente, </w:t>
      </w:r>
      <w:r w:rsidRPr="008D06C6">
        <w:rPr>
          <w:rFonts w:ascii="Arial Narrow" w:hAnsi="Arial Narrow"/>
        </w:rPr>
        <w:t xml:space="preserve">establecidos </w:t>
      </w:r>
      <w:r w:rsidR="00137F28" w:rsidRPr="008D06C6">
        <w:rPr>
          <w:rFonts w:ascii="Arial Narrow" w:hAnsi="Arial Narrow"/>
        </w:rPr>
        <w:t>de acuerdo con el</w:t>
      </w:r>
      <w:r w:rsidR="0094705D" w:rsidRPr="008D06C6">
        <w:rPr>
          <w:rFonts w:ascii="Arial Narrow" w:hAnsi="Arial Narrow"/>
        </w:rPr>
        <w:t xml:space="preserve"> monto </w:t>
      </w:r>
      <w:r w:rsidR="00137F28" w:rsidRPr="008D06C6">
        <w:rPr>
          <w:rFonts w:ascii="Arial Narrow" w:hAnsi="Arial Narrow"/>
        </w:rPr>
        <w:t xml:space="preserve">y frecuencia </w:t>
      </w:r>
      <w:r w:rsidRPr="008D06C6">
        <w:rPr>
          <w:rFonts w:ascii="Arial Narrow" w:hAnsi="Arial Narrow"/>
        </w:rPr>
        <w:t>definida</w:t>
      </w:r>
      <w:r w:rsidR="0094705D" w:rsidRPr="008D06C6">
        <w:rPr>
          <w:rFonts w:ascii="Arial Narrow" w:hAnsi="Arial Narrow"/>
        </w:rPr>
        <w:t xml:space="preserve"> por cada entidad, previo an</w:t>
      </w:r>
      <w:r w:rsidR="004735E4">
        <w:rPr>
          <w:rFonts w:ascii="Arial Narrow" w:hAnsi="Arial Narrow"/>
        </w:rPr>
        <w:t>á</w:t>
      </w:r>
      <w:r w:rsidR="0094705D" w:rsidRPr="008D06C6">
        <w:rPr>
          <w:rFonts w:ascii="Arial Narrow" w:hAnsi="Arial Narrow"/>
        </w:rPr>
        <w:t>lisis de la exposición al riesgo de LA/FT/FPADM.</w:t>
      </w:r>
    </w:p>
    <w:p w14:paraId="5FEDD197" w14:textId="418E770E" w:rsidR="006A0A5D" w:rsidRDefault="006A0A5D" w:rsidP="004A665F">
      <w:pPr>
        <w:jc w:val="both"/>
        <w:rPr>
          <w:rFonts w:ascii="Arial Narrow" w:hAnsi="Arial Narrow"/>
        </w:rPr>
      </w:pPr>
    </w:p>
    <w:p w14:paraId="5847EB3A" w14:textId="2C346259" w:rsidR="006A0A5D" w:rsidRPr="008D06C6" w:rsidRDefault="006A0A5D" w:rsidP="006A0A5D">
      <w:pPr>
        <w:jc w:val="both"/>
        <w:rPr>
          <w:rFonts w:ascii="Arial Narrow" w:hAnsi="Arial Narrow"/>
        </w:rPr>
      </w:pPr>
      <w:bookmarkStart w:id="0" w:name="_Hlk101124076"/>
      <w:r w:rsidRPr="006A0A5D">
        <w:rPr>
          <w:rFonts w:ascii="Arial Narrow" w:hAnsi="Arial Narrow"/>
        </w:rPr>
        <w:t>En este sentido, se realizó una revisión de los montos definidos por algunas entidades del sector financiero para operaciones simplificadas de giros</w:t>
      </w:r>
      <w:r w:rsidR="00B6554B">
        <w:rPr>
          <w:rFonts w:ascii="Arial Narrow" w:hAnsi="Arial Narrow"/>
        </w:rPr>
        <w:t>,</w:t>
      </w:r>
      <w:r w:rsidRPr="006A0A5D">
        <w:rPr>
          <w:rFonts w:ascii="Arial Narrow" w:hAnsi="Arial Narrow"/>
        </w:rPr>
        <w:t xml:space="preserve"> encontrando </w:t>
      </w:r>
      <w:r>
        <w:rPr>
          <w:rFonts w:ascii="Arial Narrow" w:hAnsi="Arial Narrow"/>
        </w:rPr>
        <w:t xml:space="preserve">que </w:t>
      </w:r>
      <w:r w:rsidR="00B6554B">
        <w:rPr>
          <w:rFonts w:ascii="Arial Narrow" w:hAnsi="Arial Narrow"/>
        </w:rPr>
        <w:t xml:space="preserve">varias de ellas tienen </w:t>
      </w:r>
      <w:r>
        <w:rPr>
          <w:rFonts w:ascii="Arial Narrow" w:hAnsi="Arial Narrow"/>
        </w:rPr>
        <w:t xml:space="preserve">un valor estipulado de Dos Millones de Pesos ($2.000.000), como monto de referencia para adoptar </w:t>
      </w:r>
      <w:r w:rsidR="00B6554B">
        <w:rPr>
          <w:rFonts w:ascii="Arial Narrow" w:hAnsi="Arial Narrow"/>
        </w:rPr>
        <w:t xml:space="preserve">los </w:t>
      </w:r>
      <w:r>
        <w:rPr>
          <w:rFonts w:ascii="Arial Narrow" w:hAnsi="Arial Narrow"/>
        </w:rPr>
        <w:t xml:space="preserve">procedimientos simplificados de conocimiento del cliente. </w:t>
      </w:r>
    </w:p>
    <w:bookmarkEnd w:id="0"/>
    <w:p w14:paraId="14C8350C" w14:textId="3AE4CED7" w:rsidR="00226B50" w:rsidRPr="008D06C6" w:rsidRDefault="00226B50" w:rsidP="001B6853">
      <w:pPr>
        <w:rPr>
          <w:rFonts w:ascii="Arial Narrow" w:hAnsi="Arial Narrow"/>
        </w:rPr>
      </w:pPr>
    </w:p>
    <w:p w14:paraId="0FD1B87B" w14:textId="6F667EEA" w:rsidR="009B15AF" w:rsidRPr="008D06C6" w:rsidRDefault="001654A6" w:rsidP="00325A78">
      <w:pPr>
        <w:jc w:val="both"/>
        <w:rPr>
          <w:rFonts w:ascii="Arial Narrow" w:hAnsi="Arial Narrow"/>
        </w:rPr>
      </w:pPr>
      <w:r>
        <w:rPr>
          <w:rFonts w:ascii="Arial Narrow" w:hAnsi="Arial Narrow"/>
        </w:rPr>
        <w:t>En consecuencia, d</w:t>
      </w:r>
      <w:r w:rsidR="009B15AF" w:rsidRPr="008D06C6">
        <w:rPr>
          <w:rFonts w:ascii="Arial Narrow" w:hAnsi="Arial Narrow"/>
        </w:rPr>
        <w:t xml:space="preserve">e acuerdo con el </w:t>
      </w:r>
      <w:r w:rsidRPr="008D06C6">
        <w:rPr>
          <w:rFonts w:ascii="Arial Narrow" w:hAnsi="Arial Narrow"/>
        </w:rPr>
        <w:t>análisis</w:t>
      </w:r>
      <w:r w:rsidR="009B15AF" w:rsidRPr="008D06C6">
        <w:rPr>
          <w:rFonts w:ascii="Arial Narrow" w:hAnsi="Arial Narrow"/>
        </w:rPr>
        <w:t xml:space="preserve"> estadístico realizado por el MinTIC</w:t>
      </w:r>
      <w:r w:rsidR="006A0A5D">
        <w:rPr>
          <w:rFonts w:ascii="Arial Narrow" w:hAnsi="Arial Narrow"/>
        </w:rPr>
        <w:t>,</w:t>
      </w:r>
      <w:r w:rsidR="009B15AF" w:rsidRPr="008D06C6">
        <w:rPr>
          <w:rFonts w:ascii="Arial Narrow" w:hAnsi="Arial Narrow"/>
        </w:rPr>
        <w:t xml:space="preserve"> </w:t>
      </w:r>
      <w:r w:rsidR="006A0A5D">
        <w:rPr>
          <w:rFonts w:ascii="Arial Narrow" w:hAnsi="Arial Narrow"/>
        </w:rPr>
        <w:t xml:space="preserve">relacionado con </w:t>
      </w:r>
      <w:r w:rsidR="009B15AF" w:rsidRPr="008D06C6">
        <w:rPr>
          <w:rFonts w:ascii="Arial Narrow" w:hAnsi="Arial Narrow"/>
        </w:rPr>
        <w:t xml:space="preserve">los montos de giro aplicados por las entidades del sector financiero para adoptar procedimientos simplificados de conocimiento del cliente, se </w:t>
      </w:r>
      <w:r w:rsidR="00977099" w:rsidRPr="008D06C6">
        <w:rPr>
          <w:rFonts w:ascii="Arial Narrow" w:hAnsi="Arial Narrow"/>
        </w:rPr>
        <w:t>estimó</w:t>
      </w:r>
      <w:r w:rsidR="009B15AF" w:rsidRPr="008D06C6">
        <w:rPr>
          <w:rFonts w:ascii="Arial Narrow" w:hAnsi="Arial Narrow"/>
        </w:rPr>
        <w:t xml:space="preserve"> como monto de referencia del mercado</w:t>
      </w:r>
      <w:r w:rsidR="00B6554B">
        <w:rPr>
          <w:rFonts w:ascii="Arial Narrow" w:hAnsi="Arial Narrow"/>
        </w:rPr>
        <w:t>,</w:t>
      </w:r>
      <w:r w:rsidR="009B15AF" w:rsidRPr="008D06C6">
        <w:rPr>
          <w:rFonts w:ascii="Arial Narrow" w:hAnsi="Arial Narrow"/>
        </w:rPr>
        <w:t xml:space="preserve"> </w:t>
      </w:r>
      <w:r w:rsidR="00B6554B">
        <w:rPr>
          <w:rFonts w:ascii="Arial Narrow" w:hAnsi="Arial Narrow"/>
        </w:rPr>
        <w:t xml:space="preserve">la suma </w:t>
      </w:r>
      <w:r w:rsidR="00977099" w:rsidRPr="008D06C6">
        <w:rPr>
          <w:rFonts w:ascii="Arial Narrow" w:hAnsi="Arial Narrow"/>
        </w:rPr>
        <w:t xml:space="preserve">correspondiente a Dos </w:t>
      </w:r>
      <w:r w:rsidR="00B6554B">
        <w:rPr>
          <w:rFonts w:ascii="Arial Narrow" w:hAnsi="Arial Narrow"/>
        </w:rPr>
        <w:t>M</w:t>
      </w:r>
      <w:r w:rsidR="00977099" w:rsidRPr="008D06C6">
        <w:rPr>
          <w:rFonts w:ascii="Arial Narrow" w:hAnsi="Arial Narrow"/>
        </w:rPr>
        <w:t xml:space="preserve">illones de </w:t>
      </w:r>
      <w:r w:rsidR="00B6554B">
        <w:rPr>
          <w:rFonts w:ascii="Arial Narrow" w:hAnsi="Arial Narrow"/>
        </w:rPr>
        <w:t>P</w:t>
      </w:r>
      <w:r w:rsidR="00977099" w:rsidRPr="008D06C6">
        <w:rPr>
          <w:rFonts w:ascii="Arial Narrow" w:hAnsi="Arial Narrow"/>
        </w:rPr>
        <w:t xml:space="preserve">esos </w:t>
      </w:r>
      <w:r w:rsidR="00B6554B">
        <w:rPr>
          <w:rFonts w:ascii="Arial Narrow" w:hAnsi="Arial Narrow"/>
        </w:rPr>
        <w:t>M</w:t>
      </w:r>
      <w:r w:rsidR="00977099" w:rsidRPr="008D06C6">
        <w:rPr>
          <w:rFonts w:ascii="Arial Narrow" w:hAnsi="Arial Narrow"/>
        </w:rPr>
        <w:t>/</w:t>
      </w:r>
      <w:r>
        <w:rPr>
          <w:rFonts w:ascii="Arial Narrow" w:hAnsi="Arial Narrow"/>
        </w:rPr>
        <w:t>C</w:t>
      </w:r>
      <w:r w:rsidRPr="008D06C6">
        <w:rPr>
          <w:rFonts w:ascii="Arial Narrow" w:hAnsi="Arial Narrow"/>
        </w:rPr>
        <w:t>te.</w:t>
      </w:r>
      <w:r w:rsidR="00977099" w:rsidRPr="008D06C6">
        <w:rPr>
          <w:rFonts w:ascii="Arial Narrow" w:hAnsi="Arial Narrow"/>
        </w:rPr>
        <w:t xml:space="preserve"> (</w:t>
      </w:r>
      <w:r w:rsidR="009B15AF" w:rsidRPr="008D06C6">
        <w:rPr>
          <w:rFonts w:ascii="Arial Narrow" w:hAnsi="Arial Narrow"/>
        </w:rPr>
        <w:t>$2.000.000</w:t>
      </w:r>
      <w:r w:rsidR="00977099" w:rsidRPr="008D06C6">
        <w:rPr>
          <w:rFonts w:ascii="Arial Narrow" w:hAnsi="Arial Narrow"/>
        </w:rPr>
        <w:t>)</w:t>
      </w:r>
      <w:r w:rsidR="00B6554B">
        <w:rPr>
          <w:rFonts w:ascii="Arial Narrow" w:hAnsi="Arial Narrow"/>
        </w:rPr>
        <w:t>.</w:t>
      </w:r>
    </w:p>
    <w:p w14:paraId="20A17E05" w14:textId="77777777" w:rsidR="009B15AF" w:rsidRPr="008D06C6" w:rsidRDefault="009B15AF" w:rsidP="00325A78">
      <w:pPr>
        <w:jc w:val="both"/>
        <w:rPr>
          <w:rFonts w:ascii="Arial Narrow" w:hAnsi="Arial Narrow"/>
        </w:rPr>
      </w:pPr>
    </w:p>
    <w:p w14:paraId="184E4028" w14:textId="354B0DF7" w:rsidR="00BC48F6" w:rsidRPr="008D06C6" w:rsidRDefault="003B0660" w:rsidP="00BC48F6">
      <w:pPr>
        <w:pStyle w:val="Prrafodelista"/>
        <w:numPr>
          <w:ilvl w:val="1"/>
          <w:numId w:val="4"/>
        </w:numPr>
        <w:spacing w:after="160" w:line="259" w:lineRule="auto"/>
        <w:rPr>
          <w:rFonts w:ascii="Arial Narrow" w:hAnsi="Arial Narrow"/>
          <w:b/>
          <w:bCs/>
        </w:rPr>
      </w:pPr>
      <w:r w:rsidRPr="008D06C6">
        <w:rPr>
          <w:rFonts w:ascii="Arial Narrow" w:hAnsi="Arial Narrow"/>
          <w:b/>
          <w:bCs/>
        </w:rPr>
        <w:t xml:space="preserve">Definición </w:t>
      </w:r>
      <w:r w:rsidR="00384822" w:rsidRPr="008D06C6">
        <w:rPr>
          <w:rFonts w:ascii="Arial Narrow" w:hAnsi="Arial Narrow"/>
          <w:b/>
          <w:bCs/>
        </w:rPr>
        <w:t>del Monto para adoptar</w:t>
      </w:r>
      <w:r w:rsidR="00BC48F6" w:rsidRPr="008D06C6">
        <w:rPr>
          <w:rFonts w:ascii="Arial Narrow" w:hAnsi="Arial Narrow"/>
          <w:b/>
          <w:bCs/>
        </w:rPr>
        <w:t xml:space="preserve"> la clasificación de clientes </w:t>
      </w:r>
    </w:p>
    <w:p w14:paraId="65822F22" w14:textId="107137A7" w:rsidR="009404F6" w:rsidRPr="008D06C6" w:rsidRDefault="00BC48F6" w:rsidP="00977099">
      <w:pPr>
        <w:autoSpaceDE w:val="0"/>
        <w:autoSpaceDN w:val="0"/>
        <w:adjustRightInd w:val="0"/>
        <w:jc w:val="both"/>
        <w:rPr>
          <w:rFonts w:ascii="Arial Narrow" w:eastAsiaTheme="minorHAnsi" w:hAnsi="Arial Narrow" w:cstheme="minorBidi"/>
          <w:b/>
          <w:bCs/>
        </w:rPr>
      </w:pPr>
      <w:r w:rsidRPr="008D06C6">
        <w:rPr>
          <w:rFonts w:ascii="Arial Narrow" w:eastAsiaTheme="minorHAnsi" w:hAnsi="Arial Narrow" w:cstheme="minorBidi"/>
        </w:rPr>
        <w:t>Teniendo en cuenta</w:t>
      </w:r>
      <w:r w:rsidR="009B15AF" w:rsidRPr="008D06C6">
        <w:rPr>
          <w:rFonts w:ascii="Arial Narrow" w:eastAsiaTheme="minorHAnsi" w:hAnsi="Arial Narrow" w:cstheme="minorBidi"/>
        </w:rPr>
        <w:t xml:space="preserve"> los resultados obtenidos de </w:t>
      </w:r>
      <w:r w:rsidR="00B6554B">
        <w:rPr>
          <w:rFonts w:ascii="Arial Narrow" w:eastAsiaTheme="minorHAnsi" w:hAnsi="Arial Narrow" w:cstheme="minorBidi"/>
        </w:rPr>
        <w:t xml:space="preserve">los </w:t>
      </w:r>
      <w:r w:rsidRPr="008D06C6">
        <w:rPr>
          <w:rFonts w:ascii="Arial Narrow" w:eastAsiaTheme="minorHAnsi" w:hAnsi="Arial Narrow" w:cstheme="minorBidi"/>
        </w:rPr>
        <w:t>tres modelos</w:t>
      </w:r>
      <w:r w:rsidR="003B0660" w:rsidRPr="008D06C6">
        <w:rPr>
          <w:rFonts w:ascii="Arial Narrow" w:eastAsiaTheme="minorHAnsi" w:hAnsi="Arial Narrow" w:cstheme="minorBidi"/>
        </w:rPr>
        <w:t xml:space="preserve"> señalados anteriormente</w:t>
      </w:r>
      <w:r w:rsidRPr="008D06C6">
        <w:rPr>
          <w:rFonts w:ascii="Arial Narrow" w:eastAsiaTheme="minorHAnsi" w:hAnsi="Arial Narrow" w:cstheme="minorBidi"/>
        </w:rPr>
        <w:t>, se adoptar</w:t>
      </w:r>
      <w:r w:rsidR="001D1079">
        <w:rPr>
          <w:rFonts w:ascii="Arial Narrow" w:eastAsiaTheme="minorHAnsi" w:hAnsi="Arial Narrow" w:cstheme="minorBidi"/>
        </w:rPr>
        <w:t>á</w:t>
      </w:r>
      <w:r w:rsidRPr="008D06C6">
        <w:rPr>
          <w:rFonts w:ascii="Arial Narrow" w:eastAsiaTheme="minorHAnsi" w:hAnsi="Arial Narrow" w:cstheme="minorBidi"/>
        </w:rPr>
        <w:t xml:space="preserve"> </w:t>
      </w:r>
      <w:r w:rsidR="009404F6" w:rsidRPr="008D06C6">
        <w:rPr>
          <w:rFonts w:ascii="Arial Narrow" w:eastAsiaTheme="minorHAnsi" w:hAnsi="Arial Narrow" w:cstheme="minorBidi"/>
        </w:rPr>
        <w:t xml:space="preserve">para la definición de cliente del Servicio Postal de Pago, al </w:t>
      </w:r>
      <w:r w:rsidR="009404F6" w:rsidRPr="008D06C6">
        <w:rPr>
          <w:rFonts w:ascii="Arial Narrow" w:hAnsi="Arial Narrow" w:cs="ArialNarrow"/>
        </w:rPr>
        <w:t>remitente del giro con el cual el Operador de Servicios Postales de Pago establece y mantiene una relación contractual para la prestación del servicio postal de pago, quien a su vez realiza una o varias operaciones durante un mismo mes,</w:t>
      </w:r>
      <w:r w:rsidR="009404F6" w:rsidRPr="008D06C6">
        <w:rPr>
          <w:rFonts w:ascii="Arial Narrow" w:eastAsiaTheme="minorHAnsi" w:hAnsi="Arial Narrow" w:cstheme="minorBidi"/>
        </w:rPr>
        <w:t xml:space="preserve"> un monto </w:t>
      </w:r>
      <w:r w:rsidR="00DA6AF7">
        <w:rPr>
          <w:rFonts w:ascii="Arial Narrow" w:eastAsiaTheme="minorHAnsi" w:hAnsi="Arial Narrow" w:cstheme="minorBidi"/>
        </w:rPr>
        <w:t xml:space="preserve">de </w:t>
      </w:r>
      <w:r w:rsidR="0018567A" w:rsidRPr="008D06C6">
        <w:rPr>
          <w:rFonts w:ascii="Arial Narrow" w:eastAsiaTheme="minorHAnsi" w:hAnsi="Arial Narrow" w:cstheme="minorBidi"/>
        </w:rPr>
        <w:t>D</w:t>
      </w:r>
      <w:r w:rsidRPr="008D06C6">
        <w:rPr>
          <w:rFonts w:ascii="Arial Narrow" w:eastAsiaTheme="minorHAnsi" w:hAnsi="Arial Narrow" w:cstheme="minorBidi"/>
        </w:rPr>
        <w:t xml:space="preserve">os </w:t>
      </w:r>
      <w:r w:rsidR="0018567A" w:rsidRPr="008D06C6">
        <w:rPr>
          <w:rFonts w:ascii="Arial Narrow" w:eastAsiaTheme="minorHAnsi" w:hAnsi="Arial Narrow" w:cstheme="minorBidi"/>
        </w:rPr>
        <w:t>M</w:t>
      </w:r>
      <w:r w:rsidRPr="008D06C6">
        <w:rPr>
          <w:rFonts w:ascii="Arial Narrow" w:eastAsiaTheme="minorHAnsi" w:hAnsi="Arial Narrow" w:cstheme="minorBidi"/>
        </w:rPr>
        <w:t xml:space="preserve">illones de </w:t>
      </w:r>
      <w:r w:rsidR="0018567A" w:rsidRPr="008D06C6">
        <w:rPr>
          <w:rFonts w:ascii="Arial Narrow" w:eastAsiaTheme="minorHAnsi" w:hAnsi="Arial Narrow" w:cstheme="minorBidi"/>
        </w:rPr>
        <w:t>P</w:t>
      </w:r>
      <w:r w:rsidRPr="008D06C6">
        <w:rPr>
          <w:rFonts w:ascii="Arial Narrow" w:eastAsiaTheme="minorHAnsi" w:hAnsi="Arial Narrow" w:cstheme="minorBidi"/>
        </w:rPr>
        <w:t xml:space="preserve">esos </w:t>
      </w:r>
      <w:r w:rsidR="0018567A" w:rsidRPr="008D06C6">
        <w:rPr>
          <w:rFonts w:ascii="Arial Narrow" w:eastAsiaTheme="minorHAnsi" w:hAnsi="Arial Narrow" w:cstheme="minorBidi"/>
        </w:rPr>
        <w:t>M/</w:t>
      </w:r>
      <w:proofErr w:type="spellStart"/>
      <w:r w:rsidR="0018567A" w:rsidRPr="008D06C6">
        <w:rPr>
          <w:rFonts w:ascii="Arial Narrow" w:eastAsiaTheme="minorHAnsi" w:hAnsi="Arial Narrow" w:cstheme="minorBidi"/>
        </w:rPr>
        <w:t>Cte</w:t>
      </w:r>
      <w:proofErr w:type="spellEnd"/>
      <w:r w:rsidR="0018567A" w:rsidRPr="008D06C6">
        <w:rPr>
          <w:rFonts w:ascii="Arial Narrow" w:eastAsiaTheme="minorHAnsi" w:hAnsi="Arial Narrow" w:cstheme="minorBidi"/>
        </w:rPr>
        <w:t xml:space="preserve"> ($2.000.000) </w:t>
      </w:r>
      <w:r w:rsidRPr="008D06C6">
        <w:rPr>
          <w:rFonts w:ascii="Arial Narrow" w:eastAsiaTheme="minorHAnsi" w:hAnsi="Arial Narrow" w:cstheme="minorBidi"/>
        </w:rPr>
        <w:t>equivalentes a</w:t>
      </w:r>
      <w:r w:rsidR="00384822" w:rsidRPr="008D06C6">
        <w:rPr>
          <w:rFonts w:ascii="Arial Narrow" w:eastAsiaTheme="minorHAnsi" w:hAnsi="Arial Narrow" w:cstheme="minorBidi"/>
        </w:rPr>
        <w:t xml:space="preserve"> </w:t>
      </w:r>
      <w:r w:rsidR="00257BA2" w:rsidRPr="008D06C6">
        <w:rPr>
          <w:rFonts w:ascii="Arial Narrow" w:eastAsiaTheme="minorHAnsi" w:hAnsi="Arial Narrow" w:cstheme="minorBidi"/>
          <w:b/>
          <w:bCs/>
        </w:rPr>
        <w:t>Cincuenta y tres (53) Unidad de Valor Tributario</w:t>
      </w:r>
      <w:r w:rsidR="0018567A" w:rsidRPr="008D06C6">
        <w:rPr>
          <w:rFonts w:ascii="Arial Narrow" w:eastAsiaTheme="minorHAnsi" w:hAnsi="Arial Narrow" w:cstheme="minorBidi"/>
          <w:b/>
          <w:bCs/>
        </w:rPr>
        <w:t xml:space="preserve"> -UV</w:t>
      </w:r>
      <w:r w:rsidR="009404F6" w:rsidRPr="008D06C6">
        <w:rPr>
          <w:rFonts w:ascii="Arial Narrow" w:eastAsiaTheme="minorHAnsi" w:hAnsi="Arial Narrow" w:cstheme="minorBidi"/>
          <w:b/>
          <w:bCs/>
        </w:rPr>
        <w:t xml:space="preserve">T. </w:t>
      </w:r>
    </w:p>
    <w:p w14:paraId="0023644A" w14:textId="77777777" w:rsidR="009404F6" w:rsidRPr="008D06C6" w:rsidRDefault="009404F6" w:rsidP="009404F6">
      <w:pPr>
        <w:autoSpaceDE w:val="0"/>
        <w:autoSpaceDN w:val="0"/>
        <w:adjustRightInd w:val="0"/>
        <w:rPr>
          <w:rFonts w:ascii="Arial Narrow" w:eastAsiaTheme="minorHAnsi" w:hAnsi="Arial Narrow" w:cstheme="minorBidi"/>
          <w:b/>
          <w:bCs/>
        </w:rPr>
      </w:pPr>
    </w:p>
    <w:p w14:paraId="0D000425" w14:textId="46F4B936" w:rsidR="00BC48F6" w:rsidRPr="008D06C6" w:rsidRDefault="009404F6" w:rsidP="009404F6">
      <w:pPr>
        <w:autoSpaceDE w:val="0"/>
        <w:autoSpaceDN w:val="0"/>
        <w:adjustRightInd w:val="0"/>
        <w:rPr>
          <w:rFonts w:ascii="Arial Narrow" w:hAnsi="Arial Narrow"/>
        </w:rPr>
      </w:pPr>
      <w:r w:rsidRPr="008D06C6">
        <w:rPr>
          <w:rFonts w:ascii="Arial Narrow" w:eastAsiaTheme="minorHAnsi" w:hAnsi="Arial Narrow" w:cstheme="minorBidi"/>
        </w:rPr>
        <w:t xml:space="preserve">Dicha disposición se define </w:t>
      </w:r>
      <w:r w:rsidR="00BC48F6" w:rsidRPr="008D06C6">
        <w:rPr>
          <w:rFonts w:ascii="Arial Narrow" w:hAnsi="Arial Narrow"/>
        </w:rPr>
        <w:t>teniendo en cu</w:t>
      </w:r>
      <w:r w:rsidR="0066124B" w:rsidRPr="008D06C6">
        <w:rPr>
          <w:rFonts w:ascii="Arial Narrow" w:hAnsi="Arial Narrow"/>
        </w:rPr>
        <w:t>e</w:t>
      </w:r>
      <w:r w:rsidR="00BC48F6" w:rsidRPr="008D06C6">
        <w:rPr>
          <w:rFonts w:ascii="Arial Narrow" w:hAnsi="Arial Narrow"/>
        </w:rPr>
        <w:t>nta las siguientes consideraciones:</w:t>
      </w:r>
    </w:p>
    <w:p w14:paraId="54ABA91A" w14:textId="77777777" w:rsidR="00BC48F6" w:rsidRPr="008D06C6" w:rsidRDefault="00BC48F6" w:rsidP="00BC48F6">
      <w:pPr>
        <w:pStyle w:val="Default"/>
        <w:jc w:val="both"/>
        <w:rPr>
          <w:rFonts w:ascii="Arial Narrow" w:hAnsi="Arial Narrow"/>
          <w:color w:val="auto"/>
        </w:rPr>
      </w:pPr>
    </w:p>
    <w:p w14:paraId="588323FC" w14:textId="0FB70F90" w:rsidR="00BC48F6" w:rsidRPr="008D06C6" w:rsidRDefault="00BC48F6" w:rsidP="00BC48F6">
      <w:pPr>
        <w:pStyle w:val="Prrafodelista"/>
        <w:numPr>
          <w:ilvl w:val="0"/>
          <w:numId w:val="3"/>
        </w:numPr>
        <w:spacing w:after="160" w:line="259" w:lineRule="auto"/>
        <w:jc w:val="both"/>
        <w:rPr>
          <w:rFonts w:ascii="Arial Narrow" w:hAnsi="Arial Narrow"/>
        </w:rPr>
      </w:pPr>
      <w:r w:rsidRPr="008D06C6">
        <w:rPr>
          <w:rFonts w:ascii="Arial Narrow" w:hAnsi="Arial Narrow"/>
        </w:rPr>
        <w:lastRenderedPageBreak/>
        <w:t xml:space="preserve">Los operadores postales de pago son considerados por el GAFI como parte del sector financiero ampliado, </w:t>
      </w:r>
      <w:bookmarkStart w:id="1" w:name="_Hlk88139899"/>
      <w:r w:rsidRPr="008D06C6">
        <w:rPr>
          <w:rFonts w:ascii="Arial Narrow" w:hAnsi="Arial Narrow"/>
        </w:rPr>
        <w:t>por lo tanto, deben estar sujetos a un marco normativo sobre el Sistema de Administración del Riesgo de lavado de activos, financiación del terrorismo y financiamiento de proliferación de armas de destrucción masiva</w:t>
      </w:r>
      <w:bookmarkEnd w:id="1"/>
      <w:r w:rsidR="00784E8D">
        <w:rPr>
          <w:rFonts w:ascii="Arial Narrow" w:hAnsi="Arial Narrow"/>
        </w:rPr>
        <w:t>,</w:t>
      </w:r>
      <w:r w:rsidRPr="008D06C6">
        <w:rPr>
          <w:rFonts w:ascii="Arial Narrow" w:hAnsi="Arial Narrow"/>
        </w:rPr>
        <w:t xml:space="preserve"> considerando apropiado </w:t>
      </w:r>
      <w:bookmarkStart w:id="2" w:name="_Hlk88139972"/>
      <w:r w:rsidRPr="008D06C6">
        <w:rPr>
          <w:rFonts w:ascii="Arial Narrow" w:hAnsi="Arial Narrow"/>
        </w:rPr>
        <w:t>establecer un parámetro similar al aplicable a las entidades del sector financiero que realizan una actividad similar</w:t>
      </w:r>
      <w:bookmarkEnd w:id="2"/>
      <w:r w:rsidRPr="008D06C6">
        <w:rPr>
          <w:rFonts w:ascii="Arial Narrow" w:hAnsi="Arial Narrow"/>
        </w:rPr>
        <w:t>.</w:t>
      </w:r>
    </w:p>
    <w:p w14:paraId="3A0856B6" w14:textId="77777777" w:rsidR="00BC48F6" w:rsidRPr="008D06C6" w:rsidRDefault="00BC48F6" w:rsidP="00BC48F6">
      <w:pPr>
        <w:pStyle w:val="Prrafodelista"/>
        <w:jc w:val="both"/>
        <w:rPr>
          <w:rFonts w:ascii="Arial Narrow" w:hAnsi="Arial Narrow"/>
        </w:rPr>
      </w:pPr>
    </w:p>
    <w:p w14:paraId="6CF347A0" w14:textId="77777777" w:rsidR="00BC48F6" w:rsidRPr="008D06C6" w:rsidRDefault="00BC48F6" w:rsidP="00BC48F6">
      <w:pPr>
        <w:pStyle w:val="Prrafodelista"/>
        <w:numPr>
          <w:ilvl w:val="0"/>
          <w:numId w:val="3"/>
        </w:numPr>
        <w:spacing w:after="160" w:line="259" w:lineRule="auto"/>
        <w:jc w:val="both"/>
        <w:rPr>
          <w:rFonts w:ascii="Arial Narrow" w:hAnsi="Arial Narrow"/>
        </w:rPr>
      </w:pPr>
      <w:r w:rsidRPr="008D06C6">
        <w:rPr>
          <w:rFonts w:ascii="Arial Narrow" w:hAnsi="Arial Narrow"/>
        </w:rPr>
        <w:t>Prudencia frente a las exigencias en cambios normativos que prevean una mejora en las definiciones de las buenas prácticas a adoptar en los lineamientos normativos exigidos, pero también tenga en cuenta el nivel de impacto que este tiene en las entidades vigiladas, de forma que se logre una adopción del marco normativo de forma adecuada y sin ningún tipo de traumatismo.</w:t>
      </w:r>
    </w:p>
    <w:p w14:paraId="4C0FB837" w14:textId="77777777" w:rsidR="00BC48F6" w:rsidRPr="008D06C6" w:rsidRDefault="00BC48F6" w:rsidP="00BC48F6">
      <w:pPr>
        <w:pStyle w:val="Prrafodelista"/>
        <w:jc w:val="both"/>
        <w:rPr>
          <w:rFonts w:ascii="Arial Narrow" w:hAnsi="Arial Narrow"/>
        </w:rPr>
      </w:pPr>
    </w:p>
    <w:p w14:paraId="121AEFD3" w14:textId="77777777" w:rsidR="00BC48F6" w:rsidRPr="008D06C6" w:rsidRDefault="00BC48F6" w:rsidP="00BC48F6">
      <w:pPr>
        <w:pStyle w:val="Prrafodelista"/>
        <w:numPr>
          <w:ilvl w:val="0"/>
          <w:numId w:val="3"/>
        </w:numPr>
        <w:spacing w:after="160" w:line="259" w:lineRule="auto"/>
        <w:jc w:val="both"/>
        <w:rPr>
          <w:rFonts w:ascii="Arial Narrow" w:hAnsi="Arial Narrow"/>
        </w:rPr>
      </w:pPr>
      <w:r w:rsidRPr="008D06C6">
        <w:rPr>
          <w:rFonts w:ascii="Arial Narrow" w:hAnsi="Arial Narrow"/>
        </w:rPr>
        <w:t>Dar cumplimiento a las recomendaciones internacionales emitidas por el Grupo de Acción Financiera – GAFI.</w:t>
      </w:r>
    </w:p>
    <w:p w14:paraId="2E6F1CF6" w14:textId="77777777" w:rsidR="00BC48F6" w:rsidRPr="008D06C6" w:rsidRDefault="00BC48F6" w:rsidP="00BC48F6">
      <w:pPr>
        <w:pStyle w:val="Prrafodelista"/>
        <w:rPr>
          <w:rFonts w:ascii="Arial Narrow" w:hAnsi="Arial Narrow"/>
        </w:rPr>
      </w:pPr>
    </w:p>
    <w:p w14:paraId="1BB23BA8" w14:textId="721792B9" w:rsidR="00AD64D7" w:rsidRDefault="00AD64D7" w:rsidP="00BC48F6">
      <w:pPr>
        <w:jc w:val="center"/>
        <w:rPr>
          <w:rFonts w:ascii="Arial Narrow" w:hAnsi="Arial Narrow"/>
          <w:bCs/>
          <w:color w:val="000000"/>
          <w:sz w:val="22"/>
          <w:szCs w:val="22"/>
        </w:rPr>
      </w:pPr>
    </w:p>
    <w:p w14:paraId="0D64C18A" w14:textId="77777777" w:rsidR="00450E39" w:rsidRDefault="00450E39" w:rsidP="00BC48F6">
      <w:pPr>
        <w:jc w:val="center"/>
        <w:rPr>
          <w:rFonts w:ascii="Arial Narrow" w:hAnsi="Arial Narrow"/>
          <w:bCs/>
          <w:color w:val="000000"/>
          <w:sz w:val="22"/>
          <w:szCs w:val="22"/>
        </w:rPr>
      </w:pPr>
    </w:p>
    <w:p w14:paraId="520F9724" w14:textId="38E74797" w:rsidR="00BC48F6" w:rsidRPr="0097540E" w:rsidRDefault="00BC48F6" w:rsidP="00BC48F6">
      <w:pPr>
        <w:jc w:val="center"/>
        <w:rPr>
          <w:rFonts w:ascii="Arial Narrow" w:hAnsi="Arial Narrow"/>
          <w:bCs/>
          <w:color w:val="000000"/>
          <w:sz w:val="22"/>
          <w:szCs w:val="22"/>
        </w:rPr>
      </w:pPr>
      <w:r w:rsidRPr="0097540E">
        <w:rPr>
          <w:rFonts w:ascii="Arial Narrow" w:hAnsi="Arial Narrow"/>
          <w:bCs/>
          <w:color w:val="000000"/>
          <w:sz w:val="22"/>
          <w:szCs w:val="22"/>
        </w:rPr>
        <w:t>(FIRMADO DIGITALMENTE)</w:t>
      </w:r>
    </w:p>
    <w:p w14:paraId="3B26326B" w14:textId="77777777" w:rsidR="00BC48F6" w:rsidRPr="0097540E" w:rsidRDefault="00BC48F6" w:rsidP="00BC48F6">
      <w:pPr>
        <w:jc w:val="center"/>
        <w:rPr>
          <w:rFonts w:ascii="Arial Narrow" w:eastAsia="Arial Unicode MS" w:hAnsi="Arial Narrow" w:cs="Arial"/>
          <w:b/>
          <w:color w:val="000000"/>
          <w:sz w:val="22"/>
          <w:szCs w:val="22"/>
        </w:rPr>
      </w:pPr>
      <w:r w:rsidRPr="0097540E">
        <w:rPr>
          <w:rFonts w:ascii="Arial Narrow" w:hAnsi="Arial Narrow"/>
          <w:b/>
          <w:color w:val="000000"/>
          <w:sz w:val="22"/>
          <w:szCs w:val="22"/>
        </w:rPr>
        <w:t>JAIRO LUIS MARULANDA LAZCARRO</w:t>
      </w:r>
    </w:p>
    <w:p w14:paraId="436913C1" w14:textId="7C4EF147" w:rsidR="00BC48F6" w:rsidRDefault="00BC48F6" w:rsidP="00BC48F6">
      <w:pPr>
        <w:jc w:val="center"/>
        <w:rPr>
          <w:rFonts w:ascii="Arial Narrow" w:eastAsia="Arial Unicode MS" w:hAnsi="Arial Narrow" w:cs="Arial"/>
          <w:color w:val="000000"/>
          <w:sz w:val="22"/>
          <w:szCs w:val="22"/>
        </w:rPr>
      </w:pPr>
      <w:r w:rsidRPr="0097540E">
        <w:rPr>
          <w:rFonts w:ascii="Arial Narrow" w:eastAsia="Arial Unicode MS" w:hAnsi="Arial Narrow" w:cs="Arial"/>
          <w:color w:val="000000"/>
          <w:sz w:val="22"/>
          <w:szCs w:val="22"/>
        </w:rPr>
        <w:t>Subdirector de Asuntos Postales</w:t>
      </w:r>
    </w:p>
    <w:p w14:paraId="7B8B3D5C" w14:textId="77777777" w:rsidR="006A02B1" w:rsidRPr="0097540E" w:rsidRDefault="006A02B1" w:rsidP="00BC48F6">
      <w:pPr>
        <w:jc w:val="center"/>
        <w:rPr>
          <w:rFonts w:ascii="Arial Narrow" w:eastAsia="Arial Unicode MS" w:hAnsi="Arial Narrow" w:cs="Arial"/>
          <w:color w:val="000000"/>
          <w:sz w:val="22"/>
          <w:szCs w:val="22"/>
        </w:rPr>
      </w:pPr>
    </w:p>
    <w:p w14:paraId="3127A7A2" w14:textId="77777777" w:rsidR="00BC48F6" w:rsidRDefault="00BC48F6" w:rsidP="00BC48F6">
      <w:pPr>
        <w:spacing w:line="276" w:lineRule="auto"/>
        <w:rPr>
          <w:rFonts w:ascii="Arial Narrow" w:hAnsi="Arial Narrow" w:cs="Arial"/>
          <w:sz w:val="16"/>
          <w:szCs w:val="16"/>
        </w:rPr>
      </w:pPr>
    </w:p>
    <w:p w14:paraId="71301E36" w14:textId="77777777" w:rsidR="00BC48F6" w:rsidRDefault="00BC48F6" w:rsidP="00BC48F6">
      <w:pPr>
        <w:spacing w:line="276" w:lineRule="auto"/>
        <w:rPr>
          <w:rFonts w:ascii="Arial Narrow" w:hAnsi="Arial Narrow" w:cs="Arial"/>
          <w:sz w:val="16"/>
          <w:szCs w:val="16"/>
        </w:rPr>
      </w:pPr>
      <w:r w:rsidRPr="006B2C93">
        <w:rPr>
          <w:rFonts w:ascii="Arial Narrow" w:hAnsi="Arial Narrow" w:cs="Arial"/>
          <w:sz w:val="16"/>
          <w:szCs w:val="16"/>
        </w:rPr>
        <w:t xml:space="preserve">Proyectó:   </w:t>
      </w:r>
      <w:r>
        <w:rPr>
          <w:rFonts w:ascii="Arial Narrow" w:hAnsi="Arial Narrow" w:cs="Arial"/>
          <w:sz w:val="16"/>
          <w:szCs w:val="16"/>
        </w:rPr>
        <w:t xml:space="preserve">Clara Eugenia Bruckner Borrero </w:t>
      </w:r>
      <w:r w:rsidRPr="006B2C93">
        <w:rPr>
          <w:rFonts w:ascii="Arial Narrow" w:hAnsi="Arial Narrow" w:cs="Arial"/>
          <w:sz w:val="16"/>
          <w:szCs w:val="16"/>
        </w:rPr>
        <w:t>- Subdirección de Asuntos Postales</w:t>
      </w:r>
      <w:r>
        <w:rPr>
          <w:rFonts w:ascii="Arial Narrow" w:hAnsi="Arial Narrow" w:cs="Arial"/>
          <w:sz w:val="16"/>
          <w:szCs w:val="16"/>
        </w:rPr>
        <w:t xml:space="preserve"> </w:t>
      </w:r>
      <w:r w:rsidRPr="006B2C93">
        <w:rPr>
          <w:rFonts w:ascii="Arial Narrow" w:hAnsi="Arial Narrow" w:cs="Arial"/>
          <w:sz w:val="16"/>
          <w:szCs w:val="16"/>
        </w:rPr>
        <w:tab/>
      </w:r>
    </w:p>
    <w:p w14:paraId="5A32F2C7" w14:textId="77777777" w:rsidR="00BC48F6" w:rsidRDefault="00BC48F6" w:rsidP="00BC48F6">
      <w:pPr>
        <w:spacing w:line="276" w:lineRule="auto"/>
        <w:rPr>
          <w:rFonts w:ascii="Arial Narrow" w:hAnsi="Arial Narrow" w:cs="Arial"/>
          <w:sz w:val="16"/>
          <w:szCs w:val="16"/>
        </w:rPr>
      </w:pPr>
      <w:r w:rsidRPr="006B2C93">
        <w:rPr>
          <w:rFonts w:ascii="Arial Narrow" w:hAnsi="Arial Narrow" w:cs="Arial"/>
          <w:sz w:val="16"/>
          <w:szCs w:val="16"/>
        </w:rPr>
        <w:t>Revisó:      Claudia C. Martínez Becerra</w:t>
      </w:r>
      <w:r>
        <w:rPr>
          <w:rFonts w:ascii="Arial Narrow" w:hAnsi="Arial Narrow" w:cs="Arial"/>
          <w:sz w:val="16"/>
          <w:szCs w:val="16"/>
        </w:rPr>
        <w:t xml:space="preserve"> </w:t>
      </w:r>
      <w:r w:rsidRPr="006B2C93">
        <w:rPr>
          <w:rFonts w:ascii="Arial Narrow" w:hAnsi="Arial Narrow" w:cs="Arial"/>
          <w:sz w:val="16"/>
          <w:szCs w:val="16"/>
        </w:rPr>
        <w:t>- Subdirección de Asuntos Postales</w:t>
      </w:r>
      <w:r>
        <w:rPr>
          <w:rFonts w:ascii="Arial Narrow" w:hAnsi="Arial Narrow" w:cs="Arial"/>
          <w:sz w:val="16"/>
          <w:szCs w:val="16"/>
        </w:rPr>
        <w:t xml:space="preserve"> </w:t>
      </w:r>
    </w:p>
    <w:p w14:paraId="6F989468" w14:textId="77777777" w:rsidR="00BC48F6" w:rsidRDefault="00BC48F6" w:rsidP="00BC48F6">
      <w:pPr>
        <w:spacing w:line="276" w:lineRule="auto"/>
        <w:rPr>
          <w:rFonts w:ascii="Arial Narrow" w:hAnsi="Arial Narrow" w:cs="Arial"/>
          <w:sz w:val="16"/>
          <w:szCs w:val="16"/>
        </w:rPr>
      </w:pPr>
      <w:r>
        <w:rPr>
          <w:rFonts w:ascii="Arial Narrow" w:hAnsi="Arial Narrow" w:cs="Arial"/>
          <w:sz w:val="16"/>
          <w:szCs w:val="16"/>
        </w:rPr>
        <w:t xml:space="preserve">                  Camilo Molano Trujillo </w:t>
      </w:r>
      <w:r w:rsidRPr="006B2C93">
        <w:rPr>
          <w:rFonts w:ascii="Arial Narrow" w:hAnsi="Arial Narrow" w:cs="Arial"/>
          <w:sz w:val="16"/>
          <w:szCs w:val="16"/>
        </w:rPr>
        <w:t>- Subdirección de Asuntos Postales</w:t>
      </w:r>
      <w:r>
        <w:rPr>
          <w:rFonts w:ascii="Arial Narrow" w:hAnsi="Arial Narrow" w:cs="Arial"/>
          <w:sz w:val="16"/>
          <w:szCs w:val="16"/>
        </w:rPr>
        <w:t xml:space="preserve"> </w:t>
      </w:r>
      <w:r w:rsidRPr="006B2C93">
        <w:rPr>
          <w:rFonts w:ascii="Arial Narrow" w:hAnsi="Arial Narrow" w:cs="Arial"/>
          <w:sz w:val="16"/>
          <w:szCs w:val="16"/>
        </w:rPr>
        <w:tab/>
      </w:r>
    </w:p>
    <w:p w14:paraId="3CE6D19B" w14:textId="4F24C94C" w:rsidR="002B16A1" w:rsidRPr="00BC48F6" w:rsidRDefault="00BC48F6" w:rsidP="00BC48F6">
      <w:pPr>
        <w:spacing w:line="276" w:lineRule="auto"/>
      </w:pPr>
      <w:r>
        <w:rPr>
          <w:rFonts w:ascii="Arial Narrow" w:hAnsi="Arial Narrow" w:cs="Arial"/>
          <w:sz w:val="16"/>
          <w:szCs w:val="16"/>
        </w:rPr>
        <w:t xml:space="preserve">                  </w:t>
      </w:r>
    </w:p>
    <w:sectPr w:rsidR="002B16A1" w:rsidRPr="00BC48F6" w:rsidSect="00BD64E1">
      <w:headerReference w:type="default" r:id="rId11"/>
      <w:footerReference w:type="default" r:id="rId12"/>
      <w:pgSz w:w="12242" w:h="15842" w:code="1"/>
      <w:pgMar w:top="2268" w:right="1134" w:bottom="2268" w:left="170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C667" w14:textId="77777777" w:rsidR="008802A7" w:rsidRDefault="008802A7">
      <w:r>
        <w:separator/>
      </w:r>
    </w:p>
  </w:endnote>
  <w:endnote w:type="continuationSeparator" w:id="0">
    <w:p w14:paraId="2D1F7056" w14:textId="77777777" w:rsidR="008802A7" w:rsidRDefault="0088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96C8" w14:textId="163E7108" w:rsidR="00015A70" w:rsidRPr="00674704" w:rsidRDefault="00477D6A" w:rsidP="001B489A">
    <w:pPr>
      <w:pStyle w:val="Piedepgina"/>
      <w:rPr>
        <w:szCs w:val="16"/>
      </w:rPr>
    </w:pPr>
    <w:r>
      <w:rPr>
        <w:noProof/>
        <w:lang w:val="es-ES"/>
      </w:rPr>
      <w:drawing>
        <wp:anchor distT="0" distB="0" distL="114300" distR="114300" simplePos="0" relativeHeight="251659264" behindDoc="1" locked="0" layoutInCell="1" allowOverlap="1" wp14:anchorId="7482EDAF" wp14:editId="01E976D1">
          <wp:simplePos x="0" y="0"/>
          <wp:positionH relativeFrom="column">
            <wp:posOffset>4354195</wp:posOffset>
          </wp:positionH>
          <wp:positionV relativeFrom="paragraph">
            <wp:posOffset>-911746</wp:posOffset>
          </wp:positionV>
          <wp:extent cx="1633070" cy="494541"/>
          <wp:effectExtent l="0" t="0" r="0" b="1270"/>
          <wp:wrapNone/>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pic:nvPicPr>
                <pic:blipFill>
                  <a:blip r:embed="rId1"/>
                  <a:stretch>
                    <a:fillRect/>
                  </a:stretch>
                </pic:blipFill>
                <pic:spPr>
                  <a:xfrm>
                    <a:off x="0" y="0"/>
                    <a:ext cx="1633070" cy="494541"/>
                  </a:xfrm>
                  <a:prstGeom prst="rect">
                    <a:avLst/>
                  </a:prstGeom>
                </pic:spPr>
              </pic:pic>
            </a:graphicData>
          </a:graphic>
          <wp14:sizeRelH relativeFrom="page">
            <wp14:pctWidth>0</wp14:pctWidth>
          </wp14:sizeRelH>
          <wp14:sizeRelV relativeFrom="page">
            <wp14:pctHeight>0</wp14:pctHeight>
          </wp14:sizeRelV>
        </wp:anchor>
      </w:drawing>
    </w:r>
    <w:r w:rsidR="00BD64E1">
      <w:rPr>
        <w:noProof/>
        <w:lang w:val="es-ES"/>
      </w:rPr>
      <mc:AlternateContent>
        <mc:Choice Requires="wps">
          <w:drawing>
            <wp:anchor distT="0" distB="0" distL="114300" distR="114300" simplePos="0" relativeHeight="251656192" behindDoc="0" locked="0" layoutInCell="1" allowOverlap="1" wp14:anchorId="781697FB" wp14:editId="64B81973">
              <wp:simplePos x="0" y="0"/>
              <wp:positionH relativeFrom="column">
                <wp:posOffset>-50800</wp:posOffset>
              </wp:positionH>
              <wp:positionV relativeFrom="paragraph">
                <wp:posOffset>-1018491</wp:posOffset>
              </wp:positionV>
              <wp:extent cx="3200400" cy="733425"/>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6BBA" w14:textId="77777777" w:rsidR="001B489A" w:rsidRPr="00FC4F1B" w:rsidRDefault="001B489A"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8B0D988" w:rsidR="001B489A" w:rsidRPr="00FC4F1B" w:rsidRDefault="001B489A" w:rsidP="001B489A">
                          <w:pPr>
                            <w:rPr>
                              <w:rFonts w:ascii="Arial" w:hAnsi="Arial"/>
                              <w:b/>
                              <w:color w:val="7F7F7F"/>
                              <w:sz w:val="14"/>
                            </w:rPr>
                          </w:pPr>
                          <w:r w:rsidRPr="00FC4F1B">
                            <w:rPr>
                              <w:rFonts w:ascii="Arial" w:hAnsi="Arial"/>
                              <w:b/>
                              <w:color w:val="7F7F7F"/>
                              <w:sz w:val="14"/>
                            </w:rPr>
                            <w:t>Edificio Murillo Toro, Carrera 8, entre calles 12</w:t>
                          </w:r>
                          <w:r w:rsidR="00016629">
                            <w:rPr>
                              <w:rFonts w:ascii="Arial" w:hAnsi="Arial"/>
                              <w:b/>
                              <w:color w:val="7F7F7F"/>
                              <w:sz w:val="14"/>
                            </w:rPr>
                            <w:t>A y 12B</w:t>
                          </w:r>
                        </w:p>
                        <w:p w14:paraId="119401D4" w14:textId="77777777" w:rsidR="001B489A" w:rsidRPr="00FC4F1B" w:rsidRDefault="001B489A" w:rsidP="001B489A">
                          <w:pPr>
                            <w:rPr>
                              <w:rFonts w:ascii="Arial" w:hAnsi="Arial"/>
                              <w:b/>
                              <w:color w:val="7F7F7F"/>
                              <w:sz w:val="14"/>
                            </w:rPr>
                          </w:pPr>
                          <w:r w:rsidRPr="00FC4F1B">
                            <w:rPr>
                              <w:rFonts w:ascii="Arial" w:hAnsi="Arial"/>
                              <w:b/>
                              <w:color w:val="7F7F7F"/>
                              <w:sz w:val="14"/>
                            </w:rPr>
                            <w:t>Código Postal: 111711 . Bogotá, Colombia</w:t>
                          </w:r>
                        </w:p>
                        <w:p w14:paraId="7616CF0B" w14:textId="52468CB3" w:rsidR="001B489A" w:rsidRPr="00477D6A" w:rsidRDefault="001B489A" w:rsidP="001B489A">
                          <w:pPr>
                            <w:rPr>
                              <w:rFonts w:ascii="Arial" w:hAnsi="Arial"/>
                              <w:b/>
                              <w:color w:val="7F7F7F"/>
                              <w:sz w:val="14"/>
                            </w:rPr>
                          </w:pPr>
                          <w:r w:rsidRPr="00477D6A">
                            <w:rPr>
                              <w:rFonts w:ascii="Arial" w:hAnsi="Arial"/>
                              <w:b/>
                              <w:color w:val="7F7F7F"/>
                              <w:sz w:val="14"/>
                            </w:rPr>
                            <w:t xml:space="preserve">T: </w:t>
                          </w:r>
                          <w:r w:rsidR="006A1ADE" w:rsidRPr="00477D6A">
                            <w:rPr>
                              <w:rFonts w:ascii="Arial" w:hAnsi="Arial"/>
                              <w:b/>
                              <w:color w:val="7F7F7F"/>
                              <w:sz w:val="14"/>
                            </w:rPr>
                            <w:t>601</w:t>
                          </w:r>
                          <w:r w:rsidRPr="00477D6A">
                            <w:rPr>
                              <w:rFonts w:ascii="Arial" w:hAnsi="Arial"/>
                              <w:b/>
                              <w:color w:val="7F7F7F"/>
                              <w:sz w:val="14"/>
                            </w:rPr>
                            <w:t xml:space="preserve"> 3443460 Fax: </w:t>
                          </w:r>
                          <w:r w:rsidR="006A1ADE" w:rsidRPr="00477D6A">
                            <w:rPr>
                              <w:rFonts w:ascii="Arial" w:hAnsi="Arial"/>
                              <w:b/>
                              <w:color w:val="7F7F7F"/>
                              <w:sz w:val="14"/>
                            </w:rPr>
                            <w:t>601</w:t>
                          </w:r>
                          <w:r w:rsidRPr="00477D6A">
                            <w:rPr>
                              <w:rFonts w:ascii="Arial" w:hAnsi="Arial"/>
                              <w:b/>
                              <w:color w:val="7F7F7F"/>
                              <w:sz w:val="14"/>
                            </w:rPr>
                            <w:t xml:space="preserve"> 344 2248</w:t>
                          </w:r>
                        </w:p>
                        <w:p w14:paraId="1CBAA035" w14:textId="44881D11" w:rsidR="001B489A" w:rsidRPr="006A1ADE" w:rsidRDefault="001B489A" w:rsidP="001B489A">
                          <w:pPr>
                            <w:rPr>
                              <w:lang w:val="en-US"/>
                            </w:rPr>
                          </w:pPr>
                          <w:r w:rsidRPr="006A1ADE">
                            <w:rPr>
                              <w:rFonts w:ascii="Arial" w:hAnsi="Arial"/>
                              <w:b/>
                              <w:color w:val="7F7F7F"/>
                              <w:sz w:val="14"/>
                              <w:lang w:val="en-US"/>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97FB" id="_x0000_t202" coordsize="21600,21600" o:spt="202" path="m,l,21600r21600,l21600,xe">
              <v:stroke joinstyle="miter"/>
              <v:path gradientshapeok="t" o:connecttype="rect"/>
            </v:shapetype>
            <v:shape id="Text Box 17" o:spid="_x0000_s1026" type="#_x0000_t202" style="position:absolute;margin-left:-4pt;margin-top:-80.2pt;width:252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" filled="f" stroked="f">
              <v:textbox inset=",7.2pt,,7.2pt">
                <w:txbxContent>
                  <w:p w14:paraId="15D16BBA" w14:textId="77777777" w:rsidR="001B489A" w:rsidRPr="00FC4F1B" w:rsidRDefault="001B489A"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8B0D988" w:rsidR="001B489A" w:rsidRPr="00FC4F1B" w:rsidRDefault="001B489A" w:rsidP="001B489A">
                    <w:pPr>
                      <w:rPr>
                        <w:rFonts w:ascii="Arial" w:hAnsi="Arial"/>
                        <w:b/>
                        <w:color w:val="7F7F7F"/>
                        <w:sz w:val="14"/>
                      </w:rPr>
                    </w:pPr>
                    <w:r w:rsidRPr="00FC4F1B">
                      <w:rPr>
                        <w:rFonts w:ascii="Arial" w:hAnsi="Arial"/>
                        <w:b/>
                        <w:color w:val="7F7F7F"/>
                        <w:sz w:val="14"/>
                      </w:rPr>
                      <w:t>Edificio Murillo Toro, Carrera 8, entre calles 12</w:t>
                    </w:r>
                    <w:r w:rsidR="00016629">
                      <w:rPr>
                        <w:rFonts w:ascii="Arial" w:hAnsi="Arial"/>
                        <w:b/>
                        <w:color w:val="7F7F7F"/>
                        <w:sz w:val="14"/>
                      </w:rPr>
                      <w:t>A y 12B</w:t>
                    </w:r>
                  </w:p>
                  <w:p w14:paraId="119401D4" w14:textId="77777777" w:rsidR="001B489A" w:rsidRPr="00FC4F1B" w:rsidRDefault="001B489A" w:rsidP="001B489A">
                    <w:pPr>
                      <w:rPr>
                        <w:rFonts w:ascii="Arial" w:hAnsi="Arial"/>
                        <w:b/>
                        <w:color w:val="7F7F7F"/>
                        <w:sz w:val="14"/>
                      </w:rPr>
                    </w:pPr>
                    <w:r w:rsidRPr="00FC4F1B">
                      <w:rPr>
                        <w:rFonts w:ascii="Arial" w:hAnsi="Arial"/>
                        <w:b/>
                        <w:color w:val="7F7F7F"/>
                        <w:sz w:val="14"/>
                      </w:rPr>
                      <w:t>Código Postal: 111711 . Bogotá, Colombia</w:t>
                    </w:r>
                  </w:p>
                  <w:p w14:paraId="7616CF0B" w14:textId="52468CB3" w:rsidR="001B489A" w:rsidRPr="00477D6A" w:rsidRDefault="001B489A" w:rsidP="001B489A">
                    <w:pPr>
                      <w:rPr>
                        <w:rFonts w:ascii="Arial" w:hAnsi="Arial"/>
                        <w:b/>
                        <w:color w:val="7F7F7F"/>
                        <w:sz w:val="14"/>
                      </w:rPr>
                    </w:pPr>
                    <w:r w:rsidRPr="00477D6A">
                      <w:rPr>
                        <w:rFonts w:ascii="Arial" w:hAnsi="Arial"/>
                        <w:b/>
                        <w:color w:val="7F7F7F"/>
                        <w:sz w:val="14"/>
                      </w:rPr>
                      <w:t xml:space="preserve">T: </w:t>
                    </w:r>
                    <w:r w:rsidR="006A1ADE" w:rsidRPr="00477D6A">
                      <w:rPr>
                        <w:rFonts w:ascii="Arial" w:hAnsi="Arial"/>
                        <w:b/>
                        <w:color w:val="7F7F7F"/>
                        <w:sz w:val="14"/>
                      </w:rPr>
                      <w:t>601</w:t>
                    </w:r>
                    <w:r w:rsidRPr="00477D6A">
                      <w:rPr>
                        <w:rFonts w:ascii="Arial" w:hAnsi="Arial"/>
                        <w:b/>
                        <w:color w:val="7F7F7F"/>
                        <w:sz w:val="14"/>
                      </w:rPr>
                      <w:t xml:space="preserve"> 3443460 Fax: </w:t>
                    </w:r>
                    <w:r w:rsidR="006A1ADE" w:rsidRPr="00477D6A">
                      <w:rPr>
                        <w:rFonts w:ascii="Arial" w:hAnsi="Arial"/>
                        <w:b/>
                        <w:color w:val="7F7F7F"/>
                        <w:sz w:val="14"/>
                      </w:rPr>
                      <w:t>601</w:t>
                    </w:r>
                    <w:r w:rsidRPr="00477D6A">
                      <w:rPr>
                        <w:rFonts w:ascii="Arial" w:hAnsi="Arial"/>
                        <w:b/>
                        <w:color w:val="7F7F7F"/>
                        <w:sz w:val="14"/>
                      </w:rPr>
                      <w:t xml:space="preserve"> 344 2248</w:t>
                    </w:r>
                  </w:p>
                  <w:p w14:paraId="1CBAA035" w14:textId="44881D11" w:rsidR="001B489A" w:rsidRPr="006A1ADE" w:rsidRDefault="001B489A" w:rsidP="001B489A">
                    <w:pPr>
                      <w:rPr>
                        <w:lang w:val="en-US"/>
                      </w:rPr>
                    </w:pPr>
                    <w:r w:rsidRPr="006A1ADE">
                      <w:rPr>
                        <w:rFonts w:ascii="Arial" w:hAnsi="Arial"/>
                        <w:b/>
                        <w:color w:val="7F7F7F"/>
                        <w:sz w:val="14"/>
                        <w:lang w:val="en-US"/>
                      </w:rPr>
                      <w:t>www.mintic.gov.co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9A6A" w14:textId="77777777" w:rsidR="008802A7" w:rsidRDefault="008802A7">
      <w:r>
        <w:separator/>
      </w:r>
    </w:p>
  </w:footnote>
  <w:footnote w:type="continuationSeparator" w:id="0">
    <w:p w14:paraId="3318E93E" w14:textId="77777777" w:rsidR="008802A7" w:rsidRDefault="008802A7">
      <w:r>
        <w:continuationSeparator/>
      </w:r>
    </w:p>
  </w:footnote>
  <w:footnote w:id="1">
    <w:p w14:paraId="5FA7DCA2" w14:textId="77777777" w:rsidR="00226B50" w:rsidRPr="00E97706" w:rsidRDefault="00226B50" w:rsidP="00226B50">
      <w:pPr>
        <w:pStyle w:val="Textonotapie"/>
        <w:jc w:val="both"/>
        <w:rPr>
          <w:lang w:val="es-MX"/>
        </w:rPr>
      </w:pPr>
      <w:r>
        <w:rPr>
          <w:rStyle w:val="Refdenotaalpie"/>
        </w:rPr>
        <w:footnoteRef/>
      </w:r>
      <w:r>
        <w:t xml:space="preserve"> </w:t>
      </w:r>
      <w:r w:rsidRPr="00BC48F6">
        <w:rPr>
          <w:rFonts w:ascii="Arial Narrow" w:hAnsi="Arial Narrow"/>
          <w:sz w:val="16"/>
          <w:szCs w:val="16"/>
          <w:lang w:val="es-MX"/>
        </w:rPr>
        <w:t>Numeral 4.2.2.2.1.4 del artículo 4.2 de la circular externa 027 de 2020, de la Superintendencia Financiera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650B" w14:textId="020BAE9B" w:rsidR="00015A70" w:rsidRPr="00F217D3" w:rsidRDefault="00A51792" w:rsidP="00F217D3">
    <w:pPr>
      <w:pStyle w:val="Encabezado"/>
      <w:rPr>
        <w:lang w:val="es-ES_tradnl"/>
      </w:rPr>
    </w:pPr>
    <w:r>
      <w:rPr>
        <w:noProof/>
        <w:lang w:val="es-ES_tradnl"/>
      </w:rPr>
      <w:drawing>
        <wp:anchor distT="0" distB="0" distL="114300" distR="114300" simplePos="0" relativeHeight="251658240" behindDoc="0" locked="0" layoutInCell="1" allowOverlap="1" wp14:anchorId="153622BD" wp14:editId="5C08F2F4">
          <wp:simplePos x="0" y="0"/>
          <wp:positionH relativeFrom="column">
            <wp:posOffset>-635</wp:posOffset>
          </wp:positionH>
          <wp:positionV relativeFrom="paragraph">
            <wp:posOffset>332105</wp:posOffset>
          </wp:positionV>
          <wp:extent cx="2698750" cy="565785"/>
          <wp:effectExtent l="0" t="0" r="635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2698750" cy="565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9AE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97A28"/>
    <w:multiLevelType w:val="multilevel"/>
    <w:tmpl w:val="060A2D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AB24E6A"/>
    <w:multiLevelType w:val="hybridMultilevel"/>
    <w:tmpl w:val="4DC62292"/>
    <w:lvl w:ilvl="0" w:tplc="609CB2F0">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15A70"/>
    <w:rsid w:val="00016629"/>
    <w:rsid w:val="00017F20"/>
    <w:rsid w:val="0002208B"/>
    <w:rsid w:val="00060601"/>
    <w:rsid w:val="00086209"/>
    <w:rsid w:val="000A3C09"/>
    <w:rsid w:val="000A6A5A"/>
    <w:rsid w:val="000C6CE5"/>
    <w:rsid w:val="000C6FE5"/>
    <w:rsid w:val="000D2A5A"/>
    <w:rsid w:val="000D3CD8"/>
    <w:rsid w:val="000E4D4C"/>
    <w:rsid w:val="000E5281"/>
    <w:rsid w:val="000F3606"/>
    <w:rsid w:val="000F5CA8"/>
    <w:rsid w:val="00107980"/>
    <w:rsid w:val="0011317E"/>
    <w:rsid w:val="00137F28"/>
    <w:rsid w:val="00153003"/>
    <w:rsid w:val="001654A6"/>
    <w:rsid w:val="00183D54"/>
    <w:rsid w:val="0018567A"/>
    <w:rsid w:val="00195548"/>
    <w:rsid w:val="001B489A"/>
    <w:rsid w:val="001B6853"/>
    <w:rsid w:val="001C035E"/>
    <w:rsid w:val="001D1079"/>
    <w:rsid w:val="001F2251"/>
    <w:rsid w:val="001F3E31"/>
    <w:rsid w:val="00203623"/>
    <w:rsid w:val="00214454"/>
    <w:rsid w:val="00226B50"/>
    <w:rsid w:val="0023567A"/>
    <w:rsid w:val="00243F38"/>
    <w:rsid w:val="002551AE"/>
    <w:rsid w:val="00257BA2"/>
    <w:rsid w:val="00277787"/>
    <w:rsid w:val="00283622"/>
    <w:rsid w:val="002B16A1"/>
    <w:rsid w:val="002E42AB"/>
    <w:rsid w:val="002F2779"/>
    <w:rsid w:val="003171C9"/>
    <w:rsid w:val="00325A78"/>
    <w:rsid w:val="00327C1B"/>
    <w:rsid w:val="00331D2A"/>
    <w:rsid w:val="0033596E"/>
    <w:rsid w:val="00366EC3"/>
    <w:rsid w:val="00384822"/>
    <w:rsid w:val="003B0660"/>
    <w:rsid w:val="003B7769"/>
    <w:rsid w:val="003C2418"/>
    <w:rsid w:val="003C656E"/>
    <w:rsid w:val="003F077C"/>
    <w:rsid w:val="003F60E5"/>
    <w:rsid w:val="00402346"/>
    <w:rsid w:val="00450E39"/>
    <w:rsid w:val="00454282"/>
    <w:rsid w:val="00454C3A"/>
    <w:rsid w:val="004735E4"/>
    <w:rsid w:val="00477D6A"/>
    <w:rsid w:val="004A665F"/>
    <w:rsid w:val="004F697C"/>
    <w:rsid w:val="005241F8"/>
    <w:rsid w:val="00532A20"/>
    <w:rsid w:val="005557BC"/>
    <w:rsid w:val="00574860"/>
    <w:rsid w:val="0057782B"/>
    <w:rsid w:val="00595756"/>
    <w:rsid w:val="005E1172"/>
    <w:rsid w:val="005E6332"/>
    <w:rsid w:val="005E64AE"/>
    <w:rsid w:val="00656EDF"/>
    <w:rsid w:val="0066124B"/>
    <w:rsid w:val="00663775"/>
    <w:rsid w:val="006A02B1"/>
    <w:rsid w:val="006A0A5D"/>
    <w:rsid w:val="006A1ADE"/>
    <w:rsid w:val="006A69FA"/>
    <w:rsid w:val="006B606A"/>
    <w:rsid w:val="006E0890"/>
    <w:rsid w:val="006E1C6D"/>
    <w:rsid w:val="006F17ED"/>
    <w:rsid w:val="007046ED"/>
    <w:rsid w:val="0070712D"/>
    <w:rsid w:val="007136A5"/>
    <w:rsid w:val="00717C55"/>
    <w:rsid w:val="007331C2"/>
    <w:rsid w:val="00733EBC"/>
    <w:rsid w:val="00743C20"/>
    <w:rsid w:val="00761E62"/>
    <w:rsid w:val="007655D0"/>
    <w:rsid w:val="00784E8D"/>
    <w:rsid w:val="00785EF0"/>
    <w:rsid w:val="007B7B5D"/>
    <w:rsid w:val="007C5B35"/>
    <w:rsid w:val="007D00E9"/>
    <w:rsid w:val="007D6667"/>
    <w:rsid w:val="007E28E5"/>
    <w:rsid w:val="007E7F5B"/>
    <w:rsid w:val="007F42F4"/>
    <w:rsid w:val="008176F7"/>
    <w:rsid w:val="00831C96"/>
    <w:rsid w:val="00851361"/>
    <w:rsid w:val="008543D6"/>
    <w:rsid w:val="008802A7"/>
    <w:rsid w:val="008862E2"/>
    <w:rsid w:val="00893025"/>
    <w:rsid w:val="008C216B"/>
    <w:rsid w:val="008D06C6"/>
    <w:rsid w:val="008E35FA"/>
    <w:rsid w:val="008F425F"/>
    <w:rsid w:val="00901593"/>
    <w:rsid w:val="009404F6"/>
    <w:rsid w:val="0094705D"/>
    <w:rsid w:val="009556FE"/>
    <w:rsid w:val="00977099"/>
    <w:rsid w:val="0098392A"/>
    <w:rsid w:val="009B15AF"/>
    <w:rsid w:val="009D2BDE"/>
    <w:rsid w:val="009D7996"/>
    <w:rsid w:val="00A03E34"/>
    <w:rsid w:val="00A51792"/>
    <w:rsid w:val="00A643B1"/>
    <w:rsid w:val="00A648F1"/>
    <w:rsid w:val="00AB6E24"/>
    <w:rsid w:val="00AD64D7"/>
    <w:rsid w:val="00AE66B4"/>
    <w:rsid w:val="00B05F95"/>
    <w:rsid w:val="00B52E77"/>
    <w:rsid w:val="00B57374"/>
    <w:rsid w:val="00B63FEE"/>
    <w:rsid w:val="00B6554B"/>
    <w:rsid w:val="00B9482F"/>
    <w:rsid w:val="00B9742D"/>
    <w:rsid w:val="00BA0D6E"/>
    <w:rsid w:val="00BC48F6"/>
    <w:rsid w:val="00BD64E1"/>
    <w:rsid w:val="00BF5C62"/>
    <w:rsid w:val="00C06028"/>
    <w:rsid w:val="00C84684"/>
    <w:rsid w:val="00CA323C"/>
    <w:rsid w:val="00CB43EE"/>
    <w:rsid w:val="00CE25FE"/>
    <w:rsid w:val="00CE7449"/>
    <w:rsid w:val="00CE74E7"/>
    <w:rsid w:val="00CF0173"/>
    <w:rsid w:val="00D02774"/>
    <w:rsid w:val="00D04BF1"/>
    <w:rsid w:val="00D22E46"/>
    <w:rsid w:val="00D579AB"/>
    <w:rsid w:val="00D61248"/>
    <w:rsid w:val="00DA6AF7"/>
    <w:rsid w:val="00DB2696"/>
    <w:rsid w:val="00DD0C3F"/>
    <w:rsid w:val="00DF0284"/>
    <w:rsid w:val="00E35A5E"/>
    <w:rsid w:val="00E5122F"/>
    <w:rsid w:val="00E5303D"/>
    <w:rsid w:val="00EA2AD5"/>
    <w:rsid w:val="00EC0F6D"/>
    <w:rsid w:val="00F03133"/>
    <w:rsid w:val="00F217D3"/>
    <w:rsid w:val="00F3343B"/>
    <w:rsid w:val="00F423D1"/>
    <w:rsid w:val="00FC4F1B"/>
    <w:rsid w:val="00FE598F"/>
    <w:rsid w:val="00FF0C17"/>
    <w:rsid w:val="00FF2F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1B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F01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22F"/>
    <w:pPr>
      <w:tabs>
        <w:tab w:val="center" w:pos="4252"/>
        <w:tab w:val="right" w:pos="8504"/>
      </w:tabs>
    </w:pPr>
  </w:style>
  <w:style w:type="paragraph" w:styleId="Piedepgina">
    <w:name w:val="footer"/>
    <w:basedOn w:val="Normal"/>
    <w:link w:val="PiedepginaCar"/>
    <w:rsid w:val="0044622F"/>
    <w:pPr>
      <w:tabs>
        <w:tab w:val="center" w:pos="4252"/>
        <w:tab w:val="right" w:pos="8504"/>
      </w:tabs>
    </w:pPr>
  </w:style>
  <w:style w:type="character" w:styleId="Hipervnculo">
    <w:name w:val="Hyperlink"/>
    <w:rsid w:val="0044622F"/>
    <w:rPr>
      <w:color w:val="0000FF"/>
      <w:u w:val="single"/>
    </w:rPr>
  </w:style>
  <w:style w:type="character" w:customStyle="1" w:styleId="EncabezadoCar">
    <w:name w:val="Encabezado Car"/>
    <w:link w:val="Encabezado"/>
    <w:locked/>
    <w:rsid w:val="005536FF"/>
    <w:rPr>
      <w:sz w:val="24"/>
      <w:szCs w:val="24"/>
      <w:lang w:val="es-CO"/>
    </w:rPr>
  </w:style>
  <w:style w:type="character" w:customStyle="1" w:styleId="PiedepginaCar">
    <w:name w:val="Pie de página Car"/>
    <w:link w:val="Piedepgina"/>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rsid w:val="00EC0F6D"/>
    <w:rPr>
      <w:rFonts w:ascii="Lucida Grande" w:hAnsi="Lucida Grande"/>
      <w:sz w:val="18"/>
      <w:szCs w:val="18"/>
    </w:rPr>
  </w:style>
  <w:style w:type="character" w:customStyle="1" w:styleId="TextodegloboCar">
    <w:name w:val="Texto de globo Car"/>
    <w:link w:val="Textodeglobo"/>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paragraph" w:customStyle="1" w:styleId="xxmsonormal">
    <w:name w:val="xxmsonormal"/>
    <w:basedOn w:val="Normal"/>
    <w:rsid w:val="00277787"/>
    <w:pPr>
      <w:spacing w:before="100" w:beforeAutospacing="1" w:after="100" w:afterAutospacing="1"/>
    </w:pPr>
    <w:rPr>
      <w:lang w:val="es-419" w:eastAsia="es-ES_tradnl"/>
    </w:rPr>
  </w:style>
  <w:style w:type="character" w:customStyle="1" w:styleId="apple-converted-space">
    <w:name w:val="apple-converted-space"/>
    <w:basedOn w:val="Fuentedeprrafopredeter"/>
    <w:rsid w:val="00277787"/>
  </w:style>
  <w:style w:type="paragraph" w:customStyle="1" w:styleId="xxmsolistparagraph">
    <w:name w:val="xxmsolistparagraph"/>
    <w:basedOn w:val="Normal"/>
    <w:rsid w:val="00277787"/>
    <w:pPr>
      <w:spacing w:before="100" w:beforeAutospacing="1" w:after="100" w:afterAutospacing="1"/>
    </w:pPr>
    <w:rPr>
      <w:lang w:val="es-419" w:eastAsia="es-ES_tradnl"/>
    </w:rPr>
  </w:style>
  <w:style w:type="paragraph" w:styleId="Prrafodelista">
    <w:name w:val="List Paragraph"/>
    <w:basedOn w:val="Normal"/>
    <w:uiPriority w:val="34"/>
    <w:qFormat/>
    <w:rsid w:val="00BC48F6"/>
    <w:pPr>
      <w:ind w:left="720"/>
      <w:contextualSpacing/>
    </w:pPr>
  </w:style>
  <w:style w:type="paragraph" w:styleId="Textonotapie">
    <w:name w:val="footnote text"/>
    <w:basedOn w:val="Normal"/>
    <w:link w:val="TextonotapieCar"/>
    <w:uiPriority w:val="99"/>
    <w:rsid w:val="00BC48F6"/>
    <w:rPr>
      <w:sz w:val="20"/>
      <w:szCs w:val="20"/>
    </w:rPr>
  </w:style>
  <w:style w:type="character" w:customStyle="1" w:styleId="TextonotapieCar">
    <w:name w:val="Texto nota pie Car"/>
    <w:basedOn w:val="Fuentedeprrafopredeter"/>
    <w:link w:val="Textonotapie"/>
    <w:uiPriority w:val="99"/>
    <w:rsid w:val="00BC48F6"/>
  </w:style>
  <w:style w:type="character" w:styleId="Refdenotaalpie">
    <w:name w:val="footnote reference"/>
    <w:basedOn w:val="Fuentedeprrafopredeter"/>
    <w:uiPriority w:val="99"/>
    <w:rsid w:val="00BC48F6"/>
    <w:rPr>
      <w:vertAlign w:val="superscript"/>
    </w:rPr>
  </w:style>
  <w:style w:type="table" w:styleId="Tablaconcuadrcula">
    <w:name w:val="Table Grid"/>
    <w:basedOn w:val="Tablanormal"/>
    <w:uiPriority w:val="39"/>
    <w:rsid w:val="00BC48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8F6"/>
    <w:pPr>
      <w:autoSpaceDE w:val="0"/>
      <w:autoSpaceDN w:val="0"/>
      <w:adjustRightInd w:val="0"/>
    </w:pPr>
    <w:rPr>
      <w:rFonts w:ascii="Arial" w:hAnsi="Arial" w:cs="Arial"/>
      <w:color w:val="000000"/>
      <w:sz w:val="24"/>
      <w:szCs w:val="24"/>
      <w:lang w:eastAsia="en-US"/>
    </w:rPr>
  </w:style>
  <w:style w:type="character" w:styleId="Refdecomentario">
    <w:name w:val="annotation reference"/>
    <w:basedOn w:val="Fuentedeprrafopredeter"/>
    <w:rsid w:val="0066124B"/>
    <w:rPr>
      <w:sz w:val="16"/>
      <w:szCs w:val="16"/>
    </w:rPr>
  </w:style>
  <w:style w:type="paragraph" w:styleId="Textocomentario">
    <w:name w:val="annotation text"/>
    <w:basedOn w:val="Normal"/>
    <w:link w:val="TextocomentarioCar"/>
    <w:rsid w:val="0066124B"/>
    <w:rPr>
      <w:sz w:val="20"/>
      <w:szCs w:val="20"/>
    </w:rPr>
  </w:style>
  <w:style w:type="character" w:customStyle="1" w:styleId="TextocomentarioCar">
    <w:name w:val="Texto comentario Car"/>
    <w:basedOn w:val="Fuentedeprrafopredeter"/>
    <w:link w:val="Textocomentario"/>
    <w:rsid w:val="0066124B"/>
  </w:style>
  <w:style w:type="paragraph" w:styleId="Asuntodelcomentario">
    <w:name w:val="annotation subject"/>
    <w:basedOn w:val="Textocomentario"/>
    <w:next w:val="Textocomentario"/>
    <w:link w:val="AsuntodelcomentarioCar"/>
    <w:rsid w:val="0066124B"/>
    <w:rPr>
      <w:b/>
      <w:bCs/>
    </w:rPr>
  </w:style>
  <w:style w:type="character" w:customStyle="1" w:styleId="AsuntodelcomentarioCar">
    <w:name w:val="Asunto del comentario Car"/>
    <w:basedOn w:val="TextocomentarioCar"/>
    <w:link w:val="Asuntodelcomentario"/>
    <w:rsid w:val="00661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140332F61108942B3D5193DDFD2C189" ma:contentTypeVersion="7" ma:contentTypeDescription="Crear nuevo documento." ma:contentTypeScope="" ma:versionID="e0d9aa2903da0c0e9427e46e02ed4cea">
  <xsd:schema xmlns:xsd="http://www.w3.org/2001/XMLSchema" xmlns:xs="http://www.w3.org/2001/XMLSchema" xmlns:p="http://schemas.microsoft.com/office/2006/metadata/properties" xmlns:ns2="4a8a25a1-878f-4203-9a0c-a51580dd5d9d" targetNamespace="http://schemas.microsoft.com/office/2006/metadata/properties" ma:root="true" ma:fieldsID="d5ef085a81151388373243028c7db2fa" ns2:_="">
    <xsd:import namespace="4a8a25a1-878f-4203-9a0c-a51580dd5d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25a1-878f-4203-9a0c-a51580dd5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F2985-9EC2-4CF3-BB74-692EAD14E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69773-4B37-9B46-BFA2-08B17897B7A2}">
  <ds:schemaRefs>
    <ds:schemaRef ds:uri="http://schemas.openxmlformats.org/officeDocument/2006/bibliography"/>
  </ds:schemaRefs>
</ds:datastoreItem>
</file>

<file path=customXml/itemProps3.xml><?xml version="1.0" encoding="utf-8"?>
<ds:datastoreItem xmlns:ds="http://schemas.openxmlformats.org/officeDocument/2006/customXml" ds:itemID="{D7B5796F-B6B4-4C18-B193-F91FFA162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25a1-878f-4203-9a0c-a51580dd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43F82-2156-40A7-A46E-12C562232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Ministerio de Comunicaciones</Company>
  <LinksUpToDate>false</LinksUpToDate>
  <CharactersWithSpaces>9505</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mlozano</dc:creator>
  <cp:keywords/>
  <cp:lastModifiedBy>Jairo Luis Marulanda Lazcarro</cp:lastModifiedBy>
  <cp:revision>4</cp:revision>
  <cp:lastPrinted>2014-10-17T17:14:00Z</cp:lastPrinted>
  <dcterms:created xsi:type="dcterms:W3CDTF">2022-04-28T00:42:00Z</dcterms:created>
  <dcterms:modified xsi:type="dcterms:W3CDTF">2022-04-28T02:42:00Z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0x0101002140332F61108942B3D5193DDFD2C189</vt:lpwstr>
  </property>
</Properties>
</file>