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5.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6.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7.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8.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9.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0.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1.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2EF16" w14:textId="07087D48" w:rsidR="00883BE8" w:rsidRPr="005503B4" w:rsidRDefault="000D6F89" w:rsidP="00FB3396">
      <w:pPr>
        <w:tabs>
          <w:tab w:val="center" w:pos="4181"/>
          <w:tab w:val="left" w:pos="8445"/>
          <w:tab w:val="left" w:pos="8886"/>
        </w:tabs>
        <w:ind w:left="-1276"/>
        <w:jc w:val="left"/>
        <w:rPr>
          <w:noProof/>
          <w:sz w:val="22"/>
          <w:szCs w:val="22"/>
          <w:lang w:val="es-CO" w:eastAsia="es-CO"/>
        </w:rPr>
        <w:sectPr w:rsidR="00883BE8" w:rsidRPr="005503B4" w:rsidSect="00481610">
          <w:headerReference w:type="even" r:id="rId8"/>
          <w:headerReference w:type="default" r:id="rId9"/>
          <w:footerReference w:type="even" r:id="rId10"/>
          <w:footerReference w:type="default" r:id="rId11"/>
          <w:headerReference w:type="first" r:id="rId12"/>
          <w:footerReference w:type="first" r:id="rId13"/>
          <w:pgSz w:w="12240" w:h="15840"/>
          <w:pgMar w:top="709" w:right="1041" w:bottom="993" w:left="1560" w:header="708" w:footer="942" w:gutter="0"/>
          <w:pgNumType w:fmt="lowerRoman" w:start="1"/>
          <w:cols w:space="708"/>
          <w:docGrid w:linePitch="360"/>
        </w:sectPr>
      </w:pPr>
      <w:r w:rsidRPr="005503B4">
        <w:rPr>
          <w:noProof/>
          <w:lang w:val="es-CO" w:eastAsia="es-CO"/>
        </w:rPr>
        <mc:AlternateContent>
          <mc:Choice Requires="wps">
            <w:drawing>
              <wp:anchor distT="0" distB="0" distL="114300" distR="114300" simplePos="0" relativeHeight="251660800" behindDoc="0" locked="0" layoutInCell="1" allowOverlap="1" wp14:anchorId="1C5446D9" wp14:editId="6FED9AA6">
                <wp:simplePos x="0" y="0"/>
                <wp:positionH relativeFrom="column">
                  <wp:posOffset>5169450</wp:posOffset>
                </wp:positionH>
                <wp:positionV relativeFrom="paragraph">
                  <wp:posOffset>62865</wp:posOffset>
                </wp:positionV>
                <wp:extent cx="1562793" cy="969818"/>
                <wp:effectExtent l="0" t="0" r="0" b="1905"/>
                <wp:wrapNone/>
                <wp:docPr id="4" name="Rectángulo 4"/>
                <wp:cNvGraphicFramePr/>
                <a:graphic xmlns:a="http://schemas.openxmlformats.org/drawingml/2006/main">
                  <a:graphicData uri="http://schemas.microsoft.com/office/word/2010/wordprocessingShape">
                    <wps:wsp>
                      <wps:cNvSpPr/>
                      <wps:spPr>
                        <a:xfrm>
                          <a:off x="0" y="0"/>
                          <a:ext cx="1562793" cy="9698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485C92C0" id="Rectángulo 4" o:spid="_x0000_s1026" style="position:absolute;margin-left:407.05pt;margin-top:4.95pt;width:123.05pt;height:76.3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" fillcolor="white [3212]" stroked="f" strokeweight="1pt"/>
            </w:pict>
          </mc:Fallback>
        </mc:AlternateContent>
      </w:r>
      <w:r w:rsidR="00C34506" w:rsidRPr="005503B4">
        <w:rPr>
          <w:noProof/>
        </w:rPr>
        <w:tab/>
      </w:r>
      <w:r w:rsidR="000642EC" w:rsidRPr="005503B4">
        <w:rPr>
          <w:noProof/>
        </w:rPr>
        <w:t xml:space="preserve"> </w:t>
      </w:r>
      <w:r w:rsidR="00C34506" w:rsidRPr="005503B4">
        <w:rPr>
          <w:noProof/>
        </w:rPr>
        <w:tab/>
      </w:r>
      <w:r w:rsidR="005B1D30" w:rsidRPr="005503B4">
        <w:rPr>
          <w:noProof/>
        </w:rPr>
        <w:tab/>
      </w:r>
    </w:p>
    <w:p w14:paraId="498AB144" w14:textId="6BBADF70" w:rsidR="006A2528" w:rsidRPr="005503B4" w:rsidRDefault="001E623B" w:rsidP="006A2528">
      <w:r w:rsidRPr="005503B4">
        <w:rPr>
          <w:noProof/>
          <w:lang w:val="es-CO" w:eastAsia="es-CO"/>
        </w:rPr>
        <mc:AlternateContent>
          <mc:Choice Requires="wps">
            <w:drawing>
              <wp:anchor distT="0" distB="0" distL="114300" distR="114300" simplePos="0" relativeHeight="251689472" behindDoc="0" locked="0" layoutInCell="1" allowOverlap="1" wp14:anchorId="73321344" wp14:editId="7898EB98">
                <wp:simplePos x="0" y="0"/>
                <wp:positionH relativeFrom="margin">
                  <wp:posOffset>257175</wp:posOffset>
                </wp:positionH>
                <wp:positionV relativeFrom="page">
                  <wp:posOffset>1076325</wp:posOffset>
                </wp:positionV>
                <wp:extent cx="4619625" cy="9163050"/>
                <wp:effectExtent l="0" t="0" r="9525" b="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9625" cy="9163050"/>
                        </a:xfrm>
                        <a:prstGeom prst="rect">
                          <a:avLst/>
                        </a:prstGeom>
                        <a:solidFill>
                          <a:srgbClr val="0070C0"/>
                        </a:solidFill>
                        <a:ln>
                          <a:noFill/>
                        </a:ln>
                      </wps:spPr>
                      <wps:txbx>
                        <w:txbxContent>
                          <w:bookmarkStart w:id="0" w:name="_Hlk521496268" w:displacedByCustomXml="next"/>
                          <w:sdt>
                            <w:sdtPr>
                              <w:rPr>
                                <w:b/>
                                <w:bCs/>
                                <w:caps/>
                                <w:color w:val="FFFFFF" w:themeColor="background1"/>
                                <w:sz w:val="56"/>
                                <w:szCs w:val="56"/>
                              </w:rPr>
                              <w:alias w:val="Título"/>
                              <w:id w:val="-666475288"/>
                              <w:dataBinding w:prefixMappings="xmlns:ns0='http://schemas.openxmlformats.org/package/2006/metadata/core-properties' xmlns:ns1='http://purl.org/dc/elements/1.1/'" w:xpath="/ns0:coreProperties[1]/ns1:title[1]" w:storeItemID="{6C3C8BC8-F283-45AE-878A-BAB7291924A1}"/>
                              <w:text/>
                            </w:sdtPr>
                            <w:sdtEndPr/>
                            <w:sdtContent>
                              <w:p w14:paraId="029BD52A" w14:textId="338DBA20" w:rsidR="003C7C2B" w:rsidRPr="0077261B" w:rsidRDefault="003C7C2B" w:rsidP="0077261B">
                                <w:pPr>
                                  <w:jc w:val="left"/>
                                  <w:rPr>
                                    <w:b/>
                                    <w:bCs/>
                                    <w:caps/>
                                    <w:color w:val="FFFFFF" w:themeColor="background1"/>
                                    <w:sz w:val="56"/>
                                    <w:szCs w:val="56"/>
                                  </w:rPr>
                                </w:pPr>
                                <w:r>
                                  <w:rPr>
                                    <w:b/>
                                    <w:bCs/>
                                    <w:caps/>
                                    <w:color w:val="FFFFFF" w:themeColor="background1"/>
                                    <w:sz w:val="56"/>
                                    <w:szCs w:val="56"/>
                                  </w:rPr>
                                  <w:t>Definición de la contraprestación periódica PARA EL SECTOR POStal - perIodo 2022 - 2024</w:t>
                                </w:r>
                              </w:p>
                            </w:sdtContent>
                          </w:sdt>
                          <w:bookmarkEnd w:id="0"/>
                          <w:p w14:paraId="2F4D4C41" w14:textId="77777777" w:rsidR="003C7C2B" w:rsidRDefault="003C7C2B" w:rsidP="000D6F89">
                            <w:pPr>
                              <w:rPr>
                                <w:color w:val="FFFFFF" w:themeColor="background1"/>
                                <w:lang w:val="es-CO"/>
                              </w:rPr>
                            </w:pPr>
                          </w:p>
                          <w:p w14:paraId="43732299" w14:textId="69D00E17" w:rsidR="003C7C2B" w:rsidRDefault="003C7C2B" w:rsidP="000D6F89">
                            <w:pPr>
                              <w:rPr>
                                <w:color w:val="FFFFFF" w:themeColor="background1"/>
                                <w:szCs w:val="21"/>
                              </w:rPr>
                            </w:pPr>
                            <w:r w:rsidRPr="001B6A0D">
                              <w:rPr>
                                <w:color w:val="FFFFFF" w:themeColor="background1"/>
                                <w:szCs w:val="21"/>
                              </w:rPr>
                              <w:t>Defini</w:t>
                            </w:r>
                            <w:r>
                              <w:rPr>
                                <w:color w:val="FFFFFF" w:themeColor="background1"/>
                                <w:szCs w:val="21"/>
                              </w:rPr>
                              <w:t>ción de</w:t>
                            </w:r>
                            <w:r w:rsidRPr="001B6A0D">
                              <w:rPr>
                                <w:color w:val="FFFFFF" w:themeColor="background1"/>
                                <w:szCs w:val="21"/>
                              </w:rPr>
                              <w:t xml:space="preserve"> la contraprestación periódica </w:t>
                            </w:r>
                            <w:r>
                              <w:rPr>
                                <w:color w:val="FFFFFF" w:themeColor="background1"/>
                                <w:szCs w:val="21"/>
                              </w:rPr>
                              <w:t>a cargo de los operadores postales de Mensajería Expresa y del servicio Postal de Pago al Fondo Único de TIC – FUTIC, para el período 2022-2024, de acuerdo con el marco legal determinado por la Ley 1369 de 2009</w:t>
                            </w:r>
                            <w:r w:rsidRPr="001B6A0D">
                              <w:rPr>
                                <w:color w:val="FFFFFF" w:themeColor="background1"/>
                                <w:szCs w:val="21"/>
                              </w:rPr>
                              <w:t>.</w:t>
                            </w:r>
                          </w:p>
                          <w:p w14:paraId="450210B7" w14:textId="7B481199" w:rsidR="003C7C2B" w:rsidRDefault="003C7C2B" w:rsidP="000D6F89">
                            <w:pPr>
                              <w:rPr>
                                <w:color w:val="FFFFFF" w:themeColor="background1"/>
                                <w:szCs w:val="21"/>
                              </w:rPr>
                            </w:pPr>
                          </w:p>
                          <w:p w14:paraId="16D8019C" w14:textId="77C28E37" w:rsidR="003C7C2B" w:rsidRDefault="003C7C2B" w:rsidP="000D6F89">
                            <w:pPr>
                              <w:rPr>
                                <w:color w:val="FFFFFF" w:themeColor="background1"/>
                                <w:szCs w:val="21"/>
                              </w:rPr>
                            </w:pPr>
                          </w:p>
                          <w:p w14:paraId="1F606FD6" w14:textId="54CF8410" w:rsidR="003C7C2B" w:rsidRDefault="003C7C2B" w:rsidP="000D6F89">
                            <w:pPr>
                              <w:rPr>
                                <w:color w:val="FFFFFF" w:themeColor="background1"/>
                                <w:szCs w:val="21"/>
                              </w:rPr>
                            </w:pPr>
                            <w:r>
                              <w:rPr>
                                <w:color w:val="FFFFFF" w:themeColor="background1"/>
                                <w:szCs w:val="21"/>
                              </w:rPr>
                              <w:t>Mayo  2022</w:t>
                            </w:r>
                          </w:p>
                          <w:p w14:paraId="175FFDDA" w14:textId="77777777" w:rsidR="003C7C2B" w:rsidRDefault="003C7C2B" w:rsidP="00CA65DB">
                            <w:pPr>
                              <w:rPr>
                                <w:color w:val="FFFFFF" w:themeColor="background1"/>
                                <w:sz w:val="21"/>
                                <w:szCs w:val="21"/>
                              </w:rPr>
                            </w:pPr>
                          </w:p>
                          <w:p w14:paraId="589A5BAD" w14:textId="77777777" w:rsidR="003C7C2B" w:rsidRDefault="003C7C2B" w:rsidP="000D6F89">
                            <w:pPr>
                              <w:ind w:left="1008"/>
                              <w:jc w:val="right"/>
                              <w:rPr>
                                <w:color w:val="FFFFFF" w:themeColor="background1"/>
                                <w:sz w:val="21"/>
                                <w:szCs w:val="21"/>
                              </w:rPr>
                            </w:pPr>
                          </w:p>
                          <w:p w14:paraId="34BBE0A1" w14:textId="77777777" w:rsidR="003C7C2B" w:rsidRDefault="003C7C2B" w:rsidP="000D6F89">
                            <w:pPr>
                              <w:ind w:left="1008"/>
                              <w:jc w:val="right"/>
                              <w:rPr>
                                <w:color w:val="FFFFFF" w:themeColor="background1"/>
                              </w:rPr>
                            </w:pPr>
                          </w:p>
                          <w:p w14:paraId="26A53FBB" w14:textId="77777777" w:rsidR="003C7C2B" w:rsidRDefault="003C7C2B" w:rsidP="000D6F89">
                            <w:pPr>
                              <w:ind w:left="1008"/>
                              <w:jc w:val="right"/>
                              <w:rPr>
                                <w:color w:val="FFFFFF" w:themeColor="background1"/>
                              </w:rPr>
                            </w:pPr>
                          </w:p>
                          <w:p w14:paraId="2C8AA81A" w14:textId="77777777" w:rsidR="003C7C2B" w:rsidRDefault="003C7C2B" w:rsidP="000D6F89">
                            <w:pPr>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321344" id="Rectángulo 16" o:spid="_x0000_s1026" style="position:absolute;left:0;text-align:left;margin-left:20.25pt;margin-top:84.75pt;width:363.75pt;height:721.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" fillcolor="#0070c0" stroked="f">
                <v:textbox inset="21.6pt,1in,21.6pt">
                  <w:txbxContent>
                    <w:bookmarkStart w:id="1" w:name="_Hlk521496268" w:displacedByCustomXml="next"/>
                    <w:sdt>
                      <w:sdtPr>
                        <w:rPr>
                          <w:b/>
                          <w:bCs/>
                          <w:caps/>
                          <w:color w:val="FFFFFF" w:themeColor="background1"/>
                          <w:sz w:val="56"/>
                          <w:szCs w:val="56"/>
                        </w:rPr>
                        <w:alias w:val="Título"/>
                        <w:id w:val="-666475288"/>
                        <w:dataBinding w:prefixMappings="xmlns:ns0='http://schemas.openxmlformats.org/package/2006/metadata/core-properties' xmlns:ns1='http://purl.org/dc/elements/1.1/'" w:xpath="/ns0:coreProperties[1]/ns1:title[1]" w:storeItemID="{6C3C8BC8-F283-45AE-878A-BAB7291924A1}"/>
                        <w:text/>
                      </w:sdtPr>
                      <w:sdtContent>
                        <w:p w14:paraId="029BD52A" w14:textId="338DBA20" w:rsidR="003C7C2B" w:rsidRPr="0077261B" w:rsidRDefault="003C7C2B" w:rsidP="0077261B">
                          <w:pPr>
                            <w:jc w:val="left"/>
                            <w:rPr>
                              <w:b/>
                              <w:bCs/>
                              <w:caps/>
                              <w:color w:val="FFFFFF" w:themeColor="background1"/>
                              <w:sz w:val="56"/>
                              <w:szCs w:val="56"/>
                            </w:rPr>
                          </w:pPr>
                          <w:r>
                            <w:rPr>
                              <w:b/>
                              <w:bCs/>
                              <w:caps/>
                              <w:color w:val="FFFFFF" w:themeColor="background1"/>
                              <w:sz w:val="56"/>
                              <w:szCs w:val="56"/>
                            </w:rPr>
                            <w:t>Definición de la contraprestación periódica PARA EL SECTOR POStal - perIodo 2022 - 2024</w:t>
                          </w:r>
                        </w:p>
                      </w:sdtContent>
                    </w:sdt>
                    <w:bookmarkEnd w:id="1"/>
                    <w:p w14:paraId="2F4D4C41" w14:textId="77777777" w:rsidR="003C7C2B" w:rsidRDefault="003C7C2B" w:rsidP="000D6F89">
                      <w:pPr>
                        <w:rPr>
                          <w:color w:val="FFFFFF" w:themeColor="background1"/>
                          <w:lang w:val="es-CO"/>
                        </w:rPr>
                      </w:pPr>
                    </w:p>
                    <w:p w14:paraId="43732299" w14:textId="69D00E17" w:rsidR="003C7C2B" w:rsidRDefault="003C7C2B" w:rsidP="000D6F89">
                      <w:pPr>
                        <w:rPr>
                          <w:color w:val="FFFFFF" w:themeColor="background1"/>
                          <w:szCs w:val="21"/>
                        </w:rPr>
                      </w:pPr>
                      <w:r w:rsidRPr="001B6A0D">
                        <w:rPr>
                          <w:color w:val="FFFFFF" w:themeColor="background1"/>
                          <w:szCs w:val="21"/>
                        </w:rPr>
                        <w:t>Defini</w:t>
                      </w:r>
                      <w:r>
                        <w:rPr>
                          <w:color w:val="FFFFFF" w:themeColor="background1"/>
                          <w:szCs w:val="21"/>
                        </w:rPr>
                        <w:t>ción de</w:t>
                      </w:r>
                      <w:r w:rsidRPr="001B6A0D">
                        <w:rPr>
                          <w:color w:val="FFFFFF" w:themeColor="background1"/>
                          <w:szCs w:val="21"/>
                        </w:rPr>
                        <w:t xml:space="preserve"> la contraprestación periódica </w:t>
                      </w:r>
                      <w:r>
                        <w:rPr>
                          <w:color w:val="FFFFFF" w:themeColor="background1"/>
                          <w:szCs w:val="21"/>
                        </w:rPr>
                        <w:t>a cargo de los operadores postales de Mensajería Expresa y del servicio Postal de Pago al Fondo Único de TIC – FUTIC, para el período 2022-2024, de acuerdo con el marco legal determinado por la Ley 1369 de 2009</w:t>
                      </w:r>
                      <w:r w:rsidRPr="001B6A0D">
                        <w:rPr>
                          <w:color w:val="FFFFFF" w:themeColor="background1"/>
                          <w:szCs w:val="21"/>
                        </w:rPr>
                        <w:t>.</w:t>
                      </w:r>
                    </w:p>
                    <w:p w14:paraId="450210B7" w14:textId="7B481199" w:rsidR="003C7C2B" w:rsidRDefault="003C7C2B" w:rsidP="000D6F89">
                      <w:pPr>
                        <w:rPr>
                          <w:color w:val="FFFFFF" w:themeColor="background1"/>
                          <w:szCs w:val="21"/>
                        </w:rPr>
                      </w:pPr>
                    </w:p>
                    <w:p w14:paraId="16D8019C" w14:textId="77C28E37" w:rsidR="003C7C2B" w:rsidRDefault="003C7C2B" w:rsidP="000D6F89">
                      <w:pPr>
                        <w:rPr>
                          <w:color w:val="FFFFFF" w:themeColor="background1"/>
                          <w:szCs w:val="21"/>
                        </w:rPr>
                      </w:pPr>
                    </w:p>
                    <w:p w14:paraId="1F606FD6" w14:textId="54CF8410" w:rsidR="003C7C2B" w:rsidRDefault="003C7C2B" w:rsidP="000D6F89">
                      <w:pPr>
                        <w:rPr>
                          <w:color w:val="FFFFFF" w:themeColor="background1"/>
                          <w:szCs w:val="21"/>
                        </w:rPr>
                      </w:pPr>
                      <w:r>
                        <w:rPr>
                          <w:color w:val="FFFFFF" w:themeColor="background1"/>
                          <w:szCs w:val="21"/>
                        </w:rPr>
                        <w:t>Mayo  2022</w:t>
                      </w:r>
                    </w:p>
                    <w:p w14:paraId="175FFDDA" w14:textId="77777777" w:rsidR="003C7C2B" w:rsidRDefault="003C7C2B" w:rsidP="00CA65DB">
                      <w:pPr>
                        <w:rPr>
                          <w:color w:val="FFFFFF" w:themeColor="background1"/>
                          <w:sz w:val="21"/>
                          <w:szCs w:val="21"/>
                        </w:rPr>
                      </w:pPr>
                    </w:p>
                    <w:p w14:paraId="589A5BAD" w14:textId="77777777" w:rsidR="003C7C2B" w:rsidRDefault="003C7C2B" w:rsidP="000D6F89">
                      <w:pPr>
                        <w:ind w:left="1008"/>
                        <w:jc w:val="right"/>
                        <w:rPr>
                          <w:color w:val="FFFFFF" w:themeColor="background1"/>
                          <w:sz w:val="21"/>
                          <w:szCs w:val="21"/>
                        </w:rPr>
                      </w:pPr>
                    </w:p>
                    <w:p w14:paraId="34BBE0A1" w14:textId="77777777" w:rsidR="003C7C2B" w:rsidRDefault="003C7C2B" w:rsidP="000D6F89">
                      <w:pPr>
                        <w:ind w:left="1008"/>
                        <w:jc w:val="right"/>
                        <w:rPr>
                          <w:color w:val="FFFFFF" w:themeColor="background1"/>
                        </w:rPr>
                      </w:pPr>
                    </w:p>
                    <w:p w14:paraId="26A53FBB" w14:textId="77777777" w:rsidR="003C7C2B" w:rsidRDefault="003C7C2B" w:rsidP="000D6F89">
                      <w:pPr>
                        <w:ind w:left="1008"/>
                        <w:jc w:val="right"/>
                        <w:rPr>
                          <w:color w:val="FFFFFF" w:themeColor="background1"/>
                        </w:rPr>
                      </w:pPr>
                    </w:p>
                    <w:p w14:paraId="2C8AA81A" w14:textId="77777777" w:rsidR="003C7C2B" w:rsidRDefault="003C7C2B" w:rsidP="000D6F89">
                      <w:pPr>
                        <w:ind w:left="1008"/>
                        <w:jc w:val="right"/>
                        <w:rPr>
                          <w:color w:val="FFFFFF" w:themeColor="background1"/>
                        </w:rPr>
                      </w:pPr>
                    </w:p>
                  </w:txbxContent>
                </v:textbox>
                <w10:wrap anchorx="margin" anchory="page"/>
              </v:rect>
            </w:pict>
          </mc:Fallback>
        </mc:AlternateContent>
      </w:r>
    </w:p>
    <w:p w14:paraId="62E6005D" w14:textId="0C1947BB" w:rsidR="00881311" w:rsidRPr="005503B4" w:rsidRDefault="009272A9">
      <w:pPr>
        <w:spacing w:before="0" w:after="120" w:line="276" w:lineRule="auto"/>
        <w:rPr>
          <w:rFonts w:eastAsiaTheme="majorEastAsia" w:cstheme="majorBidi"/>
          <w:b/>
          <w:bCs/>
          <w:smallCaps/>
          <w:color w:val="000000" w:themeColor="text1"/>
          <w:sz w:val="36"/>
          <w:szCs w:val="36"/>
          <w:lang w:bidi="en-US"/>
        </w:rPr>
      </w:pPr>
      <w:r w:rsidRPr="005503B4">
        <w:rPr>
          <w:noProof/>
          <w:lang w:val="es-CO" w:eastAsia="es-CO"/>
        </w:rPr>
        <mc:AlternateContent>
          <mc:Choice Requires="wps">
            <w:drawing>
              <wp:anchor distT="0" distB="0" distL="114300" distR="114300" simplePos="0" relativeHeight="251658245" behindDoc="0" locked="0" layoutInCell="1" allowOverlap="1" wp14:anchorId="1D5ECB31" wp14:editId="753DFE54">
                <wp:simplePos x="0" y="0"/>
                <wp:positionH relativeFrom="page">
                  <wp:posOffset>1256665</wp:posOffset>
                </wp:positionH>
                <wp:positionV relativeFrom="page">
                  <wp:posOffset>9220200</wp:posOffset>
                </wp:positionV>
                <wp:extent cx="2181225" cy="495300"/>
                <wp:effectExtent l="0" t="0" r="0" b="0"/>
                <wp:wrapNone/>
                <wp:docPr id="505" name="Rectángulo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AC5C3" w14:textId="236A2048" w:rsidR="003C7C2B" w:rsidRPr="0083711D" w:rsidRDefault="003C7C2B" w:rsidP="009272A9">
                            <w:pPr>
                              <w:pStyle w:val="Subttulo"/>
                              <w:jc w:val="left"/>
                              <w:rPr>
                                <w:rFonts w:ascii="Arial" w:hAnsi="Arial"/>
                                <w:b/>
                                <w:color w:val="FFFFFF" w:themeColor="background1"/>
                                <w:spacing w:val="0"/>
                                <w:sz w:val="32"/>
                                <w:szCs w:val="32"/>
                              </w:rPr>
                            </w:pPr>
                            <w:r>
                              <w:rPr>
                                <w:b/>
                                <w:color w:val="8EAADB" w:themeColor="accent5" w:themeTint="99"/>
                                <w:sz w:val="28"/>
                                <w:szCs w:val="28"/>
                              </w:rPr>
                              <w:t>Mayo 5</w:t>
                            </w:r>
                            <w:r w:rsidRPr="0083711D">
                              <w:rPr>
                                <w:b/>
                                <w:color w:val="8EAADB" w:themeColor="accent5" w:themeTint="99"/>
                                <w:sz w:val="28"/>
                                <w:szCs w:val="28"/>
                              </w:rPr>
                              <w:t xml:space="preserve"> de 2022</w:t>
                            </w:r>
                          </w:p>
                          <w:p w14:paraId="5FA196DD" w14:textId="77777777" w:rsidR="003C7C2B" w:rsidRDefault="003C7C2B" w:rsidP="009272A9"/>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5ECB31" id="Rectángulo 505" o:spid="_x0000_s1027" style="position:absolute;left:0;text-align:left;margin-left:98.95pt;margin-top:726pt;width:171.75pt;height:3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" filled="f" stroked="f" strokeweight="1pt">
                <v:textbox inset="14.4pt,,14.4pt">
                  <w:txbxContent>
                    <w:p w14:paraId="2F9AC5C3" w14:textId="236A2048" w:rsidR="003C7C2B" w:rsidRPr="0083711D" w:rsidRDefault="003C7C2B" w:rsidP="009272A9">
                      <w:pPr>
                        <w:pStyle w:val="Subttulo"/>
                        <w:jc w:val="left"/>
                        <w:rPr>
                          <w:rFonts w:ascii="Arial" w:hAnsi="Arial"/>
                          <w:b/>
                          <w:color w:val="FFFFFF" w:themeColor="background1"/>
                          <w:spacing w:val="0"/>
                          <w:sz w:val="32"/>
                          <w:szCs w:val="32"/>
                        </w:rPr>
                      </w:pPr>
                      <w:r>
                        <w:rPr>
                          <w:b/>
                          <w:color w:val="8EAADB" w:themeColor="accent5" w:themeTint="99"/>
                          <w:sz w:val="28"/>
                          <w:szCs w:val="28"/>
                        </w:rPr>
                        <w:t>Mayo 5</w:t>
                      </w:r>
                      <w:r w:rsidRPr="0083711D">
                        <w:rPr>
                          <w:b/>
                          <w:color w:val="8EAADB" w:themeColor="accent5" w:themeTint="99"/>
                          <w:sz w:val="28"/>
                          <w:szCs w:val="28"/>
                        </w:rPr>
                        <w:t xml:space="preserve"> de 2022</w:t>
                      </w:r>
                    </w:p>
                    <w:p w14:paraId="5FA196DD" w14:textId="77777777" w:rsidR="003C7C2B" w:rsidRDefault="003C7C2B" w:rsidP="009272A9"/>
                  </w:txbxContent>
                </v:textbox>
                <w10:wrap anchorx="page" anchory="page"/>
              </v:rect>
            </w:pict>
          </mc:Fallback>
        </mc:AlternateContent>
      </w:r>
      <w:r w:rsidR="00881311" w:rsidRPr="005503B4">
        <w:br w:type="page"/>
      </w:r>
    </w:p>
    <w:p w14:paraId="1D4F0FD6" w14:textId="0696E679" w:rsidR="006D2CD0" w:rsidRPr="00590BCF" w:rsidRDefault="00073E9D" w:rsidP="00590BCF">
      <w:pPr>
        <w:pStyle w:val="Titulodescripcin"/>
      </w:pPr>
      <w:bookmarkStart w:id="1" w:name="_Toc104272096"/>
      <w:bookmarkStart w:id="2" w:name="_Toc31044612"/>
      <w:bookmarkStart w:id="3" w:name="_Toc31044695"/>
      <w:bookmarkStart w:id="4" w:name="_Toc38282558"/>
      <w:r w:rsidRPr="00590BCF">
        <w:lastRenderedPageBreak/>
        <w:t>Tabla de Contenidos</w:t>
      </w:r>
      <w:bookmarkEnd w:id="1"/>
    </w:p>
    <w:p w14:paraId="552CAA9F" w14:textId="160600EA" w:rsidR="00F441CC" w:rsidRPr="00F441CC" w:rsidRDefault="002942D5">
      <w:pPr>
        <w:pStyle w:val="TDC1"/>
        <w:rPr>
          <w:rFonts w:asciiTheme="minorHAnsi" w:hAnsiTheme="minorHAnsi"/>
          <w:bCs/>
          <w:noProof/>
          <w:sz w:val="22"/>
          <w:szCs w:val="22"/>
          <w:lang w:val="es-CO" w:eastAsia="es-CO"/>
        </w:rPr>
      </w:pPr>
      <w:r w:rsidRPr="00F441CC">
        <w:rPr>
          <w:bCs/>
          <w:szCs w:val="24"/>
        </w:rPr>
        <w:fldChar w:fldCharType="begin"/>
      </w:r>
      <w:r w:rsidRPr="00F441CC">
        <w:rPr>
          <w:bCs/>
          <w:szCs w:val="24"/>
        </w:rPr>
        <w:instrText xml:space="preserve"> TOC \o "2-4" \h \z \t "Título 1;1;Titulo descripción;1" </w:instrText>
      </w:r>
      <w:r w:rsidRPr="00F441CC">
        <w:rPr>
          <w:bCs/>
          <w:szCs w:val="24"/>
        </w:rPr>
        <w:fldChar w:fldCharType="separate"/>
      </w:r>
      <w:hyperlink w:anchor="_Toc104272096" w:history="1">
        <w:r w:rsidR="00F441CC" w:rsidRPr="00F441CC">
          <w:rPr>
            <w:rStyle w:val="Hipervnculo"/>
            <w:bCs/>
            <w:noProof/>
          </w:rPr>
          <w:t>Tabla de Contenidos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_Toc104272096 \h </w:instrText>
        </w:r>
        <w:r w:rsidR="00F441CC" w:rsidRPr="00F441CC">
          <w:rPr>
            <w:bCs/>
            <w:noProof/>
            <w:webHidden/>
          </w:rPr>
        </w:r>
        <w:r w:rsidR="00F441CC" w:rsidRPr="00F441CC">
          <w:rPr>
            <w:bCs/>
            <w:noProof/>
            <w:webHidden/>
          </w:rPr>
          <w:fldChar w:fldCharType="separate"/>
        </w:r>
        <w:r w:rsidR="00F441CC" w:rsidRPr="00F441CC">
          <w:rPr>
            <w:bCs/>
            <w:noProof/>
            <w:webHidden/>
          </w:rPr>
          <w:t>ii</w:t>
        </w:r>
        <w:r w:rsidR="00F441CC" w:rsidRPr="00F441CC">
          <w:rPr>
            <w:bCs/>
            <w:noProof/>
            <w:webHidden/>
          </w:rPr>
          <w:fldChar w:fldCharType="end"/>
        </w:r>
      </w:hyperlink>
    </w:p>
    <w:p w14:paraId="2D9A82C9" w14:textId="21F387B2" w:rsidR="00F441CC" w:rsidRPr="00F441CC" w:rsidRDefault="0037093A">
      <w:pPr>
        <w:pStyle w:val="TDC1"/>
        <w:rPr>
          <w:rFonts w:asciiTheme="minorHAnsi" w:hAnsiTheme="minorHAnsi"/>
          <w:bCs/>
          <w:noProof/>
          <w:sz w:val="22"/>
          <w:szCs w:val="22"/>
          <w:lang w:val="es-CO" w:eastAsia="es-CO"/>
        </w:rPr>
      </w:pPr>
      <w:hyperlink w:anchor="_Toc104272097" w:history="1">
        <w:r w:rsidR="00F441CC" w:rsidRPr="00F441CC">
          <w:rPr>
            <w:rStyle w:val="Hipervnculo"/>
            <w:bCs/>
            <w:noProof/>
          </w:rPr>
          <w:t>Relación de gráficas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_Toc104272097 \h </w:instrText>
        </w:r>
        <w:r w:rsidR="00F441CC" w:rsidRPr="00F441CC">
          <w:rPr>
            <w:bCs/>
            <w:noProof/>
            <w:webHidden/>
          </w:rPr>
        </w:r>
        <w:r w:rsidR="00F441CC" w:rsidRPr="00F441CC">
          <w:rPr>
            <w:bCs/>
            <w:noProof/>
            <w:webHidden/>
          </w:rPr>
          <w:fldChar w:fldCharType="separate"/>
        </w:r>
        <w:r w:rsidR="00F441CC" w:rsidRPr="00F441CC">
          <w:rPr>
            <w:bCs/>
            <w:noProof/>
            <w:webHidden/>
          </w:rPr>
          <w:t>viii</w:t>
        </w:r>
        <w:r w:rsidR="00F441CC" w:rsidRPr="00F441CC">
          <w:rPr>
            <w:bCs/>
            <w:noProof/>
            <w:webHidden/>
          </w:rPr>
          <w:fldChar w:fldCharType="end"/>
        </w:r>
      </w:hyperlink>
    </w:p>
    <w:p w14:paraId="1B981783" w14:textId="02C0E107" w:rsidR="00F441CC" w:rsidRPr="00F441CC" w:rsidRDefault="0037093A">
      <w:pPr>
        <w:pStyle w:val="TDC1"/>
        <w:rPr>
          <w:rFonts w:asciiTheme="minorHAnsi" w:hAnsiTheme="minorHAnsi"/>
          <w:bCs/>
          <w:noProof/>
          <w:sz w:val="22"/>
          <w:szCs w:val="22"/>
          <w:lang w:val="es-CO" w:eastAsia="es-CO"/>
        </w:rPr>
      </w:pPr>
      <w:hyperlink w:anchor="_Toc104272098" w:history="1">
        <w:r w:rsidR="00F441CC" w:rsidRPr="00F441CC">
          <w:rPr>
            <w:rStyle w:val="Hipervnculo"/>
            <w:bCs/>
            <w:noProof/>
          </w:rPr>
          <w:t>Relación de tablas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_Toc104272098 \h </w:instrText>
        </w:r>
        <w:r w:rsidR="00F441CC" w:rsidRPr="00F441CC">
          <w:rPr>
            <w:bCs/>
            <w:noProof/>
            <w:webHidden/>
          </w:rPr>
        </w:r>
        <w:r w:rsidR="00F441CC" w:rsidRPr="00F441CC">
          <w:rPr>
            <w:bCs/>
            <w:noProof/>
            <w:webHidden/>
          </w:rPr>
          <w:fldChar w:fldCharType="separate"/>
        </w:r>
        <w:r w:rsidR="00F441CC" w:rsidRPr="00F441CC">
          <w:rPr>
            <w:bCs/>
            <w:noProof/>
            <w:webHidden/>
          </w:rPr>
          <w:t>xi</w:t>
        </w:r>
        <w:r w:rsidR="00F441CC" w:rsidRPr="00F441CC">
          <w:rPr>
            <w:bCs/>
            <w:noProof/>
            <w:webHidden/>
          </w:rPr>
          <w:fldChar w:fldCharType="end"/>
        </w:r>
      </w:hyperlink>
    </w:p>
    <w:p w14:paraId="34CAC2CC" w14:textId="301B308A" w:rsidR="00F441CC" w:rsidRPr="00F441CC" w:rsidRDefault="0037093A">
      <w:pPr>
        <w:pStyle w:val="TDC1"/>
        <w:rPr>
          <w:rFonts w:asciiTheme="minorHAnsi" w:hAnsiTheme="minorHAnsi"/>
          <w:bCs/>
          <w:noProof/>
          <w:sz w:val="22"/>
          <w:szCs w:val="22"/>
          <w:lang w:val="es-CO" w:eastAsia="es-CO"/>
        </w:rPr>
      </w:pPr>
      <w:hyperlink w:anchor="_Toc104272099" w:history="1">
        <w:r w:rsidR="00F441CC" w:rsidRPr="00F441CC">
          <w:rPr>
            <w:rStyle w:val="Hipervnculo"/>
            <w:bCs/>
            <w:noProof/>
          </w:rPr>
          <w:t>Abreviaturas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_Toc104272099 \h </w:instrText>
        </w:r>
        <w:r w:rsidR="00F441CC" w:rsidRPr="00F441CC">
          <w:rPr>
            <w:bCs/>
            <w:noProof/>
            <w:webHidden/>
          </w:rPr>
        </w:r>
        <w:r w:rsidR="00F441CC" w:rsidRPr="00F441CC">
          <w:rPr>
            <w:bCs/>
            <w:noProof/>
            <w:webHidden/>
          </w:rPr>
          <w:fldChar w:fldCharType="separate"/>
        </w:r>
        <w:r w:rsidR="00F441CC" w:rsidRPr="00F441CC">
          <w:rPr>
            <w:bCs/>
            <w:noProof/>
            <w:webHidden/>
          </w:rPr>
          <w:t>xii</w:t>
        </w:r>
        <w:r w:rsidR="00F441CC" w:rsidRPr="00F441CC">
          <w:rPr>
            <w:bCs/>
            <w:noProof/>
            <w:webHidden/>
          </w:rPr>
          <w:fldChar w:fldCharType="end"/>
        </w:r>
      </w:hyperlink>
    </w:p>
    <w:p w14:paraId="619FED84" w14:textId="3C00379D" w:rsidR="00F441CC" w:rsidRPr="00F441CC" w:rsidRDefault="0037093A">
      <w:pPr>
        <w:pStyle w:val="TDC1"/>
        <w:rPr>
          <w:rFonts w:asciiTheme="minorHAnsi" w:hAnsiTheme="minorHAnsi"/>
          <w:bCs/>
          <w:noProof/>
          <w:sz w:val="22"/>
          <w:szCs w:val="22"/>
          <w:lang w:val="es-CO" w:eastAsia="es-CO"/>
        </w:rPr>
      </w:pPr>
      <w:hyperlink w:anchor="_Toc104272100" w:history="1">
        <w:r w:rsidR="00F441CC" w:rsidRPr="00F441CC">
          <w:rPr>
            <w:rStyle w:val="Hipervnculo"/>
            <w:bCs/>
            <w:noProof/>
          </w:rPr>
          <w:t>La contraprestación periódica a favor del Fondo Único de TIC - FUTIC - por parte de los operadores de mensajería expresa y del servicio postal de pago en Colombia: Objetivos y aspectos metodológicos.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_Toc104272100 \h </w:instrText>
        </w:r>
        <w:r w:rsidR="00F441CC" w:rsidRPr="00F441CC">
          <w:rPr>
            <w:bCs/>
            <w:noProof/>
            <w:webHidden/>
          </w:rPr>
        </w:r>
        <w:r w:rsidR="00F441CC" w:rsidRPr="00F441CC">
          <w:rPr>
            <w:bCs/>
            <w:noProof/>
            <w:webHidden/>
          </w:rPr>
          <w:fldChar w:fldCharType="separate"/>
        </w:r>
        <w:r w:rsidR="00F441CC" w:rsidRPr="00F441CC">
          <w:rPr>
            <w:bCs/>
            <w:noProof/>
            <w:webHidden/>
          </w:rPr>
          <w:t>1</w:t>
        </w:r>
        <w:r w:rsidR="00F441CC" w:rsidRPr="00F441CC">
          <w:rPr>
            <w:bCs/>
            <w:noProof/>
            <w:webHidden/>
          </w:rPr>
          <w:fldChar w:fldCharType="end"/>
        </w:r>
      </w:hyperlink>
    </w:p>
    <w:p w14:paraId="4F67BFE3" w14:textId="1F557184" w:rsidR="00F441CC" w:rsidRPr="00F441CC" w:rsidRDefault="0037093A">
      <w:pPr>
        <w:pStyle w:val="TDC2"/>
        <w:rPr>
          <w:rFonts w:asciiTheme="minorHAnsi" w:hAnsiTheme="minorHAnsi"/>
          <w:bCs/>
          <w:noProof/>
          <w:sz w:val="22"/>
          <w:szCs w:val="22"/>
          <w:lang w:val="es-CO" w:eastAsia="es-CO"/>
        </w:rPr>
      </w:pPr>
      <w:hyperlink w:anchor="_Toc104272101" w:history="1">
        <w:r w:rsidR="00F441CC" w:rsidRPr="00F441CC">
          <w:rPr>
            <w:rStyle w:val="Hipervnculo"/>
            <w:bCs/>
            <w:noProof/>
          </w:rPr>
          <w:t>1.1</w:t>
        </w:r>
        <w:r w:rsidR="00F441CC" w:rsidRPr="00F441CC">
          <w:rPr>
            <w:rFonts w:asciiTheme="minorHAnsi" w:hAnsiTheme="minorHAnsi"/>
            <w:bCs/>
            <w:noProof/>
            <w:sz w:val="22"/>
            <w:szCs w:val="22"/>
            <w:lang w:val="es-CO" w:eastAsia="es-CO"/>
          </w:rPr>
          <w:tab/>
        </w:r>
        <w:r w:rsidR="00F441CC" w:rsidRPr="00F441CC">
          <w:rPr>
            <w:rStyle w:val="Hipervnculo"/>
            <w:bCs/>
            <w:noProof/>
          </w:rPr>
          <w:t>Introducción y alcance.</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_Toc104272101 \h </w:instrText>
        </w:r>
        <w:r w:rsidR="00F441CC" w:rsidRPr="00F441CC">
          <w:rPr>
            <w:bCs/>
            <w:noProof/>
            <w:webHidden/>
          </w:rPr>
        </w:r>
        <w:r w:rsidR="00F441CC" w:rsidRPr="00F441CC">
          <w:rPr>
            <w:bCs/>
            <w:noProof/>
            <w:webHidden/>
          </w:rPr>
          <w:fldChar w:fldCharType="separate"/>
        </w:r>
        <w:r w:rsidR="00F441CC" w:rsidRPr="00F441CC">
          <w:rPr>
            <w:bCs/>
            <w:noProof/>
            <w:webHidden/>
          </w:rPr>
          <w:t>1</w:t>
        </w:r>
        <w:r w:rsidR="00F441CC" w:rsidRPr="00F441CC">
          <w:rPr>
            <w:bCs/>
            <w:noProof/>
            <w:webHidden/>
          </w:rPr>
          <w:fldChar w:fldCharType="end"/>
        </w:r>
      </w:hyperlink>
    </w:p>
    <w:p w14:paraId="5A39469F" w14:textId="1011D727" w:rsidR="00F441CC" w:rsidRPr="00F441CC" w:rsidRDefault="0037093A">
      <w:pPr>
        <w:pStyle w:val="TDC2"/>
        <w:rPr>
          <w:rFonts w:asciiTheme="minorHAnsi" w:hAnsiTheme="minorHAnsi"/>
          <w:bCs/>
          <w:noProof/>
          <w:sz w:val="22"/>
          <w:szCs w:val="22"/>
          <w:lang w:val="es-CO" w:eastAsia="es-CO"/>
        </w:rPr>
      </w:pPr>
      <w:hyperlink w:anchor="_Toc104272102" w:history="1">
        <w:r w:rsidR="00F441CC" w:rsidRPr="00F441CC">
          <w:rPr>
            <w:rStyle w:val="Hipervnculo"/>
            <w:bCs/>
            <w:noProof/>
          </w:rPr>
          <w:t>1.2</w:t>
        </w:r>
        <w:r w:rsidR="00F441CC" w:rsidRPr="00F441CC">
          <w:rPr>
            <w:rFonts w:asciiTheme="minorHAnsi" w:hAnsiTheme="minorHAnsi"/>
            <w:bCs/>
            <w:noProof/>
            <w:sz w:val="22"/>
            <w:szCs w:val="22"/>
            <w:lang w:val="es-CO" w:eastAsia="es-CO"/>
          </w:rPr>
          <w:tab/>
        </w:r>
        <w:r w:rsidR="00F441CC" w:rsidRPr="00F441CC">
          <w:rPr>
            <w:rStyle w:val="Hipervnculo"/>
            <w:bCs/>
            <w:noProof/>
          </w:rPr>
          <w:t>Objetivo central del documento.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_Toc104272102 \h </w:instrText>
        </w:r>
        <w:r w:rsidR="00F441CC" w:rsidRPr="00F441CC">
          <w:rPr>
            <w:bCs/>
            <w:noProof/>
            <w:webHidden/>
          </w:rPr>
        </w:r>
        <w:r w:rsidR="00F441CC" w:rsidRPr="00F441CC">
          <w:rPr>
            <w:bCs/>
            <w:noProof/>
            <w:webHidden/>
          </w:rPr>
          <w:fldChar w:fldCharType="separate"/>
        </w:r>
        <w:r w:rsidR="00F441CC" w:rsidRPr="00F441CC">
          <w:rPr>
            <w:bCs/>
            <w:noProof/>
            <w:webHidden/>
          </w:rPr>
          <w:t>1</w:t>
        </w:r>
        <w:r w:rsidR="00F441CC" w:rsidRPr="00F441CC">
          <w:rPr>
            <w:bCs/>
            <w:noProof/>
            <w:webHidden/>
          </w:rPr>
          <w:fldChar w:fldCharType="end"/>
        </w:r>
      </w:hyperlink>
    </w:p>
    <w:p w14:paraId="625735D3" w14:textId="30926480" w:rsidR="00F441CC" w:rsidRPr="00F441CC" w:rsidRDefault="0037093A">
      <w:pPr>
        <w:pStyle w:val="TDC2"/>
        <w:rPr>
          <w:rFonts w:asciiTheme="minorHAnsi" w:hAnsiTheme="minorHAnsi"/>
          <w:bCs/>
          <w:noProof/>
          <w:sz w:val="22"/>
          <w:szCs w:val="22"/>
          <w:lang w:val="es-CO" w:eastAsia="es-CO"/>
        </w:rPr>
      </w:pPr>
      <w:hyperlink w:anchor="_Toc104272103" w:history="1">
        <w:r w:rsidR="00F441CC" w:rsidRPr="00F441CC">
          <w:rPr>
            <w:rStyle w:val="Hipervnculo"/>
            <w:bCs/>
            <w:noProof/>
          </w:rPr>
          <w:t>1.3</w:t>
        </w:r>
        <w:r w:rsidR="00F441CC" w:rsidRPr="00F441CC">
          <w:rPr>
            <w:rFonts w:asciiTheme="minorHAnsi" w:hAnsiTheme="minorHAnsi"/>
            <w:bCs/>
            <w:noProof/>
            <w:sz w:val="22"/>
            <w:szCs w:val="22"/>
            <w:lang w:val="es-CO" w:eastAsia="es-CO"/>
          </w:rPr>
          <w:tab/>
        </w:r>
        <w:r w:rsidR="00F441CC" w:rsidRPr="00F441CC">
          <w:rPr>
            <w:rStyle w:val="Hipervnculo"/>
            <w:bCs/>
            <w:noProof/>
          </w:rPr>
          <w:t>Metodología del estudio.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_Toc104272103 \h </w:instrText>
        </w:r>
        <w:r w:rsidR="00F441CC" w:rsidRPr="00F441CC">
          <w:rPr>
            <w:bCs/>
            <w:noProof/>
            <w:webHidden/>
          </w:rPr>
        </w:r>
        <w:r w:rsidR="00F441CC" w:rsidRPr="00F441CC">
          <w:rPr>
            <w:bCs/>
            <w:noProof/>
            <w:webHidden/>
          </w:rPr>
          <w:fldChar w:fldCharType="separate"/>
        </w:r>
        <w:r w:rsidR="00F441CC" w:rsidRPr="00F441CC">
          <w:rPr>
            <w:bCs/>
            <w:noProof/>
            <w:webHidden/>
          </w:rPr>
          <w:t>2</w:t>
        </w:r>
        <w:r w:rsidR="00F441CC" w:rsidRPr="00F441CC">
          <w:rPr>
            <w:bCs/>
            <w:noProof/>
            <w:webHidden/>
          </w:rPr>
          <w:fldChar w:fldCharType="end"/>
        </w:r>
      </w:hyperlink>
    </w:p>
    <w:p w14:paraId="46B8C75A" w14:textId="5CF99676" w:rsidR="00F441CC" w:rsidRPr="00F441CC" w:rsidRDefault="0037093A">
      <w:pPr>
        <w:pStyle w:val="TDC3"/>
        <w:rPr>
          <w:rFonts w:asciiTheme="minorHAnsi" w:hAnsiTheme="minorHAnsi"/>
          <w:bCs/>
          <w:noProof/>
          <w:sz w:val="22"/>
          <w:szCs w:val="22"/>
          <w:lang w:val="es-CO" w:eastAsia="es-CO"/>
        </w:rPr>
      </w:pPr>
      <w:hyperlink w:anchor="_Toc104272104" w:history="1">
        <w:r w:rsidR="00F441CC" w:rsidRPr="00F441CC">
          <w:rPr>
            <w:rStyle w:val="Hipervnculo"/>
            <w:bCs/>
            <w:noProof/>
          </w:rPr>
          <w:t>1.3.1</w:t>
        </w:r>
        <w:r w:rsidR="00F441CC" w:rsidRPr="00F441CC">
          <w:rPr>
            <w:rFonts w:asciiTheme="minorHAnsi" w:hAnsiTheme="minorHAnsi"/>
            <w:bCs/>
            <w:noProof/>
            <w:sz w:val="22"/>
            <w:szCs w:val="22"/>
            <w:lang w:val="es-CO" w:eastAsia="es-CO"/>
          </w:rPr>
          <w:tab/>
        </w:r>
        <w:r w:rsidR="00F441CC" w:rsidRPr="00F441CC">
          <w:rPr>
            <w:rStyle w:val="Hipervnculo"/>
            <w:bCs/>
            <w:noProof/>
          </w:rPr>
          <w:t>Actividades a realizar</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_Toc104272104 \h </w:instrText>
        </w:r>
        <w:r w:rsidR="00F441CC" w:rsidRPr="00F441CC">
          <w:rPr>
            <w:bCs/>
            <w:noProof/>
            <w:webHidden/>
          </w:rPr>
        </w:r>
        <w:r w:rsidR="00F441CC" w:rsidRPr="00F441CC">
          <w:rPr>
            <w:bCs/>
            <w:noProof/>
            <w:webHidden/>
          </w:rPr>
          <w:fldChar w:fldCharType="separate"/>
        </w:r>
        <w:r w:rsidR="00F441CC" w:rsidRPr="00F441CC">
          <w:rPr>
            <w:bCs/>
            <w:noProof/>
            <w:webHidden/>
          </w:rPr>
          <w:t>3</w:t>
        </w:r>
        <w:r w:rsidR="00F441CC" w:rsidRPr="00F441CC">
          <w:rPr>
            <w:bCs/>
            <w:noProof/>
            <w:webHidden/>
          </w:rPr>
          <w:fldChar w:fldCharType="end"/>
        </w:r>
      </w:hyperlink>
    </w:p>
    <w:p w14:paraId="39C4B085" w14:textId="2629903E" w:rsidR="00F441CC" w:rsidRPr="00F441CC" w:rsidRDefault="0037093A">
      <w:pPr>
        <w:pStyle w:val="TDC3"/>
        <w:rPr>
          <w:rFonts w:asciiTheme="minorHAnsi" w:hAnsiTheme="minorHAnsi"/>
          <w:bCs/>
          <w:noProof/>
          <w:sz w:val="22"/>
          <w:szCs w:val="22"/>
          <w:lang w:val="es-CO" w:eastAsia="es-CO"/>
        </w:rPr>
      </w:pPr>
      <w:hyperlink w:anchor="_Toc104272105" w:history="1">
        <w:r w:rsidR="00F441CC" w:rsidRPr="00F441CC">
          <w:rPr>
            <w:rStyle w:val="Hipervnculo"/>
            <w:bCs/>
            <w:noProof/>
          </w:rPr>
          <w:t>1.3.2</w:t>
        </w:r>
        <w:r w:rsidR="00F441CC" w:rsidRPr="00F441CC">
          <w:rPr>
            <w:rFonts w:asciiTheme="minorHAnsi" w:hAnsiTheme="minorHAnsi"/>
            <w:bCs/>
            <w:noProof/>
            <w:sz w:val="22"/>
            <w:szCs w:val="22"/>
            <w:lang w:val="es-CO" w:eastAsia="es-CO"/>
          </w:rPr>
          <w:tab/>
        </w:r>
        <w:r w:rsidR="00F441CC" w:rsidRPr="00F441CC">
          <w:rPr>
            <w:rStyle w:val="Hipervnculo"/>
            <w:bCs/>
            <w:noProof/>
          </w:rPr>
          <w:t>Fuentes de la información postal.</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_Toc104272105 \h </w:instrText>
        </w:r>
        <w:r w:rsidR="00F441CC" w:rsidRPr="00F441CC">
          <w:rPr>
            <w:bCs/>
            <w:noProof/>
            <w:webHidden/>
          </w:rPr>
        </w:r>
        <w:r w:rsidR="00F441CC" w:rsidRPr="00F441CC">
          <w:rPr>
            <w:bCs/>
            <w:noProof/>
            <w:webHidden/>
          </w:rPr>
          <w:fldChar w:fldCharType="separate"/>
        </w:r>
        <w:r w:rsidR="00F441CC" w:rsidRPr="00F441CC">
          <w:rPr>
            <w:bCs/>
            <w:noProof/>
            <w:webHidden/>
          </w:rPr>
          <w:t>5</w:t>
        </w:r>
        <w:r w:rsidR="00F441CC" w:rsidRPr="00F441CC">
          <w:rPr>
            <w:bCs/>
            <w:noProof/>
            <w:webHidden/>
          </w:rPr>
          <w:fldChar w:fldCharType="end"/>
        </w:r>
      </w:hyperlink>
    </w:p>
    <w:p w14:paraId="49B4BC93" w14:textId="52B09001" w:rsidR="00F441CC" w:rsidRPr="00F441CC" w:rsidRDefault="0037093A">
      <w:pPr>
        <w:pStyle w:val="TDC3"/>
        <w:rPr>
          <w:rFonts w:asciiTheme="minorHAnsi" w:hAnsiTheme="minorHAnsi"/>
          <w:bCs/>
          <w:noProof/>
          <w:sz w:val="22"/>
          <w:szCs w:val="22"/>
          <w:lang w:val="es-CO" w:eastAsia="es-CO"/>
        </w:rPr>
      </w:pPr>
      <w:hyperlink w:anchor="_Toc104272106" w:history="1">
        <w:r w:rsidR="00F441CC" w:rsidRPr="00F441CC">
          <w:rPr>
            <w:rStyle w:val="Hipervnculo"/>
            <w:bCs/>
            <w:noProof/>
          </w:rPr>
          <w:t>1.3.3</w:t>
        </w:r>
        <w:r w:rsidR="00F441CC" w:rsidRPr="00F441CC">
          <w:rPr>
            <w:rFonts w:asciiTheme="minorHAnsi" w:hAnsiTheme="minorHAnsi"/>
            <w:bCs/>
            <w:noProof/>
            <w:sz w:val="22"/>
            <w:szCs w:val="22"/>
            <w:lang w:val="es-CO" w:eastAsia="es-CO"/>
          </w:rPr>
          <w:tab/>
        </w:r>
        <w:r w:rsidR="00F441CC" w:rsidRPr="00F441CC">
          <w:rPr>
            <w:rStyle w:val="Hipervnculo"/>
            <w:bCs/>
            <w:noProof/>
          </w:rPr>
          <w:t>Tratamiento de las cifras en valores monetarios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_Toc104272106 \h </w:instrText>
        </w:r>
        <w:r w:rsidR="00F441CC" w:rsidRPr="00F441CC">
          <w:rPr>
            <w:bCs/>
            <w:noProof/>
            <w:webHidden/>
          </w:rPr>
        </w:r>
        <w:r w:rsidR="00F441CC" w:rsidRPr="00F441CC">
          <w:rPr>
            <w:bCs/>
            <w:noProof/>
            <w:webHidden/>
          </w:rPr>
          <w:fldChar w:fldCharType="separate"/>
        </w:r>
        <w:r w:rsidR="00F441CC" w:rsidRPr="00F441CC">
          <w:rPr>
            <w:bCs/>
            <w:noProof/>
            <w:webHidden/>
          </w:rPr>
          <w:t>5</w:t>
        </w:r>
        <w:r w:rsidR="00F441CC" w:rsidRPr="00F441CC">
          <w:rPr>
            <w:bCs/>
            <w:noProof/>
            <w:webHidden/>
          </w:rPr>
          <w:fldChar w:fldCharType="end"/>
        </w:r>
      </w:hyperlink>
    </w:p>
    <w:p w14:paraId="35B34093" w14:textId="0A7EE2C3" w:rsidR="00F441CC" w:rsidRPr="00F441CC" w:rsidRDefault="0037093A">
      <w:pPr>
        <w:pStyle w:val="TDC2"/>
        <w:rPr>
          <w:rFonts w:asciiTheme="minorHAnsi" w:hAnsiTheme="minorHAnsi"/>
          <w:bCs/>
          <w:noProof/>
          <w:sz w:val="22"/>
          <w:szCs w:val="22"/>
          <w:lang w:val="es-CO" w:eastAsia="es-CO"/>
        </w:rPr>
      </w:pPr>
      <w:hyperlink w:anchor="_Toc104272107" w:history="1">
        <w:r w:rsidR="00F441CC" w:rsidRPr="00F441CC">
          <w:rPr>
            <w:rStyle w:val="Hipervnculo"/>
            <w:bCs/>
            <w:noProof/>
          </w:rPr>
          <w:t>1.4</w:t>
        </w:r>
        <w:r w:rsidR="00F441CC" w:rsidRPr="00F441CC">
          <w:rPr>
            <w:rFonts w:asciiTheme="minorHAnsi" w:hAnsiTheme="minorHAnsi"/>
            <w:bCs/>
            <w:noProof/>
            <w:sz w:val="22"/>
            <w:szCs w:val="22"/>
            <w:lang w:val="es-CO" w:eastAsia="es-CO"/>
          </w:rPr>
          <w:tab/>
        </w:r>
        <w:r w:rsidR="00F441CC" w:rsidRPr="00F441CC">
          <w:rPr>
            <w:rStyle w:val="Hipervnculo"/>
            <w:bCs/>
            <w:noProof/>
          </w:rPr>
          <w:t>Estructura del documento.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_Toc104272107 \h </w:instrText>
        </w:r>
        <w:r w:rsidR="00F441CC" w:rsidRPr="00F441CC">
          <w:rPr>
            <w:bCs/>
            <w:noProof/>
            <w:webHidden/>
          </w:rPr>
        </w:r>
        <w:r w:rsidR="00F441CC" w:rsidRPr="00F441CC">
          <w:rPr>
            <w:bCs/>
            <w:noProof/>
            <w:webHidden/>
          </w:rPr>
          <w:fldChar w:fldCharType="separate"/>
        </w:r>
        <w:r w:rsidR="00F441CC" w:rsidRPr="00F441CC">
          <w:rPr>
            <w:bCs/>
            <w:noProof/>
            <w:webHidden/>
          </w:rPr>
          <w:t>5</w:t>
        </w:r>
        <w:r w:rsidR="00F441CC" w:rsidRPr="00F441CC">
          <w:rPr>
            <w:bCs/>
            <w:noProof/>
            <w:webHidden/>
          </w:rPr>
          <w:fldChar w:fldCharType="end"/>
        </w:r>
      </w:hyperlink>
    </w:p>
    <w:p w14:paraId="38C113D4" w14:textId="5B1EAC5C" w:rsidR="00F441CC" w:rsidRPr="00F441CC" w:rsidRDefault="0037093A">
      <w:pPr>
        <w:pStyle w:val="TDC1"/>
        <w:rPr>
          <w:rFonts w:asciiTheme="minorHAnsi" w:hAnsiTheme="minorHAnsi"/>
          <w:bCs/>
          <w:noProof/>
          <w:sz w:val="22"/>
          <w:szCs w:val="22"/>
          <w:lang w:val="es-CO" w:eastAsia="es-CO"/>
        </w:rPr>
      </w:pPr>
      <w:hyperlink w:anchor="_Toc104272108" w:history="1">
        <w:r w:rsidR="00F441CC" w:rsidRPr="00F441CC">
          <w:rPr>
            <w:rStyle w:val="Hipervnculo"/>
            <w:bCs/>
            <w:noProof/>
          </w:rPr>
          <w:t>2</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_Toc104272108 \h </w:instrText>
        </w:r>
        <w:r w:rsidR="00F441CC" w:rsidRPr="00F441CC">
          <w:rPr>
            <w:bCs/>
            <w:noProof/>
            <w:webHidden/>
          </w:rPr>
        </w:r>
        <w:r w:rsidR="00F441CC" w:rsidRPr="00F441CC">
          <w:rPr>
            <w:bCs/>
            <w:noProof/>
            <w:webHidden/>
          </w:rPr>
          <w:fldChar w:fldCharType="separate"/>
        </w:r>
        <w:r w:rsidR="00F441CC" w:rsidRPr="00F441CC">
          <w:rPr>
            <w:bCs/>
            <w:noProof/>
            <w:webHidden/>
          </w:rPr>
          <w:t>7</w:t>
        </w:r>
        <w:r w:rsidR="00F441CC" w:rsidRPr="00F441CC">
          <w:rPr>
            <w:bCs/>
            <w:noProof/>
            <w:webHidden/>
          </w:rPr>
          <w:fldChar w:fldCharType="end"/>
        </w:r>
      </w:hyperlink>
    </w:p>
    <w:p w14:paraId="62229058" w14:textId="4B965D3A" w:rsidR="00F441CC" w:rsidRPr="00F441CC" w:rsidRDefault="0037093A">
      <w:pPr>
        <w:pStyle w:val="TDC1"/>
        <w:rPr>
          <w:rFonts w:asciiTheme="minorHAnsi" w:hAnsiTheme="minorHAnsi"/>
          <w:bCs/>
          <w:noProof/>
          <w:sz w:val="22"/>
          <w:szCs w:val="22"/>
          <w:lang w:val="es-CO" w:eastAsia="es-CO"/>
        </w:rPr>
      </w:pPr>
      <w:hyperlink w:anchor="_Toc104272109" w:history="1">
        <w:r w:rsidR="00F441CC" w:rsidRPr="00F441CC">
          <w:rPr>
            <w:rStyle w:val="Hipervnculo"/>
            <w:bCs/>
            <w:noProof/>
          </w:rPr>
          <w:t>El mercado postal colombiano: Tamaño, estructura, segmentos y tendencias históricas.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_Toc104272109 \h </w:instrText>
        </w:r>
        <w:r w:rsidR="00F441CC" w:rsidRPr="00F441CC">
          <w:rPr>
            <w:bCs/>
            <w:noProof/>
            <w:webHidden/>
          </w:rPr>
        </w:r>
        <w:r w:rsidR="00F441CC" w:rsidRPr="00F441CC">
          <w:rPr>
            <w:bCs/>
            <w:noProof/>
            <w:webHidden/>
          </w:rPr>
          <w:fldChar w:fldCharType="separate"/>
        </w:r>
        <w:r w:rsidR="00F441CC" w:rsidRPr="00F441CC">
          <w:rPr>
            <w:bCs/>
            <w:noProof/>
            <w:webHidden/>
          </w:rPr>
          <w:t>7</w:t>
        </w:r>
        <w:r w:rsidR="00F441CC" w:rsidRPr="00F441CC">
          <w:rPr>
            <w:bCs/>
            <w:noProof/>
            <w:webHidden/>
          </w:rPr>
          <w:fldChar w:fldCharType="end"/>
        </w:r>
      </w:hyperlink>
    </w:p>
    <w:p w14:paraId="6308621F" w14:textId="7F3BD4F4" w:rsidR="00F441CC" w:rsidRPr="00F441CC" w:rsidRDefault="0037093A">
      <w:pPr>
        <w:pStyle w:val="TDC2"/>
        <w:rPr>
          <w:rFonts w:asciiTheme="minorHAnsi" w:hAnsiTheme="minorHAnsi"/>
          <w:bCs/>
          <w:noProof/>
          <w:sz w:val="22"/>
          <w:szCs w:val="22"/>
          <w:lang w:val="es-CO" w:eastAsia="es-CO"/>
        </w:rPr>
      </w:pPr>
      <w:hyperlink w:anchor="_Toc104272110" w:history="1">
        <w:r w:rsidR="00F441CC" w:rsidRPr="00F441CC">
          <w:rPr>
            <w:rStyle w:val="Hipervnculo"/>
            <w:bCs/>
            <w:noProof/>
          </w:rPr>
          <w:t>2.1</w:t>
        </w:r>
        <w:r w:rsidR="00F441CC" w:rsidRPr="00F441CC">
          <w:rPr>
            <w:rFonts w:asciiTheme="minorHAnsi" w:hAnsiTheme="minorHAnsi"/>
            <w:bCs/>
            <w:noProof/>
            <w:sz w:val="22"/>
            <w:szCs w:val="22"/>
            <w:lang w:val="es-CO" w:eastAsia="es-CO"/>
          </w:rPr>
          <w:tab/>
        </w:r>
        <w:r w:rsidR="00F441CC" w:rsidRPr="00F441CC">
          <w:rPr>
            <w:rStyle w:val="Hipervnculo"/>
            <w:bCs/>
            <w:noProof/>
          </w:rPr>
          <w:t>El mercado postal: Tamaño, evolución, estructura y actores.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_Toc104272110 \h </w:instrText>
        </w:r>
        <w:r w:rsidR="00F441CC" w:rsidRPr="00F441CC">
          <w:rPr>
            <w:bCs/>
            <w:noProof/>
            <w:webHidden/>
          </w:rPr>
        </w:r>
        <w:r w:rsidR="00F441CC" w:rsidRPr="00F441CC">
          <w:rPr>
            <w:bCs/>
            <w:noProof/>
            <w:webHidden/>
          </w:rPr>
          <w:fldChar w:fldCharType="separate"/>
        </w:r>
        <w:r w:rsidR="00F441CC" w:rsidRPr="00F441CC">
          <w:rPr>
            <w:bCs/>
            <w:noProof/>
            <w:webHidden/>
          </w:rPr>
          <w:t>7</w:t>
        </w:r>
        <w:r w:rsidR="00F441CC" w:rsidRPr="00F441CC">
          <w:rPr>
            <w:bCs/>
            <w:noProof/>
            <w:webHidden/>
          </w:rPr>
          <w:fldChar w:fldCharType="end"/>
        </w:r>
      </w:hyperlink>
    </w:p>
    <w:p w14:paraId="53A93D84" w14:textId="60EB29D9" w:rsidR="00F441CC" w:rsidRPr="00F441CC" w:rsidRDefault="0037093A">
      <w:pPr>
        <w:pStyle w:val="TDC2"/>
        <w:rPr>
          <w:rFonts w:asciiTheme="minorHAnsi" w:hAnsiTheme="minorHAnsi"/>
          <w:bCs/>
          <w:noProof/>
          <w:sz w:val="22"/>
          <w:szCs w:val="22"/>
          <w:lang w:val="es-CO" w:eastAsia="es-CO"/>
        </w:rPr>
      </w:pPr>
      <w:hyperlink w:anchor="_Toc104272111" w:history="1">
        <w:r w:rsidR="00F441CC" w:rsidRPr="00F441CC">
          <w:rPr>
            <w:rStyle w:val="Hipervnculo"/>
            <w:bCs/>
            <w:noProof/>
          </w:rPr>
          <w:t>2.2</w:t>
        </w:r>
        <w:r w:rsidR="00F441CC" w:rsidRPr="00F441CC">
          <w:rPr>
            <w:rFonts w:asciiTheme="minorHAnsi" w:hAnsiTheme="minorHAnsi"/>
            <w:bCs/>
            <w:noProof/>
            <w:sz w:val="22"/>
            <w:szCs w:val="22"/>
            <w:lang w:val="es-CO" w:eastAsia="es-CO"/>
          </w:rPr>
          <w:tab/>
        </w:r>
        <w:r w:rsidR="00F441CC" w:rsidRPr="00F441CC">
          <w:rPr>
            <w:rStyle w:val="Hipervnculo"/>
            <w:bCs/>
            <w:noProof/>
          </w:rPr>
          <w:t>El mercado postal en Colombia: Segmentos del mercado.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_Toc104272111 \h </w:instrText>
        </w:r>
        <w:r w:rsidR="00F441CC" w:rsidRPr="00F441CC">
          <w:rPr>
            <w:bCs/>
            <w:noProof/>
            <w:webHidden/>
          </w:rPr>
        </w:r>
        <w:r w:rsidR="00F441CC" w:rsidRPr="00F441CC">
          <w:rPr>
            <w:bCs/>
            <w:noProof/>
            <w:webHidden/>
          </w:rPr>
          <w:fldChar w:fldCharType="separate"/>
        </w:r>
        <w:r w:rsidR="00F441CC" w:rsidRPr="00F441CC">
          <w:rPr>
            <w:bCs/>
            <w:noProof/>
            <w:webHidden/>
          </w:rPr>
          <w:t>9</w:t>
        </w:r>
        <w:r w:rsidR="00F441CC" w:rsidRPr="00F441CC">
          <w:rPr>
            <w:bCs/>
            <w:noProof/>
            <w:webHidden/>
          </w:rPr>
          <w:fldChar w:fldCharType="end"/>
        </w:r>
      </w:hyperlink>
    </w:p>
    <w:p w14:paraId="1EA9CD44" w14:textId="0B38EC7B" w:rsidR="00F441CC" w:rsidRPr="00F441CC" w:rsidRDefault="0037093A">
      <w:pPr>
        <w:pStyle w:val="TDC3"/>
        <w:rPr>
          <w:rFonts w:asciiTheme="minorHAnsi" w:hAnsiTheme="minorHAnsi"/>
          <w:bCs/>
          <w:noProof/>
          <w:sz w:val="22"/>
          <w:szCs w:val="22"/>
          <w:lang w:val="es-CO" w:eastAsia="es-CO"/>
        </w:rPr>
      </w:pPr>
      <w:hyperlink w:anchor="_Toc104272112" w:history="1">
        <w:r w:rsidR="00F441CC" w:rsidRPr="00F441CC">
          <w:rPr>
            <w:rStyle w:val="Hipervnculo"/>
            <w:bCs/>
            <w:noProof/>
          </w:rPr>
          <w:t>2.2.1</w:t>
        </w:r>
        <w:r w:rsidR="00F441CC" w:rsidRPr="00F441CC">
          <w:rPr>
            <w:rFonts w:asciiTheme="minorHAnsi" w:hAnsiTheme="minorHAnsi"/>
            <w:bCs/>
            <w:noProof/>
            <w:sz w:val="22"/>
            <w:szCs w:val="22"/>
            <w:lang w:val="es-CO" w:eastAsia="es-CO"/>
          </w:rPr>
          <w:tab/>
        </w:r>
        <w:r w:rsidR="00F441CC" w:rsidRPr="00F441CC">
          <w:rPr>
            <w:rStyle w:val="Hipervnculo"/>
            <w:bCs/>
            <w:noProof/>
          </w:rPr>
          <w:t>Tamaño y estructura del mercado de envíos de objetos postales.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_Toc104272112 \h </w:instrText>
        </w:r>
        <w:r w:rsidR="00F441CC" w:rsidRPr="00F441CC">
          <w:rPr>
            <w:bCs/>
            <w:noProof/>
            <w:webHidden/>
          </w:rPr>
        </w:r>
        <w:r w:rsidR="00F441CC" w:rsidRPr="00F441CC">
          <w:rPr>
            <w:bCs/>
            <w:noProof/>
            <w:webHidden/>
          </w:rPr>
          <w:fldChar w:fldCharType="separate"/>
        </w:r>
        <w:r w:rsidR="00F441CC" w:rsidRPr="00F441CC">
          <w:rPr>
            <w:bCs/>
            <w:noProof/>
            <w:webHidden/>
          </w:rPr>
          <w:t>9</w:t>
        </w:r>
        <w:r w:rsidR="00F441CC" w:rsidRPr="00F441CC">
          <w:rPr>
            <w:bCs/>
            <w:noProof/>
            <w:webHidden/>
          </w:rPr>
          <w:fldChar w:fldCharType="end"/>
        </w:r>
      </w:hyperlink>
    </w:p>
    <w:p w14:paraId="73347B26" w14:textId="3AA6D696" w:rsidR="00F441CC" w:rsidRPr="00F441CC" w:rsidRDefault="0037093A">
      <w:pPr>
        <w:pStyle w:val="TDC4"/>
        <w:rPr>
          <w:rFonts w:asciiTheme="minorHAnsi" w:hAnsiTheme="minorHAnsi"/>
          <w:bCs/>
          <w:noProof/>
          <w:sz w:val="22"/>
          <w:szCs w:val="22"/>
          <w:lang w:val="es-CO" w:eastAsia="es-CO"/>
        </w:rPr>
      </w:pPr>
      <w:hyperlink w:anchor="_Toc104272113" w:history="1">
        <w:r w:rsidR="00F441CC" w:rsidRPr="00F441CC">
          <w:rPr>
            <w:rStyle w:val="Hipervnculo"/>
            <w:bCs/>
            <w:noProof/>
          </w:rPr>
          <w:t>2.2.1.1</w:t>
        </w:r>
        <w:r w:rsidR="00F441CC" w:rsidRPr="00F441CC">
          <w:rPr>
            <w:rFonts w:asciiTheme="minorHAnsi" w:hAnsiTheme="minorHAnsi"/>
            <w:bCs/>
            <w:noProof/>
            <w:sz w:val="22"/>
            <w:szCs w:val="22"/>
            <w:lang w:val="es-CO" w:eastAsia="es-CO"/>
          </w:rPr>
          <w:tab/>
        </w:r>
        <w:r w:rsidR="00F441CC" w:rsidRPr="00F441CC">
          <w:rPr>
            <w:rStyle w:val="Hipervnculo"/>
            <w:bCs/>
            <w:noProof/>
          </w:rPr>
          <w:t>Envíos masivos postales de correo y de mensajería expresa</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_Toc104272113 \h </w:instrText>
        </w:r>
        <w:r w:rsidR="00F441CC" w:rsidRPr="00F441CC">
          <w:rPr>
            <w:bCs/>
            <w:noProof/>
            <w:webHidden/>
          </w:rPr>
        </w:r>
        <w:r w:rsidR="00F441CC" w:rsidRPr="00F441CC">
          <w:rPr>
            <w:bCs/>
            <w:noProof/>
            <w:webHidden/>
          </w:rPr>
          <w:fldChar w:fldCharType="separate"/>
        </w:r>
        <w:r w:rsidR="00F441CC" w:rsidRPr="00F441CC">
          <w:rPr>
            <w:bCs/>
            <w:noProof/>
            <w:webHidden/>
          </w:rPr>
          <w:t>9</w:t>
        </w:r>
        <w:r w:rsidR="00F441CC" w:rsidRPr="00F441CC">
          <w:rPr>
            <w:bCs/>
            <w:noProof/>
            <w:webHidden/>
          </w:rPr>
          <w:fldChar w:fldCharType="end"/>
        </w:r>
      </w:hyperlink>
    </w:p>
    <w:p w14:paraId="3F654BA7" w14:textId="4D0307AC" w:rsidR="00F441CC" w:rsidRPr="00F441CC" w:rsidRDefault="0037093A">
      <w:pPr>
        <w:pStyle w:val="TDC4"/>
        <w:rPr>
          <w:rFonts w:asciiTheme="minorHAnsi" w:hAnsiTheme="minorHAnsi"/>
          <w:bCs/>
          <w:noProof/>
          <w:sz w:val="22"/>
          <w:szCs w:val="22"/>
          <w:lang w:val="es-CO" w:eastAsia="es-CO"/>
        </w:rPr>
      </w:pPr>
      <w:hyperlink w:anchor="_Toc104272114" w:history="1">
        <w:r w:rsidR="00F441CC" w:rsidRPr="00F441CC">
          <w:rPr>
            <w:rStyle w:val="Hipervnculo"/>
            <w:bCs/>
            <w:noProof/>
          </w:rPr>
          <w:t>2.2.1.2</w:t>
        </w:r>
        <w:r w:rsidR="00F441CC" w:rsidRPr="00F441CC">
          <w:rPr>
            <w:rFonts w:asciiTheme="minorHAnsi" w:hAnsiTheme="minorHAnsi"/>
            <w:bCs/>
            <w:noProof/>
            <w:sz w:val="22"/>
            <w:szCs w:val="22"/>
            <w:lang w:val="es-CO" w:eastAsia="es-CO"/>
          </w:rPr>
          <w:tab/>
        </w:r>
        <w:r w:rsidR="00F441CC" w:rsidRPr="00F441CC">
          <w:rPr>
            <w:rStyle w:val="Hipervnculo"/>
            <w:bCs/>
            <w:noProof/>
          </w:rPr>
          <w:t>El mercado de envíos individuales: Envíos de mensajería expresa hasta 2 kilogramos y entre 2 y 5 kilogramos.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_Toc104272114 \h </w:instrText>
        </w:r>
        <w:r w:rsidR="00F441CC" w:rsidRPr="00F441CC">
          <w:rPr>
            <w:bCs/>
            <w:noProof/>
            <w:webHidden/>
          </w:rPr>
        </w:r>
        <w:r w:rsidR="00F441CC" w:rsidRPr="00F441CC">
          <w:rPr>
            <w:bCs/>
            <w:noProof/>
            <w:webHidden/>
          </w:rPr>
          <w:fldChar w:fldCharType="separate"/>
        </w:r>
        <w:r w:rsidR="00F441CC" w:rsidRPr="00F441CC">
          <w:rPr>
            <w:bCs/>
            <w:noProof/>
            <w:webHidden/>
          </w:rPr>
          <w:t>10</w:t>
        </w:r>
        <w:r w:rsidR="00F441CC" w:rsidRPr="00F441CC">
          <w:rPr>
            <w:bCs/>
            <w:noProof/>
            <w:webHidden/>
          </w:rPr>
          <w:fldChar w:fldCharType="end"/>
        </w:r>
      </w:hyperlink>
    </w:p>
    <w:p w14:paraId="2C142068" w14:textId="6F896F97" w:rsidR="00F441CC" w:rsidRPr="00F441CC" w:rsidRDefault="0037093A">
      <w:pPr>
        <w:pStyle w:val="TDC3"/>
        <w:rPr>
          <w:rFonts w:asciiTheme="minorHAnsi" w:hAnsiTheme="minorHAnsi"/>
          <w:bCs/>
          <w:noProof/>
          <w:sz w:val="22"/>
          <w:szCs w:val="22"/>
          <w:lang w:val="es-CO" w:eastAsia="es-CO"/>
        </w:rPr>
      </w:pPr>
      <w:hyperlink w:anchor="_Toc104272115" w:history="1">
        <w:r w:rsidR="00F441CC" w:rsidRPr="00F441CC">
          <w:rPr>
            <w:rStyle w:val="Hipervnculo"/>
            <w:bCs/>
            <w:noProof/>
          </w:rPr>
          <w:t>2.2.2</w:t>
        </w:r>
        <w:r w:rsidR="00F441CC" w:rsidRPr="00F441CC">
          <w:rPr>
            <w:rFonts w:asciiTheme="minorHAnsi" w:hAnsiTheme="minorHAnsi"/>
            <w:bCs/>
            <w:noProof/>
            <w:sz w:val="22"/>
            <w:szCs w:val="22"/>
            <w:lang w:val="es-CO" w:eastAsia="es-CO"/>
          </w:rPr>
          <w:tab/>
        </w:r>
        <w:r w:rsidR="00F441CC" w:rsidRPr="00F441CC">
          <w:rPr>
            <w:rStyle w:val="Hipervnculo"/>
            <w:bCs/>
            <w:noProof/>
          </w:rPr>
          <w:t>Tamaño y estructura del mercado postal de servicios postales de pago (giros nacionales, giros internacionales en efectivo).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_Toc104272115 \h </w:instrText>
        </w:r>
        <w:r w:rsidR="00F441CC" w:rsidRPr="00F441CC">
          <w:rPr>
            <w:bCs/>
            <w:noProof/>
            <w:webHidden/>
          </w:rPr>
        </w:r>
        <w:r w:rsidR="00F441CC" w:rsidRPr="00F441CC">
          <w:rPr>
            <w:bCs/>
            <w:noProof/>
            <w:webHidden/>
          </w:rPr>
          <w:fldChar w:fldCharType="separate"/>
        </w:r>
        <w:r w:rsidR="00F441CC" w:rsidRPr="00F441CC">
          <w:rPr>
            <w:bCs/>
            <w:noProof/>
            <w:webHidden/>
          </w:rPr>
          <w:t>12</w:t>
        </w:r>
        <w:r w:rsidR="00F441CC" w:rsidRPr="00F441CC">
          <w:rPr>
            <w:bCs/>
            <w:noProof/>
            <w:webHidden/>
          </w:rPr>
          <w:fldChar w:fldCharType="end"/>
        </w:r>
      </w:hyperlink>
    </w:p>
    <w:p w14:paraId="1B2C0E59" w14:textId="1DD9FF97" w:rsidR="00F441CC" w:rsidRPr="00F441CC" w:rsidRDefault="0037093A">
      <w:pPr>
        <w:pStyle w:val="TDC2"/>
        <w:rPr>
          <w:rFonts w:asciiTheme="minorHAnsi" w:hAnsiTheme="minorHAnsi"/>
          <w:bCs/>
          <w:noProof/>
          <w:sz w:val="22"/>
          <w:szCs w:val="22"/>
          <w:lang w:val="es-CO" w:eastAsia="es-CO"/>
        </w:rPr>
      </w:pPr>
      <w:hyperlink w:anchor="_Toc104272116" w:history="1">
        <w:r w:rsidR="00F441CC" w:rsidRPr="00F441CC">
          <w:rPr>
            <w:rStyle w:val="Hipervnculo"/>
            <w:bCs/>
            <w:noProof/>
          </w:rPr>
          <w:t>2.3</w:t>
        </w:r>
        <w:r w:rsidR="00F441CC" w:rsidRPr="00F441CC">
          <w:rPr>
            <w:rFonts w:asciiTheme="minorHAnsi" w:hAnsiTheme="minorHAnsi"/>
            <w:bCs/>
            <w:noProof/>
            <w:sz w:val="22"/>
            <w:szCs w:val="22"/>
            <w:lang w:val="es-CO" w:eastAsia="es-CO"/>
          </w:rPr>
          <w:tab/>
        </w:r>
        <w:r w:rsidR="00F441CC" w:rsidRPr="00F441CC">
          <w:rPr>
            <w:rStyle w:val="Hipervnculo"/>
            <w:bCs/>
            <w:noProof/>
          </w:rPr>
          <w:t>Conclusiones.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_Toc104272116 \h </w:instrText>
        </w:r>
        <w:r w:rsidR="00F441CC" w:rsidRPr="00F441CC">
          <w:rPr>
            <w:bCs/>
            <w:noProof/>
            <w:webHidden/>
          </w:rPr>
        </w:r>
        <w:r w:rsidR="00F441CC" w:rsidRPr="00F441CC">
          <w:rPr>
            <w:bCs/>
            <w:noProof/>
            <w:webHidden/>
          </w:rPr>
          <w:fldChar w:fldCharType="separate"/>
        </w:r>
        <w:r w:rsidR="00F441CC" w:rsidRPr="00F441CC">
          <w:rPr>
            <w:bCs/>
            <w:noProof/>
            <w:webHidden/>
          </w:rPr>
          <w:t>13</w:t>
        </w:r>
        <w:r w:rsidR="00F441CC" w:rsidRPr="00F441CC">
          <w:rPr>
            <w:bCs/>
            <w:noProof/>
            <w:webHidden/>
          </w:rPr>
          <w:fldChar w:fldCharType="end"/>
        </w:r>
      </w:hyperlink>
    </w:p>
    <w:p w14:paraId="042F3AA3" w14:textId="3A129BB3" w:rsidR="00F441CC" w:rsidRPr="00F441CC" w:rsidRDefault="0037093A">
      <w:pPr>
        <w:pStyle w:val="TDC1"/>
        <w:tabs>
          <w:tab w:val="left" w:pos="480"/>
        </w:tabs>
        <w:rPr>
          <w:rFonts w:asciiTheme="minorHAnsi" w:hAnsiTheme="minorHAnsi"/>
          <w:bCs/>
          <w:noProof/>
          <w:sz w:val="22"/>
          <w:szCs w:val="22"/>
          <w:lang w:val="es-CO" w:eastAsia="es-CO"/>
        </w:rPr>
      </w:pPr>
      <w:hyperlink w:anchor="_Toc104272117" w:history="1">
        <w:r w:rsidR="00F441CC" w:rsidRPr="00F441CC">
          <w:rPr>
            <w:rStyle w:val="Hipervnculo"/>
            <w:bCs/>
            <w:noProof/>
          </w:rPr>
          <w:t>3</w:t>
        </w:r>
        <w:bookmarkStart w:id="5" w:name="_Toc104227814"/>
        <w:r w:rsidR="00F441CC" w:rsidRPr="00F441CC">
          <w:rPr>
            <w:rFonts w:asciiTheme="minorHAnsi" w:hAnsiTheme="minorHAnsi"/>
            <w:bCs/>
            <w:noProof/>
            <w:sz w:val="22"/>
            <w:szCs w:val="22"/>
            <w:lang w:val="es-CO" w:eastAsia="es-CO"/>
          </w:rPr>
          <w:tab/>
        </w:r>
        <w:bookmarkEnd w:id="5"/>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_Toc104272117 \h </w:instrText>
        </w:r>
        <w:r w:rsidR="00F441CC" w:rsidRPr="00F441CC">
          <w:rPr>
            <w:bCs/>
            <w:noProof/>
            <w:webHidden/>
          </w:rPr>
        </w:r>
        <w:r w:rsidR="00F441CC" w:rsidRPr="00F441CC">
          <w:rPr>
            <w:bCs/>
            <w:noProof/>
            <w:webHidden/>
          </w:rPr>
          <w:fldChar w:fldCharType="separate"/>
        </w:r>
        <w:r w:rsidR="00F441CC" w:rsidRPr="00F441CC">
          <w:rPr>
            <w:bCs/>
            <w:noProof/>
            <w:webHidden/>
          </w:rPr>
          <w:t>15</w:t>
        </w:r>
        <w:r w:rsidR="00F441CC" w:rsidRPr="00F441CC">
          <w:rPr>
            <w:bCs/>
            <w:noProof/>
            <w:webHidden/>
          </w:rPr>
          <w:fldChar w:fldCharType="end"/>
        </w:r>
      </w:hyperlink>
    </w:p>
    <w:p w14:paraId="22E92B93" w14:textId="35C6495E" w:rsidR="00F441CC" w:rsidRPr="00F441CC" w:rsidRDefault="0037093A">
      <w:pPr>
        <w:pStyle w:val="TDC1"/>
        <w:rPr>
          <w:rFonts w:asciiTheme="minorHAnsi" w:hAnsiTheme="minorHAnsi"/>
          <w:bCs/>
          <w:noProof/>
          <w:sz w:val="22"/>
          <w:szCs w:val="22"/>
          <w:lang w:val="es-CO" w:eastAsia="es-CO"/>
        </w:rPr>
      </w:pPr>
      <w:hyperlink w:anchor="_Toc104272118" w:history="1">
        <w:r w:rsidR="00F441CC" w:rsidRPr="00F441CC">
          <w:rPr>
            <w:rStyle w:val="Hipervnculo"/>
            <w:bCs/>
            <w:noProof/>
          </w:rPr>
          <w:t>Marco legal y estructura del régimen de contraprestaciones a cargo de los operadores postales y a favor del FUTIC.</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_Toc104272118 \h </w:instrText>
        </w:r>
        <w:r w:rsidR="00F441CC" w:rsidRPr="00F441CC">
          <w:rPr>
            <w:bCs/>
            <w:noProof/>
            <w:webHidden/>
          </w:rPr>
        </w:r>
        <w:r w:rsidR="00F441CC" w:rsidRPr="00F441CC">
          <w:rPr>
            <w:bCs/>
            <w:noProof/>
            <w:webHidden/>
          </w:rPr>
          <w:fldChar w:fldCharType="separate"/>
        </w:r>
        <w:r w:rsidR="00F441CC" w:rsidRPr="00F441CC">
          <w:rPr>
            <w:bCs/>
            <w:noProof/>
            <w:webHidden/>
          </w:rPr>
          <w:t>15</w:t>
        </w:r>
        <w:r w:rsidR="00F441CC" w:rsidRPr="00F441CC">
          <w:rPr>
            <w:bCs/>
            <w:noProof/>
            <w:webHidden/>
          </w:rPr>
          <w:fldChar w:fldCharType="end"/>
        </w:r>
      </w:hyperlink>
    </w:p>
    <w:p w14:paraId="66396E42" w14:textId="68DEC820" w:rsidR="00F441CC" w:rsidRPr="00F441CC" w:rsidRDefault="0037093A">
      <w:pPr>
        <w:pStyle w:val="TDC2"/>
        <w:rPr>
          <w:rFonts w:asciiTheme="minorHAnsi" w:hAnsiTheme="minorHAnsi"/>
          <w:bCs/>
          <w:noProof/>
          <w:sz w:val="22"/>
          <w:szCs w:val="22"/>
          <w:lang w:val="es-CO" w:eastAsia="es-CO"/>
        </w:rPr>
      </w:pPr>
      <w:hyperlink w:anchor="_Toc104272119" w:history="1">
        <w:r w:rsidR="00F441CC" w:rsidRPr="00F441CC">
          <w:rPr>
            <w:rStyle w:val="Hipervnculo"/>
            <w:bCs/>
            <w:noProof/>
          </w:rPr>
          <w:t>3.1</w:t>
        </w:r>
        <w:r w:rsidR="00F441CC" w:rsidRPr="00F441CC">
          <w:rPr>
            <w:rFonts w:asciiTheme="minorHAnsi" w:hAnsiTheme="minorHAnsi"/>
            <w:bCs/>
            <w:noProof/>
            <w:sz w:val="22"/>
            <w:szCs w:val="22"/>
            <w:lang w:val="es-CO" w:eastAsia="es-CO"/>
          </w:rPr>
          <w:tab/>
        </w:r>
        <w:r w:rsidR="00F441CC" w:rsidRPr="00F441CC">
          <w:rPr>
            <w:rStyle w:val="Hipervnculo"/>
            <w:bCs/>
            <w:noProof/>
          </w:rPr>
          <w:t>Introducción.</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_Toc104272119 \h </w:instrText>
        </w:r>
        <w:r w:rsidR="00F441CC" w:rsidRPr="00F441CC">
          <w:rPr>
            <w:bCs/>
            <w:noProof/>
            <w:webHidden/>
          </w:rPr>
        </w:r>
        <w:r w:rsidR="00F441CC" w:rsidRPr="00F441CC">
          <w:rPr>
            <w:bCs/>
            <w:noProof/>
            <w:webHidden/>
          </w:rPr>
          <w:fldChar w:fldCharType="separate"/>
        </w:r>
        <w:r w:rsidR="00F441CC" w:rsidRPr="00F441CC">
          <w:rPr>
            <w:bCs/>
            <w:noProof/>
            <w:webHidden/>
          </w:rPr>
          <w:t>15</w:t>
        </w:r>
        <w:r w:rsidR="00F441CC" w:rsidRPr="00F441CC">
          <w:rPr>
            <w:bCs/>
            <w:noProof/>
            <w:webHidden/>
          </w:rPr>
          <w:fldChar w:fldCharType="end"/>
        </w:r>
      </w:hyperlink>
    </w:p>
    <w:p w14:paraId="4447BB3C" w14:textId="628FBCD9" w:rsidR="00F441CC" w:rsidRPr="00F441CC" w:rsidRDefault="0037093A">
      <w:pPr>
        <w:pStyle w:val="TDC2"/>
        <w:rPr>
          <w:rFonts w:asciiTheme="minorHAnsi" w:hAnsiTheme="minorHAnsi"/>
          <w:bCs/>
          <w:noProof/>
          <w:sz w:val="22"/>
          <w:szCs w:val="22"/>
          <w:lang w:val="es-CO" w:eastAsia="es-CO"/>
        </w:rPr>
      </w:pPr>
      <w:hyperlink w:anchor="_Toc104272120" w:history="1">
        <w:r w:rsidR="00F441CC" w:rsidRPr="00F441CC">
          <w:rPr>
            <w:rStyle w:val="Hipervnculo"/>
            <w:bCs/>
            <w:noProof/>
          </w:rPr>
          <w:t>3.2</w:t>
        </w:r>
        <w:r w:rsidR="00F441CC" w:rsidRPr="00F441CC">
          <w:rPr>
            <w:rFonts w:asciiTheme="minorHAnsi" w:hAnsiTheme="minorHAnsi"/>
            <w:bCs/>
            <w:noProof/>
            <w:sz w:val="22"/>
            <w:szCs w:val="22"/>
            <w:lang w:val="es-CO" w:eastAsia="es-CO"/>
          </w:rPr>
          <w:tab/>
        </w:r>
        <w:r w:rsidR="00F441CC" w:rsidRPr="00F441CC">
          <w:rPr>
            <w:rStyle w:val="Hipervnculo"/>
            <w:bCs/>
            <w:noProof/>
          </w:rPr>
          <w:t>El esquema de contraprestaciones al Fondo Único de TIC en Colombia: La Ley 1369 de 2009 y las contraprestaciones de los operadores postales. Fuentes.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_Toc104272120 \h </w:instrText>
        </w:r>
        <w:r w:rsidR="00F441CC" w:rsidRPr="00F441CC">
          <w:rPr>
            <w:bCs/>
            <w:noProof/>
            <w:webHidden/>
          </w:rPr>
        </w:r>
        <w:r w:rsidR="00F441CC" w:rsidRPr="00F441CC">
          <w:rPr>
            <w:bCs/>
            <w:noProof/>
            <w:webHidden/>
          </w:rPr>
          <w:fldChar w:fldCharType="separate"/>
        </w:r>
        <w:r w:rsidR="00F441CC" w:rsidRPr="00F441CC">
          <w:rPr>
            <w:bCs/>
            <w:noProof/>
            <w:webHidden/>
          </w:rPr>
          <w:t>15</w:t>
        </w:r>
        <w:r w:rsidR="00F441CC" w:rsidRPr="00F441CC">
          <w:rPr>
            <w:bCs/>
            <w:noProof/>
            <w:webHidden/>
          </w:rPr>
          <w:fldChar w:fldCharType="end"/>
        </w:r>
      </w:hyperlink>
    </w:p>
    <w:p w14:paraId="0EE6BDCC" w14:textId="76D16142" w:rsidR="00F441CC" w:rsidRPr="00F441CC" w:rsidRDefault="0037093A">
      <w:pPr>
        <w:pStyle w:val="TDC3"/>
        <w:rPr>
          <w:rFonts w:asciiTheme="minorHAnsi" w:hAnsiTheme="minorHAnsi"/>
          <w:bCs/>
          <w:noProof/>
          <w:sz w:val="22"/>
          <w:szCs w:val="22"/>
          <w:lang w:val="es-CO" w:eastAsia="es-CO"/>
        </w:rPr>
      </w:pPr>
      <w:hyperlink w:anchor="_Toc104272121" w:history="1">
        <w:r w:rsidR="00F441CC" w:rsidRPr="00F441CC">
          <w:rPr>
            <w:rStyle w:val="Hipervnculo"/>
            <w:bCs/>
            <w:noProof/>
          </w:rPr>
          <w:t>3.2.1</w:t>
        </w:r>
        <w:r w:rsidR="00F441CC" w:rsidRPr="00F441CC">
          <w:rPr>
            <w:rFonts w:asciiTheme="minorHAnsi" w:hAnsiTheme="minorHAnsi"/>
            <w:bCs/>
            <w:noProof/>
            <w:sz w:val="22"/>
            <w:szCs w:val="22"/>
            <w:lang w:val="es-CO" w:eastAsia="es-CO"/>
          </w:rPr>
          <w:tab/>
        </w:r>
        <w:r w:rsidR="00F441CC" w:rsidRPr="00F441CC">
          <w:rPr>
            <w:rStyle w:val="Hipervnculo"/>
            <w:bCs/>
            <w:noProof/>
          </w:rPr>
          <w:t>Cargo fijo por el otorgamiento y renovación de la habilitación de los operadores postales en Colombia.</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_Toc104272121 \h </w:instrText>
        </w:r>
        <w:r w:rsidR="00F441CC" w:rsidRPr="00F441CC">
          <w:rPr>
            <w:bCs/>
            <w:noProof/>
            <w:webHidden/>
          </w:rPr>
        </w:r>
        <w:r w:rsidR="00F441CC" w:rsidRPr="00F441CC">
          <w:rPr>
            <w:bCs/>
            <w:noProof/>
            <w:webHidden/>
          </w:rPr>
          <w:fldChar w:fldCharType="separate"/>
        </w:r>
        <w:r w:rsidR="00F441CC" w:rsidRPr="00F441CC">
          <w:rPr>
            <w:bCs/>
            <w:noProof/>
            <w:webHidden/>
          </w:rPr>
          <w:t>16</w:t>
        </w:r>
        <w:r w:rsidR="00F441CC" w:rsidRPr="00F441CC">
          <w:rPr>
            <w:bCs/>
            <w:noProof/>
            <w:webHidden/>
          </w:rPr>
          <w:fldChar w:fldCharType="end"/>
        </w:r>
      </w:hyperlink>
    </w:p>
    <w:p w14:paraId="450BFC26" w14:textId="5A791265" w:rsidR="00F441CC" w:rsidRPr="00F441CC" w:rsidRDefault="0037093A">
      <w:pPr>
        <w:pStyle w:val="TDC3"/>
        <w:rPr>
          <w:rFonts w:asciiTheme="minorHAnsi" w:hAnsiTheme="minorHAnsi"/>
          <w:bCs/>
          <w:noProof/>
          <w:sz w:val="22"/>
          <w:szCs w:val="22"/>
          <w:lang w:val="es-CO" w:eastAsia="es-CO"/>
        </w:rPr>
      </w:pPr>
      <w:hyperlink w:anchor="_Toc104272122" w:history="1">
        <w:r w:rsidR="00F441CC" w:rsidRPr="00F441CC">
          <w:rPr>
            <w:rStyle w:val="Hipervnculo"/>
            <w:bCs/>
            <w:noProof/>
          </w:rPr>
          <w:t>3.2.2</w:t>
        </w:r>
        <w:r w:rsidR="00F441CC" w:rsidRPr="00F441CC">
          <w:rPr>
            <w:rFonts w:asciiTheme="minorHAnsi" w:hAnsiTheme="minorHAnsi"/>
            <w:bCs/>
            <w:noProof/>
            <w:sz w:val="22"/>
            <w:szCs w:val="22"/>
            <w:lang w:val="es-CO" w:eastAsia="es-CO"/>
          </w:rPr>
          <w:tab/>
        </w:r>
        <w:r w:rsidR="00F441CC" w:rsidRPr="00F441CC">
          <w:rPr>
            <w:rStyle w:val="Hipervnculo"/>
            <w:bCs/>
            <w:noProof/>
          </w:rPr>
          <w:t>Cargo periódico o recurrente trimestral por la prestación de los servicios de Mensajería Expresa y Postal de Pago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_Toc104272122 \h </w:instrText>
        </w:r>
        <w:r w:rsidR="00F441CC" w:rsidRPr="00F441CC">
          <w:rPr>
            <w:bCs/>
            <w:noProof/>
            <w:webHidden/>
          </w:rPr>
        </w:r>
        <w:r w:rsidR="00F441CC" w:rsidRPr="00F441CC">
          <w:rPr>
            <w:bCs/>
            <w:noProof/>
            <w:webHidden/>
          </w:rPr>
          <w:fldChar w:fldCharType="separate"/>
        </w:r>
        <w:r w:rsidR="00F441CC" w:rsidRPr="00F441CC">
          <w:rPr>
            <w:bCs/>
            <w:noProof/>
            <w:webHidden/>
          </w:rPr>
          <w:t>16</w:t>
        </w:r>
        <w:r w:rsidR="00F441CC" w:rsidRPr="00F441CC">
          <w:rPr>
            <w:bCs/>
            <w:noProof/>
            <w:webHidden/>
          </w:rPr>
          <w:fldChar w:fldCharType="end"/>
        </w:r>
      </w:hyperlink>
    </w:p>
    <w:p w14:paraId="77D50AC1" w14:textId="7CF8B39E" w:rsidR="00F441CC" w:rsidRPr="00F441CC" w:rsidRDefault="0037093A">
      <w:pPr>
        <w:pStyle w:val="TDC2"/>
        <w:rPr>
          <w:rFonts w:asciiTheme="minorHAnsi" w:hAnsiTheme="minorHAnsi"/>
          <w:bCs/>
          <w:noProof/>
          <w:sz w:val="22"/>
          <w:szCs w:val="22"/>
          <w:lang w:val="es-CO" w:eastAsia="es-CO"/>
        </w:rPr>
      </w:pPr>
      <w:hyperlink w:anchor="_Toc104272123" w:history="1">
        <w:r w:rsidR="00F441CC" w:rsidRPr="00F441CC">
          <w:rPr>
            <w:rStyle w:val="Hipervnculo"/>
            <w:bCs/>
            <w:noProof/>
          </w:rPr>
          <w:t>3.3</w:t>
        </w:r>
        <w:r w:rsidR="00F441CC" w:rsidRPr="00F441CC">
          <w:rPr>
            <w:rFonts w:asciiTheme="minorHAnsi" w:hAnsiTheme="minorHAnsi"/>
            <w:bCs/>
            <w:noProof/>
            <w:sz w:val="22"/>
            <w:szCs w:val="22"/>
            <w:lang w:val="es-CO" w:eastAsia="es-CO"/>
          </w:rPr>
          <w:tab/>
        </w:r>
        <w:r w:rsidR="00F441CC" w:rsidRPr="00F441CC">
          <w:rPr>
            <w:rStyle w:val="Hipervnculo"/>
            <w:bCs/>
            <w:noProof/>
          </w:rPr>
          <w:t>Evolución de los pagos por Contraprestaciones postales al FUTIC: Período 2011 - 2021.</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_Toc104272123 \h </w:instrText>
        </w:r>
        <w:r w:rsidR="00F441CC" w:rsidRPr="00F441CC">
          <w:rPr>
            <w:bCs/>
            <w:noProof/>
            <w:webHidden/>
          </w:rPr>
        </w:r>
        <w:r w:rsidR="00F441CC" w:rsidRPr="00F441CC">
          <w:rPr>
            <w:bCs/>
            <w:noProof/>
            <w:webHidden/>
          </w:rPr>
          <w:fldChar w:fldCharType="separate"/>
        </w:r>
        <w:r w:rsidR="00F441CC" w:rsidRPr="00F441CC">
          <w:rPr>
            <w:bCs/>
            <w:noProof/>
            <w:webHidden/>
          </w:rPr>
          <w:t>17</w:t>
        </w:r>
        <w:r w:rsidR="00F441CC" w:rsidRPr="00F441CC">
          <w:rPr>
            <w:bCs/>
            <w:noProof/>
            <w:webHidden/>
          </w:rPr>
          <w:fldChar w:fldCharType="end"/>
        </w:r>
      </w:hyperlink>
    </w:p>
    <w:p w14:paraId="430A7CDC" w14:textId="07979966" w:rsidR="00F441CC" w:rsidRPr="00F441CC" w:rsidRDefault="0037093A">
      <w:pPr>
        <w:pStyle w:val="TDC3"/>
        <w:rPr>
          <w:rFonts w:asciiTheme="minorHAnsi" w:hAnsiTheme="minorHAnsi"/>
          <w:bCs/>
          <w:noProof/>
          <w:sz w:val="22"/>
          <w:szCs w:val="22"/>
          <w:lang w:val="es-CO" w:eastAsia="es-CO"/>
        </w:rPr>
      </w:pPr>
      <w:hyperlink w:anchor="_Toc104272124" w:history="1">
        <w:r w:rsidR="00F441CC" w:rsidRPr="00F441CC">
          <w:rPr>
            <w:rStyle w:val="Hipervnculo"/>
            <w:bCs/>
            <w:noProof/>
          </w:rPr>
          <w:t>3.3.1</w:t>
        </w:r>
        <w:r w:rsidR="00F441CC" w:rsidRPr="00F441CC">
          <w:rPr>
            <w:rFonts w:asciiTheme="minorHAnsi" w:hAnsiTheme="minorHAnsi"/>
            <w:bCs/>
            <w:noProof/>
            <w:sz w:val="22"/>
            <w:szCs w:val="22"/>
            <w:lang w:val="es-CO" w:eastAsia="es-CO"/>
          </w:rPr>
          <w:tab/>
        </w:r>
        <w:r w:rsidR="00F441CC" w:rsidRPr="00F441CC">
          <w:rPr>
            <w:rStyle w:val="Hipervnculo"/>
            <w:bCs/>
            <w:noProof/>
          </w:rPr>
          <w:t>Contraprestaciones a cargo de los operadores postales. Evolución histórica 2011 – 2021.</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_Toc104272124 \h </w:instrText>
        </w:r>
        <w:r w:rsidR="00F441CC" w:rsidRPr="00F441CC">
          <w:rPr>
            <w:bCs/>
            <w:noProof/>
            <w:webHidden/>
          </w:rPr>
        </w:r>
        <w:r w:rsidR="00F441CC" w:rsidRPr="00F441CC">
          <w:rPr>
            <w:bCs/>
            <w:noProof/>
            <w:webHidden/>
          </w:rPr>
          <w:fldChar w:fldCharType="separate"/>
        </w:r>
        <w:r w:rsidR="00F441CC" w:rsidRPr="00F441CC">
          <w:rPr>
            <w:bCs/>
            <w:noProof/>
            <w:webHidden/>
          </w:rPr>
          <w:t>17</w:t>
        </w:r>
        <w:r w:rsidR="00F441CC" w:rsidRPr="00F441CC">
          <w:rPr>
            <w:bCs/>
            <w:noProof/>
            <w:webHidden/>
          </w:rPr>
          <w:fldChar w:fldCharType="end"/>
        </w:r>
      </w:hyperlink>
    </w:p>
    <w:p w14:paraId="0464C962" w14:textId="57CB0C24" w:rsidR="00F441CC" w:rsidRPr="00F441CC" w:rsidRDefault="0037093A">
      <w:pPr>
        <w:pStyle w:val="TDC3"/>
        <w:rPr>
          <w:rFonts w:asciiTheme="minorHAnsi" w:hAnsiTheme="minorHAnsi"/>
          <w:bCs/>
          <w:noProof/>
          <w:sz w:val="22"/>
          <w:szCs w:val="22"/>
          <w:lang w:val="es-CO" w:eastAsia="es-CO"/>
        </w:rPr>
      </w:pPr>
      <w:hyperlink w:anchor="_Toc104272125" w:history="1">
        <w:r w:rsidR="00F441CC" w:rsidRPr="00F441CC">
          <w:rPr>
            <w:rStyle w:val="Hipervnculo"/>
            <w:bCs/>
            <w:noProof/>
          </w:rPr>
          <w:t>3.3.2</w:t>
        </w:r>
        <w:r w:rsidR="00F441CC" w:rsidRPr="00F441CC">
          <w:rPr>
            <w:rFonts w:asciiTheme="minorHAnsi" w:hAnsiTheme="minorHAnsi"/>
            <w:bCs/>
            <w:noProof/>
            <w:sz w:val="22"/>
            <w:szCs w:val="22"/>
            <w:lang w:val="es-CO" w:eastAsia="es-CO"/>
          </w:rPr>
          <w:tab/>
        </w:r>
        <w:r w:rsidR="00F441CC" w:rsidRPr="00F441CC">
          <w:rPr>
            <w:rStyle w:val="Hipervnculo"/>
            <w:bCs/>
            <w:noProof/>
          </w:rPr>
          <w:t>Contraprestaciones postales por servicios.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_Toc104272125 \h </w:instrText>
        </w:r>
        <w:r w:rsidR="00F441CC" w:rsidRPr="00F441CC">
          <w:rPr>
            <w:bCs/>
            <w:noProof/>
            <w:webHidden/>
          </w:rPr>
        </w:r>
        <w:r w:rsidR="00F441CC" w:rsidRPr="00F441CC">
          <w:rPr>
            <w:bCs/>
            <w:noProof/>
            <w:webHidden/>
          </w:rPr>
          <w:fldChar w:fldCharType="separate"/>
        </w:r>
        <w:r w:rsidR="00F441CC" w:rsidRPr="00F441CC">
          <w:rPr>
            <w:bCs/>
            <w:noProof/>
            <w:webHidden/>
          </w:rPr>
          <w:t>19</w:t>
        </w:r>
        <w:r w:rsidR="00F441CC" w:rsidRPr="00F441CC">
          <w:rPr>
            <w:bCs/>
            <w:noProof/>
            <w:webHidden/>
          </w:rPr>
          <w:fldChar w:fldCharType="end"/>
        </w:r>
      </w:hyperlink>
    </w:p>
    <w:p w14:paraId="298E76B1" w14:textId="0DDA0945" w:rsidR="00F441CC" w:rsidRPr="00F441CC" w:rsidRDefault="0037093A">
      <w:pPr>
        <w:pStyle w:val="TDC3"/>
        <w:rPr>
          <w:rFonts w:asciiTheme="minorHAnsi" w:hAnsiTheme="minorHAnsi"/>
          <w:bCs/>
          <w:noProof/>
          <w:sz w:val="22"/>
          <w:szCs w:val="22"/>
          <w:lang w:val="es-CO" w:eastAsia="es-CO"/>
        </w:rPr>
      </w:pPr>
      <w:hyperlink w:anchor="_Toc104272126" w:history="1">
        <w:r w:rsidR="00F441CC" w:rsidRPr="00F441CC">
          <w:rPr>
            <w:rStyle w:val="Hipervnculo"/>
            <w:bCs/>
            <w:noProof/>
          </w:rPr>
          <w:t>3.3.3</w:t>
        </w:r>
        <w:r w:rsidR="00F441CC" w:rsidRPr="00F441CC">
          <w:rPr>
            <w:rFonts w:asciiTheme="minorHAnsi" w:hAnsiTheme="minorHAnsi"/>
            <w:bCs/>
            <w:noProof/>
            <w:sz w:val="22"/>
            <w:szCs w:val="22"/>
            <w:lang w:val="es-CO" w:eastAsia="es-CO"/>
          </w:rPr>
          <w:tab/>
        </w:r>
        <w:r w:rsidR="00F441CC" w:rsidRPr="00F441CC">
          <w:rPr>
            <w:rStyle w:val="Hipervnculo"/>
            <w:bCs/>
            <w:noProof/>
          </w:rPr>
          <w:t>Uso de los recursos percibidos por concepto de contraprestación.</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_Toc104272126 \h </w:instrText>
        </w:r>
        <w:r w:rsidR="00F441CC" w:rsidRPr="00F441CC">
          <w:rPr>
            <w:bCs/>
            <w:noProof/>
            <w:webHidden/>
          </w:rPr>
        </w:r>
        <w:r w:rsidR="00F441CC" w:rsidRPr="00F441CC">
          <w:rPr>
            <w:bCs/>
            <w:noProof/>
            <w:webHidden/>
          </w:rPr>
          <w:fldChar w:fldCharType="separate"/>
        </w:r>
        <w:r w:rsidR="00F441CC" w:rsidRPr="00F441CC">
          <w:rPr>
            <w:bCs/>
            <w:noProof/>
            <w:webHidden/>
          </w:rPr>
          <w:t>20</w:t>
        </w:r>
        <w:r w:rsidR="00F441CC" w:rsidRPr="00F441CC">
          <w:rPr>
            <w:bCs/>
            <w:noProof/>
            <w:webHidden/>
          </w:rPr>
          <w:fldChar w:fldCharType="end"/>
        </w:r>
      </w:hyperlink>
    </w:p>
    <w:p w14:paraId="596C1FB8" w14:textId="3DE9C119" w:rsidR="00F441CC" w:rsidRPr="00F441CC" w:rsidRDefault="0037093A">
      <w:pPr>
        <w:pStyle w:val="TDC2"/>
        <w:rPr>
          <w:rFonts w:asciiTheme="minorHAnsi" w:hAnsiTheme="minorHAnsi"/>
          <w:bCs/>
          <w:noProof/>
          <w:sz w:val="22"/>
          <w:szCs w:val="22"/>
          <w:lang w:val="es-CO" w:eastAsia="es-CO"/>
        </w:rPr>
      </w:pPr>
      <w:hyperlink w:anchor="_Toc104272127" w:history="1">
        <w:r w:rsidR="00F441CC" w:rsidRPr="00F441CC">
          <w:rPr>
            <w:rStyle w:val="Hipervnculo"/>
            <w:bCs/>
            <w:noProof/>
          </w:rPr>
          <w:t>3.4</w:t>
        </w:r>
        <w:r w:rsidR="00F441CC" w:rsidRPr="00F441CC">
          <w:rPr>
            <w:rFonts w:asciiTheme="minorHAnsi" w:hAnsiTheme="minorHAnsi"/>
            <w:bCs/>
            <w:noProof/>
            <w:sz w:val="22"/>
            <w:szCs w:val="22"/>
            <w:lang w:val="es-CO" w:eastAsia="es-CO"/>
          </w:rPr>
          <w:tab/>
        </w:r>
        <w:r w:rsidR="00F441CC" w:rsidRPr="00F441CC">
          <w:rPr>
            <w:rStyle w:val="Hipervnculo"/>
            <w:bCs/>
            <w:noProof/>
          </w:rPr>
          <w:t>Flujo de caja del FUTIC - Sector postal: Fuentes y usos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_Toc104272127 \h </w:instrText>
        </w:r>
        <w:r w:rsidR="00F441CC" w:rsidRPr="00F441CC">
          <w:rPr>
            <w:bCs/>
            <w:noProof/>
            <w:webHidden/>
          </w:rPr>
        </w:r>
        <w:r w:rsidR="00F441CC" w:rsidRPr="00F441CC">
          <w:rPr>
            <w:bCs/>
            <w:noProof/>
            <w:webHidden/>
          </w:rPr>
          <w:fldChar w:fldCharType="separate"/>
        </w:r>
        <w:r w:rsidR="00F441CC" w:rsidRPr="00F441CC">
          <w:rPr>
            <w:bCs/>
            <w:noProof/>
            <w:webHidden/>
          </w:rPr>
          <w:t>21</w:t>
        </w:r>
        <w:r w:rsidR="00F441CC" w:rsidRPr="00F441CC">
          <w:rPr>
            <w:bCs/>
            <w:noProof/>
            <w:webHidden/>
          </w:rPr>
          <w:fldChar w:fldCharType="end"/>
        </w:r>
      </w:hyperlink>
    </w:p>
    <w:p w14:paraId="2409B142" w14:textId="621FF939" w:rsidR="00F441CC" w:rsidRPr="00F441CC" w:rsidRDefault="0037093A">
      <w:pPr>
        <w:pStyle w:val="TDC2"/>
        <w:rPr>
          <w:rFonts w:asciiTheme="minorHAnsi" w:hAnsiTheme="minorHAnsi"/>
          <w:bCs/>
          <w:noProof/>
          <w:sz w:val="22"/>
          <w:szCs w:val="22"/>
          <w:lang w:val="es-CO" w:eastAsia="es-CO"/>
        </w:rPr>
      </w:pPr>
      <w:hyperlink w:anchor="_Toc104272128" w:history="1">
        <w:r w:rsidR="00F441CC" w:rsidRPr="00F441CC">
          <w:rPr>
            <w:rStyle w:val="Hipervnculo"/>
            <w:bCs/>
            <w:noProof/>
          </w:rPr>
          <w:t>3.5</w:t>
        </w:r>
        <w:r w:rsidR="00F441CC" w:rsidRPr="00F441CC">
          <w:rPr>
            <w:rFonts w:asciiTheme="minorHAnsi" w:hAnsiTheme="minorHAnsi"/>
            <w:bCs/>
            <w:noProof/>
            <w:sz w:val="22"/>
            <w:szCs w:val="22"/>
            <w:lang w:val="es-CO" w:eastAsia="es-CO"/>
          </w:rPr>
          <w:tab/>
        </w:r>
        <w:r w:rsidR="00F441CC" w:rsidRPr="00F441CC">
          <w:rPr>
            <w:rStyle w:val="Hipervnculo"/>
            <w:bCs/>
            <w:noProof/>
          </w:rPr>
          <w:t>Conclusiones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_Toc104272128 \h </w:instrText>
        </w:r>
        <w:r w:rsidR="00F441CC" w:rsidRPr="00F441CC">
          <w:rPr>
            <w:bCs/>
            <w:noProof/>
            <w:webHidden/>
          </w:rPr>
        </w:r>
        <w:r w:rsidR="00F441CC" w:rsidRPr="00F441CC">
          <w:rPr>
            <w:bCs/>
            <w:noProof/>
            <w:webHidden/>
          </w:rPr>
          <w:fldChar w:fldCharType="separate"/>
        </w:r>
        <w:r w:rsidR="00F441CC" w:rsidRPr="00F441CC">
          <w:rPr>
            <w:bCs/>
            <w:noProof/>
            <w:webHidden/>
          </w:rPr>
          <w:t>23</w:t>
        </w:r>
        <w:r w:rsidR="00F441CC" w:rsidRPr="00F441CC">
          <w:rPr>
            <w:bCs/>
            <w:noProof/>
            <w:webHidden/>
          </w:rPr>
          <w:fldChar w:fldCharType="end"/>
        </w:r>
      </w:hyperlink>
    </w:p>
    <w:p w14:paraId="22E1FB88" w14:textId="2E051F79" w:rsidR="00F441CC" w:rsidRPr="00F441CC" w:rsidRDefault="0037093A">
      <w:pPr>
        <w:pStyle w:val="TDC1"/>
        <w:rPr>
          <w:rFonts w:asciiTheme="minorHAnsi" w:hAnsiTheme="minorHAnsi"/>
          <w:bCs/>
          <w:noProof/>
          <w:sz w:val="22"/>
          <w:szCs w:val="22"/>
          <w:lang w:val="es-CO" w:eastAsia="es-CO"/>
        </w:rPr>
      </w:pPr>
      <w:hyperlink w:anchor="_Toc104272129" w:history="1">
        <w:r w:rsidR="00F441CC" w:rsidRPr="00F441CC">
          <w:rPr>
            <w:rStyle w:val="Hipervnculo"/>
            <w:bCs/>
            <w:noProof/>
          </w:rPr>
          <w:t>4</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_Toc104272129 \h </w:instrText>
        </w:r>
        <w:r w:rsidR="00F441CC" w:rsidRPr="00F441CC">
          <w:rPr>
            <w:bCs/>
            <w:noProof/>
            <w:webHidden/>
          </w:rPr>
        </w:r>
        <w:r w:rsidR="00F441CC" w:rsidRPr="00F441CC">
          <w:rPr>
            <w:bCs/>
            <w:noProof/>
            <w:webHidden/>
          </w:rPr>
          <w:fldChar w:fldCharType="separate"/>
        </w:r>
        <w:r w:rsidR="00F441CC" w:rsidRPr="00F441CC">
          <w:rPr>
            <w:bCs/>
            <w:noProof/>
            <w:webHidden/>
          </w:rPr>
          <w:t>24</w:t>
        </w:r>
        <w:r w:rsidR="00F441CC" w:rsidRPr="00F441CC">
          <w:rPr>
            <w:bCs/>
            <w:noProof/>
            <w:webHidden/>
          </w:rPr>
          <w:fldChar w:fldCharType="end"/>
        </w:r>
      </w:hyperlink>
    </w:p>
    <w:p w14:paraId="527B5FFB" w14:textId="5291BE70" w:rsidR="00F441CC" w:rsidRPr="00F441CC" w:rsidRDefault="0037093A">
      <w:pPr>
        <w:pStyle w:val="TDC1"/>
        <w:rPr>
          <w:rFonts w:asciiTheme="minorHAnsi" w:hAnsiTheme="minorHAnsi"/>
          <w:bCs/>
          <w:noProof/>
          <w:sz w:val="22"/>
          <w:szCs w:val="22"/>
          <w:lang w:val="es-CO" w:eastAsia="es-CO"/>
        </w:rPr>
      </w:pPr>
      <w:hyperlink w:anchor="_Toc104272130" w:history="1">
        <w:r w:rsidR="00F441CC" w:rsidRPr="00F441CC">
          <w:rPr>
            <w:rStyle w:val="Hipervnculo"/>
            <w:bCs/>
            <w:noProof/>
          </w:rPr>
          <w:t>El Servicio Postal Universal (SPU): Marco legal, definiciones, componentes, tendencias históricas y mecanismo de cálculo.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_Toc104272130 \h </w:instrText>
        </w:r>
        <w:r w:rsidR="00F441CC" w:rsidRPr="00F441CC">
          <w:rPr>
            <w:bCs/>
            <w:noProof/>
            <w:webHidden/>
          </w:rPr>
        </w:r>
        <w:r w:rsidR="00F441CC" w:rsidRPr="00F441CC">
          <w:rPr>
            <w:bCs/>
            <w:noProof/>
            <w:webHidden/>
          </w:rPr>
          <w:fldChar w:fldCharType="separate"/>
        </w:r>
        <w:r w:rsidR="00F441CC" w:rsidRPr="00F441CC">
          <w:rPr>
            <w:bCs/>
            <w:noProof/>
            <w:webHidden/>
          </w:rPr>
          <w:t>24</w:t>
        </w:r>
        <w:r w:rsidR="00F441CC" w:rsidRPr="00F441CC">
          <w:rPr>
            <w:bCs/>
            <w:noProof/>
            <w:webHidden/>
          </w:rPr>
          <w:fldChar w:fldCharType="end"/>
        </w:r>
      </w:hyperlink>
    </w:p>
    <w:p w14:paraId="621DF646" w14:textId="1BE41A3D" w:rsidR="00F441CC" w:rsidRPr="00F441CC" w:rsidRDefault="0037093A">
      <w:pPr>
        <w:pStyle w:val="TDC2"/>
        <w:rPr>
          <w:rFonts w:asciiTheme="minorHAnsi" w:hAnsiTheme="minorHAnsi"/>
          <w:bCs/>
          <w:noProof/>
          <w:sz w:val="22"/>
          <w:szCs w:val="22"/>
          <w:lang w:val="es-CO" w:eastAsia="es-CO"/>
        </w:rPr>
      </w:pPr>
      <w:hyperlink w:anchor="_Toc104272131" w:history="1">
        <w:r w:rsidR="00F441CC" w:rsidRPr="00F441CC">
          <w:rPr>
            <w:rStyle w:val="Hipervnculo"/>
            <w:bCs/>
            <w:noProof/>
          </w:rPr>
          <w:t>4.1</w:t>
        </w:r>
        <w:r w:rsidR="00F441CC" w:rsidRPr="00F441CC">
          <w:rPr>
            <w:rFonts w:asciiTheme="minorHAnsi" w:hAnsiTheme="minorHAnsi"/>
            <w:bCs/>
            <w:noProof/>
            <w:sz w:val="22"/>
            <w:szCs w:val="22"/>
            <w:lang w:val="es-CO" w:eastAsia="es-CO"/>
          </w:rPr>
          <w:tab/>
        </w:r>
        <w:r w:rsidR="00F441CC" w:rsidRPr="00F441CC">
          <w:rPr>
            <w:rStyle w:val="Hipervnculo"/>
            <w:bCs/>
            <w:noProof/>
          </w:rPr>
          <w:t>Introducción.</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_Toc104272131 \h </w:instrText>
        </w:r>
        <w:r w:rsidR="00F441CC" w:rsidRPr="00F441CC">
          <w:rPr>
            <w:bCs/>
            <w:noProof/>
            <w:webHidden/>
          </w:rPr>
        </w:r>
        <w:r w:rsidR="00F441CC" w:rsidRPr="00F441CC">
          <w:rPr>
            <w:bCs/>
            <w:noProof/>
            <w:webHidden/>
          </w:rPr>
          <w:fldChar w:fldCharType="separate"/>
        </w:r>
        <w:r w:rsidR="00F441CC" w:rsidRPr="00F441CC">
          <w:rPr>
            <w:bCs/>
            <w:noProof/>
            <w:webHidden/>
          </w:rPr>
          <w:t>24</w:t>
        </w:r>
        <w:r w:rsidR="00F441CC" w:rsidRPr="00F441CC">
          <w:rPr>
            <w:bCs/>
            <w:noProof/>
            <w:webHidden/>
          </w:rPr>
          <w:fldChar w:fldCharType="end"/>
        </w:r>
      </w:hyperlink>
    </w:p>
    <w:p w14:paraId="327DD052" w14:textId="6D8D53C6" w:rsidR="00F441CC" w:rsidRPr="00F441CC" w:rsidRDefault="0037093A">
      <w:pPr>
        <w:pStyle w:val="TDC2"/>
        <w:rPr>
          <w:rFonts w:asciiTheme="minorHAnsi" w:hAnsiTheme="minorHAnsi"/>
          <w:bCs/>
          <w:noProof/>
          <w:sz w:val="22"/>
          <w:szCs w:val="22"/>
          <w:lang w:val="es-CO" w:eastAsia="es-CO"/>
        </w:rPr>
      </w:pPr>
      <w:hyperlink w:anchor="_Toc104272132" w:history="1">
        <w:r w:rsidR="00F441CC" w:rsidRPr="00F441CC">
          <w:rPr>
            <w:rStyle w:val="Hipervnculo"/>
            <w:bCs/>
            <w:noProof/>
          </w:rPr>
          <w:t>4.2</w:t>
        </w:r>
        <w:r w:rsidR="00F441CC" w:rsidRPr="00F441CC">
          <w:rPr>
            <w:rFonts w:asciiTheme="minorHAnsi" w:hAnsiTheme="minorHAnsi"/>
            <w:bCs/>
            <w:noProof/>
            <w:sz w:val="22"/>
            <w:szCs w:val="22"/>
            <w:lang w:val="es-CO" w:eastAsia="es-CO"/>
          </w:rPr>
          <w:tab/>
        </w:r>
        <w:r w:rsidR="00F441CC" w:rsidRPr="00F441CC">
          <w:rPr>
            <w:rStyle w:val="Hipervnculo"/>
            <w:bCs/>
            <w:noProof/>
          </w:rPr>
          <w:t>El Servicio Postal Universal (SPU) en Colombia: Definiciones, productos, usos, proyección del déficit.</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_Toc104272132 \h </w:instrText>
        </w:r>
        <w:r w:rsidR="00F441CC" w:rsidRPr="00F441CC">
          <w:rPr>
            <w:bCs/>
            <w:noProof/>
            <w:webHidden/>
          </w:rPr>
        </w:r>
        <w:r w:rsidR="00F441CC" w:rsidRPr="00F441CC">
          <w:rPr>
            <w:bCs/>
            <w:noProof/>
            <w:webHidden/>
          </w:rPr>
          <w:fldChar w:fldCharType="separate"/>
        </w:r>
        <w:r w:rsidR="00F441CC" w:rsidRPr="00F441CC">
          <w:rPr>
            <w:bCs/>
            <w:noProof/>
            <w:webHidden/>
          </w:rPr>
          <w:t>24</w:t>
        </w:r>
        <w:r w:rsidR="00F441CC" w:rsidRPr="00F441CC">
          <w:rPr>
            <w:bCs/>
            <w:noProof/>
            <w:webHidden/>
          </w:rPr>
          <w:fldChar w:fldCharType="end"/>
        </w:r>
      </w:hyperlink>
    </w:p>
    <w:p w14:paraId="1FAD9B0E" w14:textId="34619C6B" w:rsidR="00F441CC" w:rsidRPr="00F441CC" w:rsidRDefault="0037093A">
      <w:pPr>
        <w:pStyle w:val="TDC3"/>
        <w:rPr>
          <w:rFonts w:asciiTheme="minorHAnsi" w:hAnsiTheme="minorHAnsi"/>
          <w:bCs/>
          <w:noProof/>
          <w:sz w:val="22"/>
          <w:szCs w:val="22"/>
          <w:lang w:val="es-CO" w:eastAsia="es-CO"/>
        </w:rPr>
      </w:pPr>
      <w:hyperlink w:anchor="_Toc104272133" w:history="1">
        <w:r w:rsidR="00F441CC" w:rsidRPr="00F441CC">
          <w:rPr>
            <w:rStyle w:val="Hipervnculo"/>
            <w:bCs/>
            <w:noProof/>
          </w:rPr>
          <w:t>4.2.1</w:t>
        </w:r>
        <w:r w:rsidR="00F441CC" w:rsidRPr="00F441CC">
          <w:rPr>
            <w:rFonts w:asciiTheme="minorHAnsi" w:hAnsiTheme="minorHAnsi"/>
            <w:bCs/>
            <w:noProof/>
            <w:sz w:val="22"/>
            <w:szCs w:val="22"/>
            <w:lang w:val="es-CO" w:eastAsia="es-CO"/>
          </w:rPr>
          <w:tab/>
        </w:r>
        <w:r w:rsidR="00F441CC" w:rsidRPr="00F441CC">
          <w:rPr>
            <w:rStyle w:val="Hipervnculo"/>
            <w:bCs/>
            <w:noProof/>
          </w:rPr>
          <w:t>Definición del SPU.</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_Toc104272133 \h </w:instrText>
        </w:r>
        <w:r w:rsidR="00F441CC" w:rsidRPr="00F441CC">
          <w:rPr>
            <w:bCs/>
            <w:noProof/>
            <w:webHidden/>
          </w:rPr>
        </w:r>
        <w:r w:rsidR="00F441CC" w:rsidRPr="00F441CC">
          <w:rPr>
            <w:bCs/>
            <w:noProof/>
            <w:webHidden/>
          </w:rPr>
          <w:fldChar w:fldCharType="separate"/>
        </w:r>
        <w:r w:rsidR="00F441CC" w:rsidRPr="00F441CC">
          <w:rPr>
            <w:bCs/>
            <w:noProof/>
            <w:webHidden/>
          </w:rPr>
          <w:t>24</w:t>
        </w:r>
        <w:r w:rsidR="00F441CC" w:rsidRPr="00F441CC">
          <w:rPr>
            <w:bCs/>
            <w:noProof/>
            <w:webHidden/>
          </w:rPr>
          <w:fldChar w:fldCharType="end"/>
        </w:r>
      </w:hyperlink>
    </w:p>
    <w:p w14:paraId="62222394" w14:textId="7F40B54A" w:rsidR="00F441CC" w:rsidRPr="00F441CC" w:rsidRDefault="0037093A">
      <w:pPr>
        <w:pStyle w:val="TDC3"/>
        <w:rPr>
          <w:rFonts w:asciiTheme="minorHAnsi" w:hAnsiTheme="minorHAnsi"/>
          <w:bCs/>
          <w:noProof/>
          <w:sz w:val="22"/>
          <w:szCs w:val="22"/>
          <w:lang w:val="es-CO" w:eastAsia="es-CO"/>
        </w:rPr>
      </w:pPr>
      <w:hyperlink w:anchor="_Toc104272134" w:history="1">
        <w:r w:rsidR="00F441CC" w:rsidRPr="00F441CC">
          <w:rPr>
            <w:rStyle w:val="Hipervnculo"/>
            <w:bCs/>
            <w:noProof/>
          </w:rPr>
          <w:t>4.2.2</w:t>
        </w:r>
        <w:r w:rsidR="00F441CC" w:rsidRPr="00F441CC">
          <w:rPr>
            <w:rFonts w:asciiTheme="minorHAnsi" w:hAnsiTheme="minorHAnsi"/>
            <w:bCs/>
            <w:noProof/>
            <w:sz w:val="22"/>
            <w:szCs w:val="22"/>
            <w:lang w:val="es-CO" w:eastAsia="es-CO"/>
          </w:rPr>
          <w:tab/>
        </w:r>
        <w:r w:rsidR="00F441CC" w:rsidRPr="00F441CC">
          <w:rPr>
            <w:rStyle w:val="Hipervnculo"/>
            <w:bCs/>
            <w:noProof/>
          </w:rPr>
          <w:t>Servicios exclusivos del OPO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_Toc104272134 \h </w:instrText>
        </w:r>
        <w:r w:rsidR="00F441CC" w:rsidRPr="00F441CC">
          <w:rPr>
            <w:bCs/>
            <w:noProof/>
            <w:webHidden/>
          </w:rPr>
        </w:r>
        <w:r w:rsidR="00F441CC" w:rsidRPr="00F441CC">
          <w:rPr>
            <w:bCs/>
            <w:noProof/>
            <w:webHidden/>
          </w:rPr>
          <w:fldChar w:fldCharType="separate"/>
        </w:r>
        <w:r w:rsidR="00F441CC" w:rsidRPr="00F441CC">
          <w:rPr>
            <w:bCs/>
            <w:noProof/>
            <w:webHidden/>
          </w:rPr>
          <w:t>25</w:t>
        </w:r>
        <w:r w:rsidR="00F441CC" w:rsidRPr="00F441CC">
          <w:rPr>
            <w:bCs/>
            <w:noProof/>
            <w:webHidden/>
          </w:rPr>
          <w:fldChar w:fldCharType="end"/>
        </w:r>
      </w:hyperlink>
    </w:p>
    <w:p w14:paraId="52BBC725" w14:textId="0DE4EDF9" w:rsidR="00F441CC" w:rsidRPr="00F441CC" w:rsidRDefault="0037093A">
      <w:pPr>
        <w:pStyle w:val="TDC3"/>
        <w:rPr>
          <w:rFonts w:asciiTheme="minorHAnsi" w:hAnsiTheme="minorHAnsi"/>
          <w:bCs/>
          <w:noProof/>
          <w:sz w:val="22"/>
          <w:szCs w:val="22"/>
          <w:lang w:val="es-CO" w:eastAsia="es-CO"/>
        </w:rPr>
      </w:pPr>
      <w:hyperlink w:anchor="_Toc104272135" w:history="1">
        <w:r w:rsidR="00F441CC" w:rsidRPr="00F441CC">
          <w:rPr>
            <w:rStyle w:val="Hipervnculo"/>
            <w:bCs/>
            <w:noProof/>
          </w:rPr>
          <w:t>4.2.3</w:t>
        </w:r>
        <w:r w:rsidR="00F441CC" w:rsidRPr="00F441CC">
          <w:rPr>
            <w:rFonts w:asciiTheme="minorHAnsi" w:hAnsiTheme="minorHAnsi"/>
            <w:bCs/>
            <w:noProof/>
            <w:sz w:val="22"/>
            <w:szCs w:val="22"/>
            <w:lang w:val="es-CO" w:eastAsia="es-CO"/>
          </w:rPr>
          <w:tab/>
        </w:r>
        <w:r w:rsidR="00F441CC" w:rsidRPr="00F441CC">
          <w:rPr>
            <w:rStyle w:val="Hipervnculo"/>
            <w:bCs/>
            <w:noProof/>
          </w:rPr>
          <w:t>Servicios postales que hacen parte del SPU.</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_Toc104272135 \h </w:instrText>
        </w:r>
        <w:r w:rsidR="00F441CC" w:rsidRPr="00F441CC">
          <w:rPr>
            <w:bCs/>
            <w:noProof/>
            <w:webHidden/>
          </w:rPr>
        </w:r>
        <w:r w:rsidR="00F441CC" w:rsidRPr="00F441CC">
          <w:rPr>
            <w:bCs/>
            <w:noProof/>
            <w:webHidden/>
          </w:rPr>
          <w:fldChar w:fldCharType="separate"/>
        </w:r>
        <w:r w:rsidR="00F441CC" w:rsidRPr="00F441CC">
          <w:rPr>
            <w:bCs/>
            <w:noProof/>
            <w:webHidden/>
          </w:rPr>
          <w:t>25</w:t>
        </w:r>
        <w:r w:rsidR="00F441CC" w:rsidRPr="00F441CC">
          <w:rPr>
            <w:bCs/>
            <w:noProof/>
            <w:webHidden/>
          </w:rPr>
          <w:fldChar w:fldCharType="end"/>
        </w:r>
      </w:hyperlink>
    </w:p>
    <w:p w14:paraId="08D3C33E" w14:textId="615C7509" w:rsidR="00F441CC" w:rsidRPr="00F441CC" w:rsidRDefault="0037093A">
      <w:pPr>
        <w:pStyle w:val="TDC3"/>
        <w:rPr>
          <w:rFonts w:asciiTheme="minorHAnsi" w:hAnsiTheme="minorHAnsi"/>
          <w:bCs/>
          <w:noProof/>
          <w:sz w:val="22"/>
          <w:szCs w:val="22"/>
          <w:lang w:val="es-CO" w:eastAsia="es-CO"/>
        </w:rPr>
      </w:pPr>
      <w:hyperlink w:anchor="_Toc104272136" w:history="1">
        <w:r w:rsidR="00F441CC" w:rsidRPr="00F441CC">
          <w:rPr>
            <w:rStyle w:val="Hipervnculo"/>
            <w:bCs/>
            <w:noProof/>
          </w:rPr>
          <w:t>4.2.4</w:t>
        </w:r>
        <w:r w:rsidR="00F441CC" w:rsidRPr="00F441CC">
          <w:rPr>
            <w:rFonts w:asciiTheme="minorHAnsi" w:hAnsiTheme="minorHAnsi"/>
            <w:bCs/>
            <w:noProof/>
            <w:sz w:val="22"/>
            <w:szCs w:val="22"/>
            <w:lang w:val="es-CO" w:eastAsia="es-CO"/>
          </w:rPr>
          <w:tab/>
        </w:r>
        <w:r w:rsidR="00F441CC" w:rsidRPr="00F441CC">
          <w:rPr>
            <w:rStyle w:val="Hipervnculo"/>
            <w:bCs/>
            <w:noProof/>
          </w:rPr>
          <w:t>Destinación de los recursos percibidos de la contraprestación postal.</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_Toc104272136 \h </w:instrText>
        </w:r>
        <w:r w:rsidR="00F441CC" w:rsidRPr="00F441CC">
          <w:rPr>
            <w:bCs/>
            <w:noProof/>
            <w:webHidden/>
          </w:rPr>
        </w:r>
        <w:r w:rsidR="00F441CC" w:rsidRPr="00F441CC">
          <w:rPr>
            <w:bCs/>
            <w:noProof/>
            <w:webHidden/>
          </w:rPr>
          <w:fldChar w:fldCharType="separate"/>
        </w:r>
        <w:r w:rsidR="00F441CC" w:rsidRPr="00F441CC">
          <w:rPr>
            <w:bCs/>
            <w:noProof/>
            <w:webHidden/>
          </w:rPr>
          <w:t>27</w:t>
        </w:r>
        <w:r w:rsidR="00F441CC" w:rsidRPr="00F441CC">
          <w:rPr>
            <w:bCs/>
            <w:noProof/>
            <w:webHidden/>
          </w:rPr>
          <w:fldChar w:fldCharType="end"/>
        </w:r>
      </w:hyperlink>
    </w:p>
    <w:p w14:paraId="3EF5CB1C" w14:textId="3DF68521" w:rsidR="00F441CC" w:rsidRPr="00F441CC" w:rsidRDefault="0037093A">
      <w:pPr>
        <w:pStyle w:val="TDC2"/>
        <w:rPr>
          <w:rFonts w:asciiTheme="minorHAnsi" w:hAnsiTheme="minorHAnsi"/>
          <w:bCs/>
          <w:noProof/>
          <w:sz w:val="22"/>
          <w:szCs w:val="22"/>
          <w:lang w:val="es-CO" w:eastAsia="es-CO"/>
        </w:rPr>
      </w:pPr>
      <w:hyperlink w:anchor="_Toc104272137" w:history="1">
        <w:r w:rsidR="00F441CC" w:rsidRPr="00F441CC">
          <w:rPr>
            <w:rStyle w:val="Hipervnculo"/>
            <w:bCs/>
            <w:noProof/>
          </w:rPr>
          <w:t>4.3</w:t>
        </w:r>
        <w:r w:rsidR="00F441CC" w:rsidRPr="00F441CC">
          <w:rPr>
            <w:rFonts w:asciiTheme="minorHAnsi" w:hAnsiTheme="minorHAnsi"/>
            <w:bCs/>
            <w:noProof/>
            <w:sz w:val="22"/>
            <w:szCs w:val="22"/>
            <w:lang w:val="es-CO" w:eastAsia="es-CO"/>
          </w:rPr>
          <w:tab/>
        </w:r>
        <w:r w:rsidR="00F441CC" w:rsidRPr="00F441CC">
          <w:rPr>
            <w:rStyle w:val="Hipervnculo"/>
            <w:bCs/>
            <w:noProof/>
          </w:rPr>
          <w:t>El tope de recursos a transferir por parte del Fondo a SPN por el déficit del SPU.</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_Toc104272137 \h </w:instrText>
        </w:r>
        <w:r w:rsidR="00F441CC" w:rsidRPr="00F441CC">
          <w:rPr>
            <w:bCs/>
            <w:noProof/>
            <w:webHidden/>
          </w:rPr>
        </w:r>
        <w:r w:rsidR="00F441CC" w:rsidRPr="00F441CC">
          <w:rPr>
            <w:bCs/>
            <w:noProof/>
            <w:webHidden/>
          </w:rPr>
          <w:fldChar w:fldCharType="separate"/>
        </w:r>
        <w:r w:rsidR="00F441CC" w:rsidRPr="00F441CC">
          <w:rPr>
            <w:bCs/>
            <w:noProof/>
            <w:webHidden/>
          </w:rPr>
          <w:t>27</w:t>
        </w:r>
        <w:r w:rsidR="00F441CC" w:rsidRPr="00F441CC">
          <w:rPr>
            <w:bCs/>
            <w:noProof/>
            <w:webHidden/>
          </w:rPr>
          <w:fldChar w:fldCharType="end"/>
        </w:r>
      </w:hyperlink>
    </w:p>
    <w:p w14:paraId="767DC3BD" w14:textId="114750A5" w:rsidR="00F441CC" w:rsidRPr="00F441CC" w:rsidRDefault="0037093A">
      <w:pPr>
        <w:pStyle w:val="TDC2"/>
        <w:rPr>
          <w:rFonts w:asciiTheme="minorHAnsi" w:hAnsiTheme="minorHAnsi"/>
          <w:bCs/>
          <w:noProof/>
          <w:sz w:val="22"/>
          <w:szCs w:val="22"/>
          <w:lang w:val="es-CO" w:eastAsia="es-CO"/>
        </w:rPr>
      </w:pPr>
      <w:hyperlink w:anchor="_Toc104272138" w:history="1">
        <w:r w:rsidR="00F441CC" w:rsidRPr="00F441CC">
          <w:rPr>
            <w:rStyle w:val="Hipervnculo"/>
            <w:bCs/>
            <w:noProof/>
          </w:rPr>
          <w:t>4.4</w:t>
        </w:r>
        <w:r w:rsidR="00F441CC" w:rsidRPr="00F441CC">
          <w:rPr>
            <w:rFonts w:asciiTheme="minorHAnsi" w:hAnsiTheme="minorHAnsi"/>
            <w:bCs/>
            <w:noProof/>
            <w:sz w:val="22"/>
            <w:szCs w:val="22"/>
            <w:lang w:val="es-CO" w:eastAsia="es-CO"/>
          </w:rPr>
          <w:tab/>
        </w:r>
        <w:r w:rsidR="00F441CC" w:rsidRPr="00F441CC">
          <w:rPr>
            <w:rStyle w:val="Hipervnculo"/>
            <w:bCs/>
            <w:noProof/>
          </w:rPr>
          <w:t>Evolución del déficit en la prestación del SPU en el período 2016 – 2021.</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_Toc104272138 \h </w:instrText>
        </w:r>
        <w:r w:rsidR="00F441CC" w:rsidRPr="00F441CC">
          <w:rPr>
            <w:bCs/>
            <w:noProof/>
            <w:webHidden/>
          </w:rPr>
        </w:r>
        <w:r w:rsidR="00F441CC" w:rsidRPr="00F441CC">
          <w:rPr>
            <w:bCs/>
            <w:noProof/>
            <w:webHidden/>
          </w:rPr>
          <w:fldChar w:fldCharType="separate"/>
        </w:r>
        <w:r w:rsidR="00F441CC" w:rsidRPr="00F441CC">
          <w:rPr>
            <w:bCs/>
            <w:noProof/>
            <w:webHidden/>
          </w:rPr>
          <w:t>28</w:t>
        </w:r>
        <w:r w:rsidR="00F441CC" w:rsidRPr="00F441CC">
          <w:rPr>
            <w:bCs/>
            <w:noProof/>
            <w:webHidden/>
          </w:rPr>
          <w:fldChar w:fldCharType="end"/>
        </w:r>
      </w:hyperlink>
    </w:p>
    <w:p w14:paraId="51CB304E" w14:textId="343A8081" w:rsidR="00F441CC" w:rsidRPr="00F441CC" w:rsidRDefault="0037093A">
      <w:pPr>
        <w:pStyle w:val="TDC2"/>
        <w:rPr>
          <w:rFonts w:asciiTheme="minorHAnsi" w:hAnsiTheme="minorHAnsi"/>
          <w:bCs/>
          <w:noProof/>
          <w:sz w:val="22"/>
          <w:szCs w:val="22"/>
          <w:lang w:val="es-CO" w:eastAsia="es-CO"/>
        </w:rPr>
      </w:pPr>
      <w:hyperlink w:anchor="_Toc104272139" w:history="1">
        <w:r w:rsidR="00F441CC" w:rsidRPr="00F441CC">
          <w:rPr>
            <w:rStyle w:val="Hipervnculo"/>
            <w:bCs/>
            <w:noProof/>
          </w:rPr>
          <w:t>4.5</w:t>
        </w:r>
        <w:r w:rsidR="00F441CC" w:rsidRPr="00F441CC">
          <w:rPr>
            <w:rFonts w:asciiTheme="minorHAnsi" w:hAnsiTheme="minorHAnsi"/>
            <w:bCs/>
            <w:noProof/>
            <w:sz w:val="22"/>
            <w:szCs w:val="22"/>
            <w:lang w:val="es-CO" w:eastAsia="es-CO"/>
          </w:rPr>
          <w:tab/>
        </w:r>
        <w:r w:rsidR="00F441CC" w:rsidRPr="00F441CC">
          <w:rPr>
            <w:rStyle w:val="Hipervnculo"/>
            <w:bCs/>
            <w:noProof/>
          </w:rPr>
          <w:t>Conclusiones.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_Toc104272139 \h </w:instrText>
        </w:r>
        <w:r w:rsidR="00F441CC" w:rsidRPr="00F441CC">
          <w:rPr>
            <w:bCs/>
            <w:noProof/>
            <w:webHidden/>
          </w:rPr>
        </w:r>
        <w:r w:rsidR="00F441CC" w:rsidRPr="00F441CC">
          <w:rPr>
            <w:bCs/>
            <w:noProof/>
            <w:webHidden/>
          </w:rPr>
          <w:fldChar w:fldCharType="separate"/>
        </w:r>
        <w:r w:rsidR="00F441CC" w:rsidRPr="00F441CC">
          <w:rPr>
            <w:bCs/>
            <w:noProof/>
            <w:webHidden/>
          </w:rPr>
          <w:t>29</w:t>
        </w:r>
        <w:r w:rsidR="00F441CC" w:rsidRPr="00F441CC">
          <w:rPr>
            <w:bCs/>
            <w:noProof/>
            <w:webHidden/>
          </w:rPr>
          <w:fldChar w:fldCharType="end"/>
        </w:r>
      </w:hyperlink>
    </w:p>
    <w:p w14:paraId="7B0909E8" w14:textId="722CC61C" w:rsidR="00F441CC" w:rsidRPr="00F441CC" w:rsidRDefault="0037093A">
      <w:pPr>
        <w:pStyle w:val="TDC1"/>
        <w:rPr>
          <w:rFonts w:asciiTheme="minorHAnsi" w:hAnsiTheme="minorHAnsi"/>
          <w:bCs/>
          <w:noProof/>
          <w:sz w:val="22"/>
          <w:szCs w:val="22"/>
          <w:lang w:val="es-CO" w:eastAsia="es-CO"/>
        </w:rPr>
      </w:pPr>
      <w:hyperlink w:anchor="_Toc104272140" w:history="1">
        <w:r w:rsidR="00F441CC" w:rsidRPr="00F441CC">
          <w:rPr>
            <w:rStyle w:val="Hipervnculo"/>
            <w:bCs/>
            <w:noProof/>
          </w:rPr>
          <w:t>5</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_Toc104272140 \h </w:instrText>
        </w:r>
        <w:r w:rsidR="00F441CC" w:rsidRPr="00F441CC">
          <w:rPr>
            <w:bCs/>
            <w:noProof/>
            <w:webHidden/>
          </w:rPr>
        </w:r>
        <w:r w:rsidR="00F441CC" w:rsidRPr="00F441CC">
          <w:rPr>
            <w:bCs/>
            <w:noProof/>
            <w:webHidden/>
          </w:rPr>
          <w:fldChar w:fldCharType="separate"/>
        </w:r>
        <w:r w:rsidR="00F441CC" w:rsidRPr="00F441CC">
          <w:rPr>
            <w:bCs/>
            <w:noProof/>
            <w:webHidden/>
          </w:rPr>
          <w:t>30</w:t>
        </w:r>
        <w:r w:rsidR="00F441CC" w:rsidRPr="00F441CC">
          <w:rPr>
            <w:bCs/>
            <w:noProof/>
            <w:webHidden/>
          </w:rPr>
          <w:fldChar w:fldCharType="end"/>
        </w:r>
      </w:hyperlink>
    </w:p>
    <w:p w14:paraId="24CE06DD" w14:textId="7F9D6F37" w:rsidR="00F441CC" w:rsidRPr="00F441CC" w:rsidRDefault="0037093A">
      <w:pPr>
        <w:pStyle w:val="TDC1"/>
        <w:rPr>
          <w:rFonts w:asciiTheme="minorHAnsi" w:hAnsiTheme="minorHAnsi"/>
          <w:bCs/>
          <w:noProof/>
          <w:sz w:val="22"/>
          <w:szCs w:val="22"/>
          <w:lang w:val="es-CO" w:eastAsia="es-CO"/>
        </w:rPr>
      </w:pPr>
      <w:hyperlink w:anchor="_Toc104272141" w:history="1">
        <w:r w:rsidR="00F441CC" w:rsidRPr="00F441CC">
          <w:rPr>
            <w:rStyle w:val="Hipervnculo"/>
            <w:bCs/>
            <w:noProof/>
          </w:rPr>
          <w:t>El mercado de Mensajería Expresa en Colombia para el período 2022 – 2024.</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_Toc104272141 \h </w:instrText>
        </w:r>
        <w:r w:rsidR="00F441CC" w:rsidRPr="00F441CC">
          <w:rPr>
            <w:bCs/>
            <w:noProof/>
            <w:webHidden/>
          </w:rPr>
        </w:r>
        <w:r w:rsidR="00F441CC" w:rsidRPr="00F441CC">
          <w:rPr>
            <w:bCs/>
            <w:noProof/>
            <w:webHidden/>
          </w:rPr>
          <w:fldChar w:fldCharType="separate"/>
        </w:r>
        <w:r w:rsidR="00F441CC" w:rsidRPr="00F441CC">
          <w:rPr>
            <w:bCs/>
            <w:noProof/>
            <w:webHidden/>
          </w:rPr>
          <w:t>30</w:t>
        </w:r>
        <w:r w:rsidR="00F441CC" w:rsidRPr="00F441CC">
          <w:rPr>
            <w:bCs/>
            <w:noProof/>
            <w:webHidden/>
          </w:rPr>
          <w:fldChar w:fldCharType="end"/>
        </w:r>
      </w:hyperlink>
    </w:p>
    <w:p w14:paraId="0EEA1040" w14:textId="6D661B7C" w:rsidR="00F441CC" w:rsidRPr="00F441CC" w:rsidRDefault="0037093A">
      <w:pPr>
        <w:pStyle w:val="TDC2"/>
        <w:rPr>
          <w:rFonts w:asciiTheme="minorHAnsi" w:hAnsiTheme="minorHAnsi"/>
          <w:bCs/>
          <w:noProof/>
          <w:sz w:val="22"/>
          <w:szCs w:val="22"/>
          <w:lang w:val="es-CO" w:eastAsia="es-CO"/>
        </w:rPr>
      </w:pPr>
      <w:hyperlink w:anchor="_Toc104272142" w:history="1">
        <w:r w:rsidR="00F441CC" w:rsidRPr="00F441CC">
          <w:rPr>
            <w:rStyle w:val="Hipervnculo"/>
            <w:bCs/>
            <w:noProof/>
          </w:rPr>
          <w:t>5.1</w:t>
        </w:r>
        <w:r w:rsidR="00F441CC" w:rsidRPr="00F441CC">
          <w:rPr>
            <w:rFonts w:asciiTheme="minorHAnsi" w:hAnsiTheme="minorHAnsi"/>
            <w:bCs/>
            <w:noProof/>
            <w:sz w:val="22"/>
            <w:szCs w:val="22"/>
            <w:lang w:val="es-CO" w:eastAsia="es-CO"/>
          </w:rPr>
          <w:tab/>
        </w:r>
        <w:r w:rsidR="00F441CC" w:rsidRPr="00F441CC">
          <w:rPr>
            <w:rStyle w:val="Hipervnculo"/>
            <w:bCs/>
            <w:noProof/>
          </w:rPr>
          <w:t>El mercado de mensajería expresa: Evolución, estructura y segmentos.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_Toc104272142 \h </w:instrText>
        </w:r>
        <w:r w:rsidR="00F441CC" w:rsidRPr="00F441CC">
          <w:rPr>
            <w:bCs/>
            <w:noProof/>
            <w:webHidden/>
          </w:rPr>
        </w:r>
        <w:r w:rsidR="00F441CC" w:rsidRPr="00F441CC">
          <w:rPr>
            <w:bCs/>
            <w:noProof/>
            <w:webHidden/>
          </w:rPr>
          <w:fldChar w:fldCharType="separate"/>
        </w:r>
        <w:r w:rsidR="00F441CC" w:rsidRPr="00F441CC">
          <w:rPr>
            <w:bCs/>
            <w:noProof/>
            <w:webHidden/>
          </w:rPr>
          <w:t>30</w:t>
        </w:r>
        <w:r w:rsidR="00F441CC" w:rsidRPr="00F441CC">
          <w:rPr>
            <w:bCs/>
            <w:noProof/>
            <w:webHidden/>
          </w:rPr>
          <w:fldChar w:fldCharType="end"/>
        </w:r>
      </w:hyperlink>
    </w:p>
    <w:p w14:paraId="447E110F" w14:textId="6F275DA0" w:rsidR="00F441CC" w:rsidRPr="00F441CC" w:rsidRDefault="0037093A">
      <w:pPr>
        <w:pStyle w:val="TDC3"/>
        <w:rPr>
          <w:rFonts w:asciiTheme="minorHAnsi" w:hAnsiTheme="minorHAnsi"/>
          <w:bCs/>
          <w:noProof/>
          <w:sz w:val="22"/>
          <w:szCs w:val="22"/>
          <w:lang w:val="es-CO" w:eastAsia="es-CO"/>
        </w:rPr>
      </w:pPr>
      <w:hyperlink w:anchor="_Toc104272143" w:history="1">
        <w:r w:rsidR="00F441CC" w:rsidRPr="00F441CC">
          <w:rPr>
            <w:rStyle w:val="Hipervnculo"/>
            <w:bCs/>
            <w:noProof/>
          </w:rPr>
          <w:t>5.1.1</w:t>
        </w:r>
        <w:r w:rsidR="00F441CC" w:rsidRPr="00F441CC">
          <w:rPr>
            <w:rFonts w:asciiTheme="minorHAnsi" w:hAnsiTheme="minorHAnsi"/>
            <w:bCs/>
            <w:noProof/>
            <w:sz w:val="22"/>
            <w:szCs w:val="22"/>
            <w:lang w:val="es-CO" w:eastAsia="es-CO"/>
          </w:rPr>
          <w:tab/>
        </w:r>
        <w:r w:rsidR="00F441CC" w:rsidRPr="00F441CC">
          <w:rPr>
            <w:rStyle w:val="Hipervnculo"/>
            <w:bCs/>
            <w:noProof/>
          </w:rPr>
          <w:t>Envíos masivos: El mercado  de Mensajería Expresa y de Correo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_Toc104272143 \h </w:instrText>
        </w:r>
        <w:r w:rsidR="00F441CC" w:rsidRPr="00F441CC">
          <w:rPr>
            <w:bCs/>
            <w:noProof/>
            <w:webHidden/>
          </w:rPr>
        </w:r>
        <w:r w:rsidR="00F441CC" w:rsidRPr="00F441CC">
          <w:rPr>
            <w:bCs/>
            <w:noProof/>
            <w:webHidden/>
          </w:rPr>
          <w:fldChar w:fldCharType="separate"/>
        </w:r>
        <w:r w:rsidR="00F441CC" w:rsidRPr="00F441CC">
          <w:rPr>
            <w:bCs/>
            <w:noProof/>
            <w:webHidden/>
          </w:rPr>
          <w:t>30</w:t>
        </w:r>
        <w:r w:rsidR="00F441CC" w:rsidRPr="00F441CC">
          <w:rPr>
            <w:bCs/>
            <w:noProof/>
            <w:webHidden/>
          </w:rPr>
          <w:fldChar w:fldCharType="end"/>
        </w:r>
      </w:hyperlink>
    </w:p>
    <w:p w14:paraId="336153ED" w14:textId="0AEE3DAA" w:rsidR="00F441CC" w:rsidRPr="00F441CC" w:rsidRDefault="0037093A">
      <w:pPr>
        <w:pStyle w:val="TDC4"/>
        <w:rPr>
          <w:rFonts w:asciiTheme="minorHAnsi" w:hAnsiTheme="minorHAnsi"/>
          <w:bCs/>
          <w:noProof/>
          <w:sz w:val="22"/>
          <w:szCs w:val="22"/>
          <w:lang w:val="es-CO" w:eastAsia="es-CO"/>
        </w:rPr>
      </w:pPr>
      <w:hyperlink w:anchor="_Toc104272144" w:history="1">
        <w:r w:rsidR="00F441CC" w:rsidRPr="00F441CC">
          <w:rPr>
            <w:rStyle w:val="Hipervnculo"/>
            <w:bCs/>
            <w:noProof/>
          </w:rPr>
          <w:t>5.1.1.1</w:t>
        </w:r>
        <w:r w:rsidR="00F441CC" w:rsidRPr="00F441CC">
          <w:rPr>
            <w:rFonts w:asciiTheme="minorHAnsi" w:hAnsiTheme="minorHAnsi"/>
            <w:bCs/>
            <w:noProof/>
            <w:sz w:val="22"/>
            <w:szCs w:val="22"/>
            <w:lang w:val="es-CO" w:eastAsia="es-CO"/>
          </w:rPr>
          <w:tab/>
        </w:r>
        <w:r w:rsidR="00F441CC" w:rsidRPr="00F441CC">
          <w:rPr>
            <w:rStyle w:val="Hipervnculo"/>
            <w:bCs/>
            <w:noProof/>
          </w:rPr>
          <w:t>El mercado de envíos masivos: Tendencias y estructura histórica.</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_Toc104272144 \h </w:instrText>
        </w:r>
        <w:r w:rsidR="00F441CC" w:rsidRPr="00F441CC">
          <w:rPr>
            <w:bCs/>
            <w:noProof/>
            <w:webHidden/>
          </w:rPr>
        </w:r>
        <w:r w:rsidR="00F441CC" w:rsidRPr="00F441CC">
          <w:rPr>
            <w:bCs/>
            <w:noProof/>
            <w:webHidden/>
          </w:rPr>
          <w:fldChar w:fldCharType="separate"/>
        </w:r>
        <w:r w:rsidR="00F441CC" w:rsidRPr="00F441CC">
          <w:rPr>
            <w:bCs/>
            <w:noProof/>
            <w:webHidden/>
          </w:rPr>
          <w:t>30</w:t>
        </w:r>
        <w:r w:rsidR="00F441CC" w:rsidRPr="00F441CC">
          <w:rPr>
            <w:bCs/>
            <w:noProof/>
            <w:webHidden/>
          </w:rPr>
          <w:fldChar w:fldCharType="end"/>
        </w:r>
      </w:hyperlink>
    </w:p>
    <w:p w14:paraId="37DD7F05" w14:textId="09CF652C" w:rsidR="00F441CC" w:rsidRPr="00F441CC" w:rsidRDefault="0037093A">
      <w:pPr>
        <w:pStyle w:val="TDC4"/>
        <w:rPr>
          <w:rFonts w:asciiTheme="minorHAnsi" w:hAnsiTheme="minorHAnsi"/>
          <w:bCs/>
          <w:noProof/>
          <w:sz w:val="22"/>
          <w:szCs w:val="22"/>
          <w:lang w:val="es-CO" w:eastAsia="es-CO"/>
        </w:rPr>
      </w:pPr>
      <w:hyperlink w:anchor="_Toc104272145" w:history="1">
        <w:r w:rsidR="00F441CC" w:rsidRPr="00F441CC">
          <w:rPr>
            <w:rStyle w:val="Hipervnculo"/>
            <w:bCs/>
            <w:noProof/>
          </w:rPr>
          <w:t>5.1.1.2</w:t>
        </w:r>
        <w:r w:rsidR="00F441CC" w:rsidRPr="00F441CC">
          <w:rPr>
            <w:rFonts w:asciiTheme="minorHAnsi" w:hAnsiTheme="minorHAnsi"/>
            <w:bCs/>
            <w:noProof/>
            <w:sz w:val="22"/>
            <w:szCs w:val="22"/>
            <w:lang w:val="es-CO" w:eastAsia="es-CO"/>
          </w:rPr>
          <w:tab/>
        </w:r>
        <w:r w:rsidR="00F441CC" w:rsidRPr="00F441CC">
          <w:rPr>
            <w:rStyle w:val="Hipervnculo"/>
            <w:bCs/>
            <w:noProof/>
          </w:rPr>
          <w:t>Envíos Masivos: Proyección del mercado de Mensajería Expresa y Correo.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_Toc104272145 \h </w:instrText>
        </w:r>
        <w:r w:rsidR="00F441CC" w:rsidRPr="00F441CC">
          <w:rPr>
            <w:bCs/>
            <w:noProof/>
            <w:webHidden/>
          </w:rPr>
        </w:r>
        <w:r w:rsidR="00F441CC" w:rsidRPr="00F441CC">
          <w:rPr>
            <w:bCs/>
            <w:noProof/>
            <w:webHidden/>
          </w:rPr>
          <w:fldChar w:fldCharType="separate"/>
        </w:r>
        <w:r w:rsidR="00F441CC" w:rsidRPr="00F441CC">
          <w:rPr>
            <w:bCs/>
            <w:noProof/>
            <w:webHidden/>
          </w:rPr>
          <w:t>34</w:t>
        </w:r>
        <w:r w:rsidR="00F441CC" w:rsidRPr="00F441CC">
          <w:rPr>
            <w:bCs/>
            <w:noProof/>
            <w:webHidden/>
          </w:rPr>
          <w:fldChar w:fldCharType="end"/>
        </w:r>
      </w:hyperlink>
    </w:p>
    <w:p w14:paraId="475EA713" w14:textId="0B07A7C1" w:rsidR="00F441CC" w:rsidRPr="00F441CC" w:rsidRDefault="0037093A">
      <w:pPr>
        <w:pStyle w:val="TDC4"/>
        <w:rPr>
          <w:rFonts w:asciiTheme="minorHAnsi" w:hAnsiTheme="minorHAnsi"/>
          <w:bCs/>
          <w:noProof/>
          <w:sz w:val="22"/>
          <w:szCs w:val="22"/>
          <w:lang w:val="es-CO" w:eastAsia="es-CO"/>
        </w:rPr>
      </w:pPr>
      <w:hyperlink w:anchor="_Toc104272146" w:history="1">
        <w:r w:rsidR="00F441CC" w:rsidRPr="00F441CC">
          <w:rPr>
            <w:rStyle w:val="Hipervnculo"/>
            <w:bCs/>
            <w:noProof/>
          </w:rPr>
          <w:t>5.1.1.3</w:t>
        </w:r>
        <w:r w:rsidR="00F441CC" w:rsidRPr="00F441CC">
          <w:rPr>
            <w:rFonts w:asciiTheme="minorHAnsi" w:hAnsiTheme="minorHAnsi"/>
            <w:bCs/>
            <w:noProof/>
            <w:sz w:val="22"/>
            <w:szCs w:val="22"/>
            <w:lang w:val="es-CO" w:eastAsia="es-CO"/>
          </w:rPr>
          <w:tab/>
        </w:r>
        <w:r w:rsidR="00F441CC" w:rsidRPr="00F441CC">
          <w:rPr>
            <w:rStyle w:val="Hipervnculo"/>
            <w:bCs/>
            <w:noProof/>
          </w:rPr>
          <w:t>Ingresos – Envíos Masivos: Proyección del mercado de Mensajería Expresa y de correo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_Toc104272146 \h </w:instrText>
        </w:r>
        <w:r w:rsidR="00F441CC" w:rsidRPr="00F441CC">
          <w:rPr>
            <w:bCs/>
            <w:noProof/>
            <w:webHidden/>
          </w:rPr>
        </w:r>
        <w:r w:rsidR="00F441CC" w:rsidRPr="00F441CC">
          <w:rPr>
            <w:bCs/>
            <w:noProof/>
            <w:webHidden/>
          </w:rPr>
          <w:fldChar w:fldCharType="separate"/>
        </w:r>
        <w:r w:rsidR="00F441CC" w:rsidRPr="00F441CC">
          <w:rPr>
            <w:bCs/>
            <w:noProof/>
            <w:webHidden/>
          </w:rPr>
          <w:t>35</w:t>
        </w:r>
        <w:r w:rsidR="00F441CC" w:rsidRPr="00F441CC">
          <w:rPr>
            <w:bCs/>
            <w:noProof/>
            <w:webHidden/>
          </w:rPr>
          <w:fldChar w:fldCharType="end"/>
        </w:r>
      </w:hyperlink>
    </w:p>
    <w:p w14:paraId="153C6FF4" w14:textId="428D5234" w:rsidR="00F441CC" w:rsidRPr="00F441CC" w:rsidRDefault="0037093A">
      <w:pPr>
        <w:pStyle w:val="TDC3"/>
        <w:rPr>
          <w:rFonts w:asciiTheme="minorHAnsi" w:hAnsiTheme="minorHAnsi"/>
          <w:bCs/>
          <w:noProof/>
          <w:sz w:val="22"/>
          <w:szCs w:val="22"/>
          <w:lang w:val="es-CO" w:eastAsia="es-CO"/>
        </w:rPr>
      </w:pPr>
      <w:hyperlink w:anchor="_Toc104272147" w:history="1">
        <w:r w:rsidR="00F441CC" w:rsidRPr="00F441CC">
          <w:rPr>
            <w:rStyle w:val="Hipervnculo"/>
            <w:bCs/>
            <w:noProof/>
          </w:rPr>
          <w:t>5.1.2</w:t>
        </w:r>
        <w:r w:rsidR="00F441CC" w:rsidRPr="00F441CC">
          <w:rPr>
            <w:rFonts w:asciiTheme="minorHAnsi" w:hAnsiTheme="minorHAnsi"/>
            <w:bCs/>
            <w:noProof/>
            <w:sz w:val="22"/>
            <w:szCs w:val="22"/>
            <w:lang w:val="es-CO" w:eastAsia="es-CO"/>
          </w:rPr>
          <w:tab/>
        </w:r>
        <w:r w:rsidR="00F441CC" w:rsidRPr="00F441CC">
          <w:rPr>
            <w:rStyle w:val="Hipervnculo"/>
            <w:bCs/>
            <w:noProof/>
          </w:rPr>
          <w:t>El mercado de envíos individuales entre 2 y 5 kilogramos.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_Toc104272147 \h </w:instrText>
        </w:r>
        <w:r w:rsidR="00F441CC" w:rsidRPr="00F441CC">
          <w:rPr>
            <w:bCs/>
            <w:noProof/>
            <w:webHidden/>
          </w:rPr>
        </w:r>
        <w:r w:rsidR="00F441CC" w:rsidRPr="00F441CC">
          <w:rPr>
            <w:bCs/>
            <w:noProof/>
            <w:webHidden/>
          </w:rPr>
          <w:fldChar w:fldCharType="separate"/>
        </w:r>
        <w:r w:rsidR="00F441CC" w:rsidRPr="00F441CC">
          <w:rPr>
            <w:bCs/>
            <w:noProof/>
            <w:webHidden/>
          </w:rPr>
          <w:t>36</w:t>
        </w:r>
        <w:r w:rsidR="00F441CC" w:rsidRPr="00F441CC">
          <w:rPr>
            <w:bCs/>
            <w:noProof/>
            <w:webHidden/>
          </w:rPr>
          <w:fldChar w:fldCharType="end"/>
        </w:r>
      </w:hyperlink>
    </w:p>
    <w:p w14:paraId="4A9F9445" w14:textId="01F0485C" w:rsidR="00F441CC" w:rsidRPr="00F441CC" w:rsidRDefault="0037093A">
      <w:pPr>
        <w:pStyle w:val="TDC4"/>
        <w:rPr>
          <w:rFonts w:asciiTheme="minorHAnsi" w:hAnsiTheme="minorHAnsi"/>
          <w:bCs/>
          <w:noProof/>
          <w:sz w:val="22"/>
          <w:szCs w:val="22"/>
          <w:lang w:val="es-CO" w:eastAsia="es-CO"/>
        </w:rPr>
      </w:pPr>
      <w:hyperlink w:anchor="_Toc104272148" w:history="1">
        <w:r w:rsidR="00F441CC" w:rsidRPr="00F441CC">
          <w:rPr>
            <w:rStyle w:val="Hipervnculo"/>
            <w:bCs/>
            <w:noProof/>
          </w:rPr>
          <w:t>5.1.2.1</w:t>
        </w:r>
        <w:r w:rsidR="00F441CC" w:rsidRPr="00F441CC">
          <w:rPr>
            <w:rFonts w:asciiTheme="minorHAnsi" w:hAnsiTheme="minorHAnsi"/>
            <w:bCs/>
            <w:noProof/>
            <w:sz w:val="22"/>
            <w:szCs w:val="22"/>
            <w:lang w:val="es-CO" w:eastAsia="es-CO"/>
          </w:rPr>
          <w:tab/>
        </w:r>
        <w:r w:rsidR="00F441CC" w:rsidRPr="00F441CC">
          <w:rPr>
            <w:rStyle w:val="Hipervnculo"/>
            <w:bCs/>
            <w:noProof/>
          </w:rPr>
          <w:t>Envíos individuales de mensajería expresa entre 2 y 5 Kilogramos.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_Toc104272148 \h </w:instrText>
        </w:r>
        <w:r w:rsidR="00F441CC" w:rsidRPr="00F441CC">
          <w:rPr>
            <w:bCs/>
            <w:noProof/>
            <w:webHidden/>
          </w:rPr>
        </w:r>
        <w:r w:rsidR="00F441CC" w:rsidRPr="00F441CC">
          <w:rPr>
            <w:bCs/>
            <w:noProof/>
            <w:webHidden/>
          </w:rPr>
          <w:fldChar w:fldCharType="separate"/>
        </w:r>
        <w:r w:rsidR="00F441CC" w:rsidRPr="00F441CC">
          <w:rPr>
            <w:bCs/>
            <w:noProof/>
            <w:webHidden/>
          </w:rPr>
          <w:t>36</w:t>
        </w:r>
        <w:r w:rsidR="00F441CC" w:rsidRPr="00F441CC">
          <w:rPr>
            <w:bCs/>
            <w:noProof/>
            <w:webHidden/>
          </w:rPr>
          <w:fldChar w:fldCharType="end"/>
        </w:r>
      </w:hyperlink>
    </w:p>
    <w:p w14:paraId="6707F07C" w14:textId="53C69A49" w:rsidR="00F441CC" w:rsidRPr="00F441CC" w:rsidRDefault="0037093A">
      <w:pPr>
        <w:pStyle w:val="TDC3"/>
        <w:rPr>
          <w:rFonts w:asciiTheme="minorHAnsi" w:hAnsiTheme="minorHAnsi"/>
          <w:bCs/>
          <w:noProof/>
          <w:sz w:val="22"/>
          <w:szCs w:val="22"/>
          <w:lang w:val="es-CO" w:eastAsia="es-CO"/>
        </w:rPr>
      </w:pPr>
      <w:hyperlink w:anchor="_Toc104272149" w:history="1">
        <w:r w:rsidR="00F441CC" w:rsidRPr="00F441CC">
          <w:rPr>
            <w:rStyle w:val="Hipervnculo"/>
            <w:bCs/>
            <w:noProof/>
          </w:rPr>
          <w:t>5.1.3</w:t>
        </w:r>
        <w:r w:rsidR="00F441CC" w:rsidRPr="00F441CC">
          <w:rPr>
            <w:rFonts w:asciiTheme="minorHAnsi" w:hAnsiTheme="minorHAnsi"/>
            <w:bCs/>
            <w:noProof/>
            <w:sz w:val="22"/>
            <w:szCs w:val="22"/>
            <w:lang w:val="es-CO" w:eastAsia="es-CO"/>
          </w:rPr>
          <w:tab/>
        </w:r>
        <w:r w:rsidR="00F441CC" w:rsidRPr="00F441CC">
          <w:rPr>
            <w:rStyle w:val="Hipervnculo"/>
            <w:bCs/>
            <w:noProof/>
          </w:rPr>
          <w:t>El mercado de envíos individuales menores de 2 kilogramos.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_Toc104272149 \h </w:instrText>
        </w:r>
        <w:r w:rsidR="00F441CC" w:rsidRPr="00F441CC">
          <w:rPr>
            <w:bCs/>
            <w:noProof/>
            <w:webHidden/>
          </w:rPr>
        </w:r>
        <w:r w:rsidR="00F441CC" w:rsidRPr="00F441CC">
          <w:rPr>
            <w:bCs/>
            <w:noProof/>
            <w:webHidden/>
          </w:rPr>
          <w:fldChar w:fldCharType="separate"/>
        </w:r>
        <w:r w:rsidR="00F441CC" w:rsidRPr="00F441CC">
          <w:rPr>
            <w:bCs/>
            <w:noProof/>
            <w:webHidden/>
          </w:rPr>
          <w:t>40</w:t>
        </w:r>
        <w:r w:rsidR="00F441CC" w:rsidRPr="00F441CC">
          <w:rPr>
            <w:bCs/>
            <w:noProof/>
            <w:webHidden/>
          </w:rPr>
          <w:fldChar w:fldCharType="end"/>
        </w:r>
      </w:hyperlink>
    </w:p>
    <w:p w14:paraId="36A1A196" w14:textId="07041EC9" w:rsidR="00F441CC" w:rsidRPr="00F441CC" w:rsidRDefault="0037093A">
      <w:pPr>
        <w:pStyle w:val="TDC3"/>
        <w:rPr>
          <w:rFonts w:asciiTheme="minorHAnsi" w:hAnsiTheme="minorHAnsi"/>
          <w:bCs/>
          <w:noProof/>
          <w:sz w:val="22"/>
          <w:szCs w:val="22"/>
          <w:lang w:val="es-CO" w:eastAsia="es-CO"/>
        </w:rPr>
      </w:pPr>
      <w:hyperlink w:anchor="_Toc104272150" w:history="1">
        <w:r w:rsidR="00F441CC" w:rsidRPr="00F441CC">
          <w:rPr>
            <w:rStyle w:val="Hipervnculo"/>
            <w:bCs/>
            <w:noProof/>
          </w:rPr>
          <w:t>5.1.4</w:t>
        </w:r>
        <w:r w:rsidR="00F441CC" w:rsidRPr="00F441CC">
          <w:rPr>
            <w:rFonts w:asciiTheme="minorHAnsi" w:hAnsiTheme="minorHAnsi"/>
            <w:bCs/>
            <w:noProof/>
            <w:sz w:val="22"/>
            <w:szCs w:val="22"/>
            <w:lang w:val="es-CO" w:eastAsia="es-CO"/>
          </w:rPr>
          <w:tab/>
        </w:r>
        <w:r w:rsidR="00F441CC" w:rsidRPr="00F441CC">
          <w:rPr>
            <w:rStyle w:val="Hipervnculo"/>
            <w:bCs/>
            <w:noProof/>
          </w:rPr>
          <w:t>Contribuciones al FUTIC: El mercado de mensajería expresa.</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_Toc104272150 \h </w:instrText>
        </w:r>
        <w:r w:rsidR="00F441CC" w:rsidRPr="00F441CC">
          <w:rPr>
            <w:bCs/>
            <w:noProof/>
            <w:webHidden/>
          </w:rPr>
        </w:r>
        <w:r w:rsidR="00F441CC" w:rsidRPr="00F441CC">
          <w:rPr>
            <w:bCs/>
            <w:noProof/>
            <w:webHidden/>
          </w:rPr>
          <w:fldChar w:fldCharType="separate"/>
        </w:r>
        <w:r w:rsidR="00F441CC" w:rsidRPr="00F441CC">
          <w:rPr>
            <w:bCs/>
            <w:noProof/>
            <w:webHidden/>
          </w:rPr>
          <w:t>42</w:t>
        </w:r>
        <w:r w:rsidR="00F441CC" w:rsidRPr="00F441CC">
          <w:rPr>
            <w:bCs/>
            <w:noProof/>
            <w:webHidden/>
          </w:rPr>
          <w:fldChar w:fldCharType="end"/>
        </w:r>
      </w:hyperlink>
    </w:p>
    <w:p w14:paraId="71C0B77A" w14:textId="6F87085E" w:rsidR="00F441CC" w:rsidRPr="00F441CC" w:rsidRDefault="0037093A">
      <w:pPr>
        <w:pStyle w:val="TDC1"/>
        <w:rPr>
          <w:rFonts w:asciiTheme="minorHAnsi" w:hAnsiTheme="minorHAnsi"/>
          <w:bCs/>
          <w:noProof/>
          <w:sz w:val="22"/>
          <w:szCs w:val="22"/>
          <w:lang w:val="es-CO" w:eastAsia="es-CO"/>
        </w:rPr>
      </w:pPr>
      <w:hyperlink w:anchor="_Toc104272151" w:history="1">
        <w:r w:rsidR="00F441CC" w:rsidRPr="00F441CC">
          <w:rPr>
            <w:rStyle w:val="Hipervnculo"/>
            <w:bCs/>
            <w:noProof/>
          </w:rPr>
          <w:t>6</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_Toc104272151 \h </w:instrText>
        </w:r>
        <w:r w:rsidR="00F441CC" w:rsidRPr="00F441CC">
          <w:rPr>
            <w:bCs/>
            <w:noProof/>
            <w:webHidden/>
          </w:rPr>
        </w:r>
        <w:r w:rsidR="00F441CC" w:rsidRPr="00F441CC">
          <w:rPr>
            <w:bCs/>
            <w:noProof/>
            <w:webHidden/>
          </w:rPr>
          <w:fldChar w:fldCharType="separate"/>
        </w:r>
        <w:r w:rsidR="00F441CC" w:rsidRPr="00F441CC">
          <w:rPr>
            <w:bCs/>
            <w:noProof/>
            <w:webHidden/>
          </w:rPr>
          <w:t>45</w:t>
        </w:r>
        <w:r w:rsidR="00F441CC" w:rsidRPr="00F441CC">
          <w:rPr>
            <w:bCs/>
            <w:noProof/>
            <w:webHidden/>
          </w:rPr>
          <w:fldChar w:fldCharType="end"/>
        </w:r>
      </w:hyperlink>
    </w:p>
    <w:p w14:paraId="094BC82C" w14:textId="7CD7BAE5" w:rsidR="00F441CC" w:rsidRPr="00F441CC" w:rsidRDefault="0037093A">
      <w:pPr>
        <w:pStyle w:val="TDC1"/>
        <w:rPr>
          <w:rFonts w:asciiTheme="minorHAnsi" w:hAnsiTheme="minorHAnsi"/>
          <w:bCs/>
          <w:noProof/>
          <w:sz w:val="22"/>
          <w:szCs w:val="22"/>
          <w:lang w:val="es-CO" w:eastAsia="es-CO"/>
        </w:rPr>
      </w:pPr>
      <w:hyperlink w:anchor="_Toc104272152" w:history="1">
        <w:r w:rsidR="00F441CC" w:rsidRPr="00F441CC">
          <w:rPr>
            <w:rStyle w:val="Hipervnculo"/>
            <w:bCs/>
            <w:noProof/>
          </w:rPr>
          <w:t>El Mercado de servicios postales de pago en Colombia para el período 2020 – 2022: Estructura, evolución y proyecciones de ingresos y contribuciones al FUTIC.</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_Toc104272152 \h </w:instrText>
        </w:r>
        <w:r w:rsidR="00F441CC" w:rsidRPr="00F441CC">
          <w:rPr>
            <w:bCs/>
            <w:noProof/>
            <w:webHidden/>
          </w:rPr>
        </w:r>
        <w:r w:rsidR="00F441CC" w:rsidRPr="00F441CC">
          <w:rPr>
            <w:bCs/>
            <w:noProof/>
            <w:webHidden/>
          </w:rPr>
          <w:fldChar w:fldCharType="separate"/>
        </w:r>
        <w:r w:rsidR="00F441CC" w:rsidRPr="00F441CC">
          <w:rPr>
            <w:bCs/>
            <w:noProof/>
            <w:webHidden/>
          </w:rPr>
          <w:t>45</w:t>
        </w:r>
        <w:r w:rsidR="00F441CC" w:rsidRPr="00F441CC">
          <w:rPr>
            <w:bCs/>
            <w:noProof/>
            <w:webHidden/>
          </w:rPr>
          <w:fldChar w:fldCharType="end"/>
        </w:r>
      </w:hyperlink>
    </w:p>
    <w:p w14:paraId="3B4AF569" w14:textId="6FDFF2C8" w:rsidR="00F441CC" w:rsidRPr="00F441CC" w:rsidRDefault="0037093A">
      <w:pPr>
        <w:pStyle w:val="TDC2"/>
        <w:rPr>
          <w:rFonts w:asciiTheme="minorHAnsi" w:hAnsiTheme="minorHAnsi"/>
          <w:bCs/>
          <w:noProof/>
          <w:sz w:val="22"/>
          <w:szCs w:val="22"/>
          <w:lang w:val="es-CO" w:eastAsia="es-CO"/>
        </w:rPr>
      </w:pPr>
      <w:hyperlink w:anchor="_Toc104272153" w:history="1">
        <w:r w:rsidR="00F441CC" w:rsidRPr="00F441CC">
          <w:rPr>
            <w:rStyle w:val="Hipervnculo"/>
            <w:bCs/>
            <w:noProof/>
          </w:rPr>
          <w:t>6.1</w:t>
        </w:r>
        <w:r w:rsidR="00F441CC" w:rsidRPr="00F441CC">
          <w:rPr>
            <w:rFonts w:asciiTheme="minorHAnsi" w:hAnsiTheme="minorHAnsi"/>
            <w:bCs/>
            <w:noProof/>
            <w:sz w:val="22"/>
            <w:szCs w:val="22"/>
            <w:lang w:val="es-CO" w:eastAsia="es-CO"/>
          </w:rPr>
          <w:tab/>
        </w:r>
        <w:r w:rsidR="00F441CC" w:rsidRPr="00F441CC">
          <w:rPr>
            <w:rStyle w:val="Hipervnculo"/>
            <w:bCs/>
            <w:noProof/>
          </w:rPr>
          <w:t>Introducción.</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_Toc104272153 \h </w:instrText>
        </w:r>
        <w:r w:rsidR="00F441CC" w:rsidRPr="00F441CC">
          <w:rPr>
            <w:bCs/>
            <w:noProof/>
            <w:webHidden/>
          </w:rPr>
        </w:r>
        <w:r w:rsidR="00F441CC" w:rsidRPr="00F441CC">
          <w:rPr>
            <w:bCs/>
            <w:noProof/>
            <w:webHidden/>
          </w:rPr>
          <w:fldChar w:fldCharType="separate"/>
        </w:r>
        <w:r w:rsidR="00F441CC" w:rsidRPr="00F441CC">
          <w:rPr>
            <w:bCs/>
            <w:noProof/>
            <w:webHidden/>
          </w:rPr>
          <w:t>45</w:t>
        </w:r>
        <w:r w:rsidR="00F441CC" w:rsidRPr="00F441CC">
          <w:rPr>
            <w:bCs/>
            <w:noProof/>
            <w:webHidden/>
          </w:rPr>
          <w:fldChar w:fldCharType="end"/>
        </w:r>
      </w:hyperlink>
    </w:p>
    <w:p w14:paraId="45B5842D" w14:textId="7493D80C" w:rsidR="00F441CC" w:rsidRPr="00F441CC" w:rsidRDefault="0037093A">
      <w:pPr>
        <w:pStyle w:val="TDC2"/>
        <w:rPr>
          <w:rFonts w:asciiTheme="minorHAnsi" w:hAnsiTheme="minorHAnsi"/>
          <w:bCs/>
          <w:noProof/>
          <w:sz w:val="22"/>
          <w:szCs w:val="22"/>
          <w:lang w:val="es-CO" w:eastAsia="es-CO"/>
        </w:rPr>
      </w:pPr>
      <w:hyperlink w:anchor="_Toc104272154" w:history="1">
        <w:r w:rsidR="00F441CC" w:rsidRPr="00F441CC">
          <w:rPr>
            <w:rStyle w:val="Hipervnculo"/>
            <w:bCs/>
            <w:noProof/>
          </w:rPr>
          <w:t>6.2</w:t>
        </w:r>
        <w:r w:rsidR="00F441CC" w:rsidRPr="00F441CC">
          <w:rPr>
            <w:rFonts w:asciiTheme="minorHAnsi" w:hAnsiTheme="minorHAnsi"/>
            <w:bCs/>
            <w:noProof/>
            <w:sz w:val="22"/>
            <w:szCs w:val="22"/>
            <w:lang w:val="es-CO" w:eastAsia="es-CO"/>
          </w:rPr>
          <w:tab/>
        </w:r>
        <w:r w:rsidR="00F441CC" w:rsidRPr="00F441CC">
          <w:rPr>
            <w:rStyle w:val="Hipervnculo"/>
            <w:bCs/>
            <w:noProof/>
          </w:rPr>
          <w:t>Tamaño, estructura y evolución del mercado de giros postales.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_Toc104272154 \h </w:instrText>
        </w:r>
        <w:r w:rsidR="00F441CC" w:rsidRPr="00F441CC">
          <w:rPr>
            <w:bCs/>
            <w:noProof/>
            <w:webHidden/>
          </w:rPr>
        </w:r>
        <w:r w:rsidR="00F441CC" w:rsidRPr="00F441CC">
          <w:rPr>
            <w:bCs/>
            <w:noProof/>
            <w:webHidden/>
          </w:rPr>
          <w:fldChar w:fldCharType="separate"/>
        </w:r>
        <w:r w:rsidR="00F441CC" w:rsidRPr="00F441CC">
          <w:rPr>
            <w:bCs/>
            <w:noProof/>
            <w:webHidden/>
          </w:rPr>
          <w:t>45</w:t>
        </w:r>
        <w:r w:rsidR="00F441CC" w:rsidRPr="00F441CC">
          <w:rPr>
            <w:bCs/>
            <w:noProof/>
            <w:webHidden/>
          </w:rPr>
          <w:fldChar w:fldCharType="end"/>
        </w:r>
      </w:hyperlink>
    </w:p>
    <w:p w14:paraId="5F9C93AE" w14:textId="6395FDEF" w:rsidR="00F441CC" w:rsidRPr="00F441CC" w:rsidRDefault="0037093A">
      <w:pPr>
        <w:pStyle w:val="TDC2"/>
        <w:rPr>
          <w:rFonts w:asciiTheme="minorHAnsi" w:hAnsiTheme="minorHAnsi"/>
          <w:bCs/>
          <w:noProof/>
          <w:sz w:val="22"/>
          <w:szCs w:val="22"/>
          <w:lang w:val="es-CO" w:eastAsia="es-CO"/>
        </w:rPr>
      </w:pPr>
      <w:hyperlink w:anchor="_Toc104272155" w:history="1">
        <w:r w:rsidR="00F441CC" w:rsidRPr="00F441CC">
          <w:rPr>
            <w:rStyle w:val="Hipervnculo"/>
            <w:bCs/>
            <w:noProof/>
          </w:rPr>
          <w:t>6.3</w:t>
        </w:r>
        <w:r w:rsidR="00F441CC" w:rsidRPr="00F441CC">
          <w:rPr>
            <w:rFonts w:asciiTheme="minorHAnsi" w:hAnsiTheme="minorHAnsi"/>
            <w:bCs/>
            <w:noProof/>
            <w:sz w:val="22"/>
            <w:szCs w:val="22"/>
            <w:lang w:val="es-CO" w:eastAsia="es-CO"/>
          </w:rPr>
          <w:tab/>
        </w:r>
        <w:r w:rsidR="00F441CC" w:rsidRPr="00F441CC">
          <w:rPr>
            <w:rStyle w:val="Hipervnculo"/>
            <w:bCs/>
            <w:noProof/>
          </w:rPr>
          <w:t>El mercado de giros de efectivo: Servicios Fintech y giros postales.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_Toc104272155 \h </w:instrText>
        </w:r>
        <w:r w:rsidR="00F441CC" w:rsidRPr="00F441CC">
          <w:rPr>
            <w:bCs/>
            <w:noProof/>
            <w:webHidden/>
          </w:rPr>
        </w:r>
        <w:r w:rsidR="00F441CC" w:rsidRPr="00F441CC">
          <w:rPr>
            <w:bCs/>
            <w:noProof/>
            <w:webHidden/>
          </w:rPr>
          <w:fldChar w:fldCharType="separate"/>
        </w:r>
        <w:r w:rsidR="00F441CC" w:rsidRPr="00F441CC">
          <w:rPr>
            <w:bCs/>
            <w:noProof/>
            <w:webHidden/>
          </w:rPr>
          <w:t>48</w:t>
        </w:r>
        <w:r w:rsidR="00F441CC" w:rsidRPr="00F441CC">
          <w:rPr>
            <w:bCs/>
            <w:noProof/>
            <w:webHidden/>
          </w:rPr>
          <w:fldChar w:fldCharType="end"/>
        </w:r>
      </w:hyperlink>
    </w:p>
    <w:p w14:paraId="14DA522E" w14:textId="11E9AC2E" w:rsidR="00F441CC" w:rsidRPr="00F441CC" w:rsidRDefault="0037093A">
      <w:pPr>
        <w:pStyle w:val="TDC2"/>
        <w:rPr>
          <w:rFonts w:asciiTheme="minorHAnsi" w:hAnsiTheme="minorHAnsi"/>
          <w:bCs/>
          <w:noProof/>
          <w:sz w:val="22"/>
          <w:szCs w:val="22"/>
          <w:lang w:val="es-CO" w:eastAsia="es-CO"/>
        </w:rPr>
      </w:pPr>
      <w:hyperlink w:anchor="_Toc104272156" w:history="1">
        <w:r w:rsidR="00F441CC" w:rsidRPr="00F441CC">
          <w:rPr>
            <w:rStyle w:val="Hipervnculo"/>
            <w:bCs/>
            <w:noProof/>
          </w:rPr>
          <w:t>6.4</w:t>
        </w:r>
        <w:r w:rsidR="00F441CC" w:rsidRPr="00F441CC">
          <w:rPr>
            <w:rFonts w:asciiTheme="minorHAnsi" w:hAnsiTheme="minorHAnsi"/>
            <w:bCs/>
            <w:noProof/>
            <w:sz w:val="22"/>
            <w:szCs w:val="22"/>
            <w:lang w:val="es-CO" w:eastAsia="es-CO"/>
          </w:rPr>
          <w:tab/>
        </w:r>
        <w:r w:rsidR="00F441CC" w:rsidRPr="00F441CC">
          <w:rPr>
            <w:rStyle w:val="Hipervnculo"/>
            <w:bCs/>
            <w:noProof/>
          </w:rPr>
          <w:t>Proyecciones del mercado de servicios postales de pago en Colombia: Número de giros y volúmenes de ingresos.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_Toc104272156 \h </w:instrText>
        </w:r>
        <w:r w:rsidR="00F441CC" w:rsidRPr="00F441CC">
          <w:rPr>
            <w:bCs/>
            <w:noProof/>
            <w:webHidden/>
          </w:rPr>
        </w:r>
        <w:r w:rsidR="00F441CC" w:rsidRPr="00F441CC">
          <w:rPr>
            <w:bCs/>
            <w:noProof/>
            <w:webHidden/>
          </w:rPr>
          <w:fldChar w:fldCharType="separate"/>
        </w:r>
        <w:r w:rsidR="00F441CC" w:rsidRPr="00F441CC">
          <w:rPr>
            <w:bCs/>
            <w:noProof/>
            <w:webHidden/>
          </w:rPr>
          <w:t>50</w:t>
        </w:r>
        <w:r w:rsidR="00F441CC" w:rsidRPr="00F441CC">
          <w:rPr>
            <w:bCs/>
            <w:noProof/>
            <w:webHidden/>
          </w:rPr>
          <w:fldChar w:fldCharType="end"/>
        </w:r>
      </w:hyperlink>
    </w:p>
    <w:p w14:paraId="168F6BA1" w14:textId="65E732CE" w:rsidR="00F441CC" w:rsidRPr="00F441CC" w:rsidRDefault="0037093A">
      <w:pPr>
        <w:pStyle w:val="TDC2"/>
        <w:rPr>
          <w:rFonts w:asciiTheme="minorHAnsi" w:hAnsiTheme="minorHAnsi"/>
          <w:bCs/>
          <w:noProof/>
          <w:sz w:val="22"/>
          <w:szCs w:val="22"/>
          <w:lang w:val="es-CO" w:eastAsia="es-CO"/>
        </w:rPr>
      </w:pPr>
      <w:hyperlink w:anchor="_Toc104272157" w:history="1">
        <w:r w:rsidR="00F441CC" w:rsidRPr="00F441CC">
          <w:rPr>
            <w:rStyle w:val="Hipervnculo"/>
            <w:bCs/>
            <w:noProof/>
          </w:rPr>
          <w:t>6.5</w:t>
        </w:r>
        <w:r w:rsidR="00F441CC" w:rsidRPr="00F441CC">
          <w:rPr>
            <w:rFonts w:asciiTheme="minorHAnsi" w:hAnsiTheme="minorHAnsi"/>
            <w:bCs/>
            <w:noProof/>
            <w:sz w:val="22"/>
            <w:szCs w:val="22"/>
            <w:lang w:val="es-CO" w:eastAsia="es-CO"/>
          </w:rPr>
          <w:tab/>
        </w:r>
        <w:r w:rsidR="00F441CC" w:rsidRPr="00F441CC">
          <w:rPr>
            <w:rStyle w:val="Hipervnculo"/>
            <w:bCs/>
            <w:noProof/>
          </w:rPr>
          <w:t>Proyecciones de las contribuciones de los operadores de servicios postales de pago al FUTIC.</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_Toc104272157 \h </w:instrText>
        </w:r>
        <w:r w:rsidR="00F441CC" w:rsidRPr="00F441CC">
          <w:rPr>
            <w:bCs/>
            <w:noProof/>
            <w:webHidden/>
          </w:rPr>
        </w:r>
        <w:r w:rsidR="00F441CC" w:rsidRPr="00F441CC">
          <w:rPr>
            <w:bCs/>
            <w:noProof/>
            <w:webHidden/>
          </w:rPr>
          <w:fldChar w:fldCharType="separate"/>
        </w:r>
        <w:r w:rsidR="00F441CC" w:rsidRPr="00F441CC">
          <w:rPr>
            <w:bCs/>
            <w:noProof/>
            <w:webHidden/>
          </w:rPr>
          <w:t>51</w:t>
        </w:r>
        <w:r w:rsidR="00F441CC" w:rsidRPr="00F441CC">
          <w:rPr>
            <w:bCs/>
            <w:noProof/>
            <w:webHidden/>
          </w:rPr>
          <w:fldChar w:fldCharType="end"/>
        </w:r>
      </w:hyperlink>
    </w:p>
    <w:p w14:paraId="1720CCD1" w14:textId="70FD337B" w:rsidR="00F441CC" w:rsidRPr="00F441CC" w:rsidRDefault="0037093A">
      <w:pPr>
        <w:pStyle w:val="TDC1"/>
        <w:rPr>
          <w:rFonts w:asciiTheme="minorHAnsi" w:hAnsiTheme="minorHAnsi"/>
          <w:bCs/>
          <w:noProof/>
          <w:sz w:val="22"/>
          <w:szCs w:val="22"/>
          <w:lang w:val="es-CO" w:eastAsia="es-CO"/>
        </w:rPr>
      </w:pPr>
      <w:hyperlink w:anchor="_Toc104272158" w:history="1">
        <w:r w:rsidR="00F441CC" w:rsidRPr="00F441CC">
          <w:rPr>
            <w:rStyle w:val="Hipervnculo"/>
            <w:bCs/>
            <w:noProof/>
          </w:rPr>
          <w:t>7</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_Toc104272158 \h </w:instrText>
        </w:r>
        <w:r w:rsidR="00F441CC" w:rsidRPr="00F441CC">
          <w:rPr>
            <w:bCs/>
            <w:noProof/>
            <w:webHidden/>
          </w:rPr>
        </w:r>
        <w:r w:rsidR="00F441CC" w:rsidRPr="00F441CC">
          <w:rPr>
            <w:bCs/>
            <w:noProof/>
            <w:webHidden/>
          </w:rPr>
          <w:fldChar w:fldCharType="separate"/>
        </w:r>
        <w:r w:rsidR="00F441CC" w:rsidRPr="00F441CC">
          <w:rPr>
            <w:bCs/>
            <w:noProof/>
            <w:webHidden/>
          </w:rPr>
          <w:t>52</w:t>
        </w:r>
        <w:r w:rsidR="00F441CC" w:rsidRPr="00F441CC">
          <w:rPr>
            <w:bCs/>
            <w:noProof/>
            <w:webHidden/>
          </w:rPr>
          <w:fldChar w:fldCharType="end"/>
        </w:r>
      </w:hyperlink>
    </w:p>
    <w:p w14:paraId="605E32C9" w14:textId="368E226A" w:rsidR="00F441CC" w:rsidRPr="00F441CC" w:rsidRDefault="0037093A">
      <w:pPr>
        <w:pStyle w:val="TDC1"/>
        <w:rPr>
          <w:rFonts w:asciiTheme="minorHAnsi" w:hAnsiTheme="minorHAnsi"/>
          <w:bCs/>
          <w:noProof/>
          <w:sz w:val="22"/>
          <w:szCs w:val="22"/>
          <w:lang w:val="es-CO" w:eastAsia="es-CO"/>
        </w:rPr>
      </w:pPr>
      <w:hyperlink w:anchor="_Toc104272159" w:history="1">
        <w:r w:rsidR="00F441CC" w:rsidRPr="00F441CC">
          <w:rPr>
            <w:rStyle w:val="Hipervnculo"/>
            <w:bCs/>
            <w:noProof/>
          </w:rPr>
          <w:t>Proyección de las fuentes y usos de recursos postales del FUTIC: Período 2022 – 2024.</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_Toc104272159 \h </w:instrText>
        </w:r>
        <w:r w:rsidR="00F441CC" w:rsidRPr="00F441CC">
          <w:rPr>
            <w:bCs/>
            <w:noProof/>
            <w:webHidden/>
          </w:rPr>
        </w:r>
        <w:r w:rsidR="00F441CC" w:rsidRPr="00F441CC">
          <w:rPr>
            <w:bCs/>
            <w:noProof/>
            <w:webHidden/>
          </w:rPr>
          <w:fldChar w:fldCharType="separate"/>
        </w:r>
        <w:r w:rsidR="00F441CC" w:rsidRPr="00F441CC">
          <w:rPr>
            <w:bCs/>
            <w:noProof/>
            <w:webHidden/>
          </w:rPr>
          <w:t>52</w:t>
        </w:r>
        <w:r w:rsidR="00F441CC" w:rsidRPr="00F441CC">
          <w:rPr>
            <w:bCs/>
            <w:noProof/>
            <w:webHidden/>
          </w:rPr>
          <w:fldChar w:fldCharType="end"/>
        </w:r>
      </w:hyperlink>
    </w:p>
    <w:p w14:paraId="18CF2017" w14:textId="4058C972" w:rsidR="00F441CC" w:rsidRPr="00F441CC" w:rsidRDefault="0037093A">
      <w:pPr>
        <w:pStyle w:val="TDC2"/>
        <w:rPr>
          <w:rFonts w:asciiTheme="minorHAnsi" w:hAnsiTheme="minorHAnsi"/>
          <w:bCs/>
          <w:noProof/>
          <w:sz w:val="22"/>
          <w:szCs w:val="22"/>
          <w:lang w:val="es-CO" w:eastAsia="es-CO"/>
        </w:rPr>
      </w:pPr>
      <w:hyperlink w:anchor="_Toc104272160" w:history="1">
        <w:r w:rsidR="00F441CC" w:rsidRPr="00F441CC">
          <w:rPr>
            <w:rStyle w:val="Hipervnculo"/>
            <w:bCs/>
            <w:noProof/>
          </w:rPr>
          <w:t>7.1</w:t>
        </w:r>
        <w:r w:rsidR="00F441CC" w:rsidRPr="00F441CC">
          <w:rPr>
            <w:rFonts w:asciiTheme="minorHAnsi" w:hAnsiTheme="minorHAnsi"/>
            <w:bCs/>
            <w:noProof/>
            <w:sz w:val="22"/>
            <w:szCs w:val="22"/>
            <w:lang w:val="es-CO" w:eastAsia="es-CO"/>
          </w:rPr>
          <w:tab/>
        </w:r>
        <w:r w:rsidR="00F441CC" w:rsidRPr="00F441CC">
          <w:rPr>
            <w:rStyle w:val="Hipervnculo"/>
            <w:bCs/>
            <w:noProof/>
          </w:rPr>
          <w:t>Introducción</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_Toc104272160 \h </w:instrText>
        </w:r>
        <w:r w:rsidR="00F441CC" w:rsidRPr="00F441CC">
          <w:rPr>
            <w:bCs/>
            <w:noProof/>
            <w:webHidden/>
          </w:rPr>
        </w:r>
        <w:r w:rsidR="00F441CC" w:rsidRPr="00F441CC">
          <w:rPr>
            <w:bCs/>
            <w:noProof/>
            <w:webHidden/>
          </w:rPr>
          <w:fldChar w:fldCharType="separate"/>
        </w:r>
        <w:r w:rsidR="00F441CC" w:rsidRPr="00F441CC">
          <w:rPr>
            <w:bCs/>
            <w:noProof/>
            <w:webHidden/>
          </w:rPr>
          <w:t>52</w:t>
        </w:r>
        <w:r w:rsidR="00F441CC" w:rsidRPr="00F441CC">
          <w:rPr>
            <w:bCs/>
            <w:noProof/>
            <w:webHidden/>
          </w:rPr>
          <w:fldChar w:fldCharType="end"/>
        </w:r>
      </w:hyperlink>
    </w:p>
    <w:p w14:paraId="5D0EC861" w14:textId="75EC75D0" w:rsidR="00F441CC" w:rsidRPr="00F441CC" w:rsidRDefault="0037093A">
      <w:pPr>
        <w:pStyle w:val="TDC2"/>
        <w:rPr>
          <w:rFonts w:asciiTheme="minorHAnsi" w:hAnsiTheme="minorHAnsi"/>
          <w:bCs/>
          <w:noProof/>
          <w:sz w:val="22"/>
          <w:szCs w:val="22"/>
          <w:lang w:val="es-CO" w:eastAsia="es-CO"/>
        </w:rPr>
      </w:pPr>
      <w:hyperlink w:anchor="_Toc104272161" w:history="1">
        <w:r w:rsidR="00F441CC" w:rsidRPr="00F441CC">
          <w:rPr>
            <w:rStyle w:val="Hipervnculo"/>
            <w:bCs/>
            <w:noProof/>
          </w:rPr>
          <w:t>7.2</w:t>
        </w:r>
        <w:r w:rsidR="00F441CC" w:rsidRPr="00F441CC">
          <w:rPr>
            <w:rFonts w:asciiTheme="minorHAnsi" w:hAnsiTheme="minorHAnsi"/>
            <w:bCs/>
            <w:noProof/>
            <w:sz w:val="22"/>
            <w:szCs w:val="22"/>
            <w:lang w:val="es-CO" w:eastAsia="es-CO"/>
          </w:rPr>
          <w:tab/>
        </w:r>
        <w:r w:rsidR="00F441CC" w:rsidRPr="00F441CC">
          <w:rPr>
            <w:rStyle w:val="Hipervnculo"/>
            <w:bCs/>
            <w:noProof/>
          </w:rPr>
          <w:t>Estimación del déficit del SPU.</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_Toc104272161 \h </w:instrText>
        </w:r>
        <w:r w:rsidR="00F441CC" w:rsidRPr="00F441CC">
          <w:rPr>
            <w:bCs/>
            <w:noProof/>
            <w:webHidden/>
          </w:rPr>
        </w:r>
        <w:r w:rsidR="00F441CC" w:rsidRPr="00F441CC">
          <w:rPr>
            <w:bCs/>
            <w:noProof/>
            <w:webHidden/>
          </w:rPr>
          <w:fldChar w:fldCharType="separate"/>
        </w:r>
        <w:r w:rsidR="00F441CC" w:rsidRPr="00F441CC">
          <w:rPr>
            <w:bCs/>
            <w:noProof/>
            <w:webHidden/>
          </w:rPr>
          <w:t>53</w:t>
        </w:r>
        <w:r w:rsidR="00F441CC" w:rsidRPr="00F441CC">
          <w:rPr>
            <w:bCs/>
            <w:noProof/>
            <w:webHidden/>
          </w:rPr>
          <w:fldChar w:fldCharType="end"/>
        </w:r>
      </w:hyperlink>
    </w:p>
    <w:p w14:paraId="1B2A09A8" w14:textId="7C8779B6" w:rsidR="00F441CC" w:rsidRPr="00F441CC" w:rsidRDefault="0037093A">
      <w:pPr>
        <w:pStyle w:val="TDC3"/>
        <w:rPr>
          <w:rFonts w:asciiTheme="minorHAnsi" w:hAnsiTheme="minorHAnsi"/>
          <w:bCs/>
          <w:noProof/>
          <w:sz w:val="22"/>
          <w:szCs w:val="22"/>
          <w:lang w:val="es-CO" w:eastAsia="es-CO"/>
        </w:rPr>
      </w:pPr>
      <w:hyperlink w:anchor="_Toc104272162" w:history="1">
        <w:r w:rsidR="00F441CC" w:rsidRPr="00F441CC">
          <w:rPr>
            <w:rStyle w:val="Hipervnculo"/>
            <w:bCs/>
            <w:noProof/>
          </w:rPr>
          <w:t>7.2.1</w:t>
        </w:r>
        <w:r w:rsidR="00F441CC" w:rsidRPr="00F441CC">
          <w:rPr>
            <w:rFonts w:asciiTheme="minorHAnsi" w:hAnsiTheme="minorHAnsi"/>
            <w:bCs/>
            <w:noProof/>
            <w:sz w:val="22"/>
            <w:szCs w:val="22"/>
            <w:lang w:val="es-CO" w:eastAsia="es-CO"/>
          </w:rPr>
          <w:tab/>
        </w:r>
        <w:r w:rsidR="00F441CC" w:rsidRPr="00F441CC">
          <w:rPr>
            <w:rStyle w:val="Hipervnculo"/>
            <w:bCs/>
            <w:noProof/>
          </w:rPr>
          <w:t>Estimación de los ingresos de los productos del SPU.</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_Toc104272162 \h </w:instrText>
        </w:r>
        <w:r w:rsidR="00F441CC" w:rsidRPr="00F441CC">
          <w:rPr>
            <w:bCs/>
            <w:noProof/>
            <w:webHidden/>
          </w:rPr>
        </w:r>
        <w:r w:rsidR="00F441CC" w:rsidRPr="00F441CC">
          <w:rPr>
            <w:bCs/>
            <w:noProof/>
            <w:webHidden/>
          </w:rPr>
          <w:fldChar w:fldCharType="separate"/>
        </w:r>
        <w:r w:rsidR="00F441CC" w:rsidRPr="00F441CC">
          <w:rPr>
            <w:bCs/>
            <w:noProof/>
            <w:webHidden/>
          </w:rPr>
          <w:t>53</w:t>
        </w:r>
        <w:r w:rsidR="00F441CC" w:rsidRPr="00F441CC">
          <w:rPr>
            <w:bCs/>
            <w:noProof/>
            <w:webHidden/>
          </w:rPr>
          <w:fldChar w:fldCharType="end"/>
        </w:r>
      </w:hyperlink>
    </w:p>
    <w:p w14:paraId="36C13265" w14:textId="348E9D9E" w:rsidR="00F441CC" w:rsidRPr="00F441CC" w:rsidRDefault="0037093A">
      <w:pPr>
        <w:pStyle w:val="TDC4"/>
        <w:rPr>
          <w:rFonts w:asciiTheme="minorHAnsi" w:hAnsiTheme="minorHAnsi"/>
          <w:bCs/>
          <w:noProof/>
          <w:sz w:val="22"/>
          <w:szCs w:val="22"/>
          <w:lang w:val="es-CO" w:eastAsia="es-CO"/>
        </w:rPr>
      </w:pPr>
      <w:hyperlink w:anchor="_Toc104272163" w:history="1">
        <w:r w:rsidR="00F441CC" w:rsidRPr="00F441CC">
          <w:rPr>
            <w:rStyle w:val="Hipervnculo"/>
            <w:bCs/>
            <w:noProof/>
          </w:rPr>
          <w:t>7.2.1.1</w:t>
        </w:r>
        <w:r w:rsidR="00F441CC" w:rsidRPr="00F441CC">
          <w:rPr>
            <w:rFonts w:asciiTheme="minorHAnsi" w:hAnsiTheme="minorHAnsi"/>
            <w:bCs/>
            <w:noProof/>
            <w:sz w:val="22"/>
            <w:szCs w:val="22"/>
            <w:lang w:val="es-CO" w:eastAsia="es-CO"/>
          </w:rPr>
          <w:tab/>
        </w:r>
        <w:r w:rsidR="00F441CC" w:rsidRPr="00F441CC">
          <w:rPr>
            <w:rStyle w:val="Hipervnculo"/>
            <w:bCs/>
            <w:noProof/>
          </w:rPr>
          <w:t>Encomiendas.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_Toc104272163 \h </w:instrText>
        </w:r>
        <w:r w:rsidR="00F441CC" w:rsidRPr="00F441CC">
          <w:rPr>
            <w:bCs/>
            <w:noProof/>
            <w:webHidden/>
          </w:rPr>
        </w:r>
        <w:r w:rsidR="00F441CC" w:rsidRPr="00F441CC">
          <w:rPr>
            <w:bCs/>
            <w:noProof/>
            <w:webHidden/>
          </w:rPr>
          <w:fldChar w:fldCharType="separate"/>
        </w:r>
        <w:r w:rsidR="00F441CC" w:rsidRPr="00F441CC">
          <w:rPr>
            <w:bCs/>
            <w:noProof/>
            <w:webHidden/>
          </w:rPr>
          <w:t>53</w:t>
        </w:r>
        <w:r w:rsidR="00F441CC" w:rsidRPr="00F441CC">
          <w:rPr>
            <w:bCs/>
            <w:noProof/>
            <w:webHidden/>
          </w:rPr>
          <w:fldChar w:fldCharType="end"/>
        </w:r>
      </w:hyperlink>
    </w:p>
    <w:p w14:paraId="2CB727A8" w14:textId="75A313FC" w:rsidR="00F441CC" w:rsidRPr="00F441CC" w:rsidRDefault="0037093A">
      <w:pPr>
        <w:pStyle w:val="TDC4"/>
        <w:rPr>
          <w:rFonts w:asciiTheme="minorHAnsi" w:hAnsiTheme="minorHAnsi"/>
          <w:bCs/>
          <w:noProof/>
          <w:sz w:val="22"/>
          <w:szCs w:val="22"/>
          <w:lang w:val="es-CO" w:eastAsia="es-CO"/>
        </w:rPr>
      </w:pPr>
      <w:hyperlink w:anchor="_Toc104272164" w:history="1">
        <w:r w:rsidR="00F441CC" w:rsidRPr="00F441CC">
          <w:rPr>
            <w:rStyle w:val="Hipervnculo"/>
            <w:bCs/>
            <w:noProof/>
          </w:rPr>
          <w:t>7.2.1.2</w:t>
        </w:r>
        <w:r w:rsidR="00F441CC" w:rsidRPr="00F441CC">
          <w:rPr>
            <w:rFonts w:asciiTheme="minorHAnsi" w:hAnsiTheme="minorHAnsi"/>
            <w:bCs/>
            <w:noProof/>
            <w:sz w:val="22"/>
            <w:szCs w:val="22"/>
            <w:lang w:val="es-CO" w:eastAsia="es-CO"/>
          </w:rPr>
          <w:tab/>
        </w:r>
        <w:r w:rsidR="00F441CC" w:rsidRPr="00F441CC">
          <w:rPr>
            <w:rStyle w:val="Hipervnculo"/>
            <w:bCs/>
            <w:noProof/>
          </w:rPr>
          <w:t>Otros recursos del SPU.</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_Toc104272164 \h </w:instrText>
        </w:r>
        <w:r w:rsidR="00F441CC" w:rsidRPr="00F441CC">
          <w:rPr>
            <w:bCs/>
            <w:noProof/>
            <w:webHidden/>
          </w:rPr>
        </w:r>
        <w:r w:rsidR="00F441CC" w:rsidRPr="00F441CC">
          <w:rPr>
            <w:bCs/>
            <w:noProof/>
            <w:webHidden/>
          </w:rPr>
          <w:fldChar w:fldCharType="separate"/>
        </w:r>
        <w:r w:rsidR="00F441CC" w:rsidRPr="00F441CC">
          <w:rPr>
            <w:bCs/>
            <w:noProof/>
            <w:webHidden/>
          </w:rPr>
          <w:t>55</w:t>
        </w:r>
        <w:r w:rsidR="00F441CC" w:rsidRPr="00F441CC">
          <w:rPr>
            <w:bCs/>
            <w:noProof/>
            <w:webHidden/>
          </w:rPr>
          <w:fldChar w:fldCharType="end"/>
        </w:r>
      </w:hyperlink>
    </w:p>
    <w:p w14:paraId="09791F24" w14:textId="080A4C63" w:rsidR="00F441CC" w:rsidRPr="00F441CC" w:rsidRDefault="0037093A">
      <w:pPr>
        <w:pStyle w:val="TDC3"/>
        <w:rPr>
          <w:rFonts w:asciiTheme="minorHAnsi" w:hAnsiTheme="minorHAnsi"/>
          <w:bCs/>
          <w:noProof/>
          <w:sz w:val="22"/>
          <w:szCs w:val="22"/>
          <w:lang w:val="es-CO" w:eastAsia="es-CO"/>
        </w:rPr>
      </w:pPr>
      <w:hyperlink w:anchor="_Toc104272165" w:history="1">
        <w:r w:rsidR="00F441CC" w:rsidRPr="00F441CC">
          <w:rPr>
            <w:rStyle w:val="Hipervnculo"/>
            <w:bCs/>
            <w:noProof/>
          </w:rPr>
          <w:t>7.2.2</w:t>
        </w:r>
        <w:r w:rsidR="00F441CC" w:rsidRPr="00F441CC">
          <w:rPr>
            <w:rFonts w:asciiTheme="minorHAnsi" w:hAnsiTheme="minorHAnsi"/>
            <w:bCs/>
            <w:noProof/>
            <w:sz w:val="22"/>
            <w:szCs w:val="22"/>
            <w:lang w:val="es-CO" w:eastAsia="es-CO"/>
          </w:rPr>
          <w:tab/>
        </w:r>
        <w:r w:rsidR="00F441CC" w:rsidRPr="00F441CC">
          <w:rPr>
            <w:rStyle w:val="Hipervnculo"/>
            <w:bCs/>
            <w:smallCaps/>
            <w:noProof/>
          </w:rPr>
          <w:t>Estimación de los costos y gastos de SPN y asignación al SPU en el período 2022 – 2024.</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_Toc104272165 \h </w:instrText>
        </w:r>
        <w:r w:rsidR="00F441CC" w:rsidRPr="00F441CC">
          <w:rPr>
            <w:bCs/>
            <w:noProof/>
            <w:webHidden/>
          </w:rPr>
        </w:r>
        <w:r w:rsidR="00F441CC" w:rsidRPr="00F441CC">
          <w:rPr>
            <w:bCs/>
            <w:noProof/>
            <w:webHidden/>
          </w:rPr>
          <w:fldChar w:fldCharType="separate"/>
        </w:r>
        <w:r w:rsidR="00F441CC" w:rsidRPr="00F441CC">
          <w:rPr>
            <w:bCs/>
            <w:noProof/>
            <w:webHidden/>
          </w:rPr>
          <w:t>56</w:t>
        </w:r>
        <w:r w:rsidR="00F441CC" w:rsidRPr="00F441CC">
          <w:rPr>
            <w:bCs/>
            <w:noProof/>
            <w:webHidden/>
          </w:rPr>
          <w:fldChar w:fldCharType="end"/>
        </w:r>
      </w:hyperlink>
    </w:p>
    <w:p w14:paraId="06AC6A05" w14:textId="39CDE3D2" w:rsidR="00F441CC" w:rsidRPr="00F441CC" w:rsidRDefault="0037093A">
      <w:pPr>
        <w:pStyle w:val="TDC3"/>
        <w:rPr>
          <w:rFonts w:asciiTheme="minorHAnsi" w:hAnsiTheme="minorHAnsi"/>
          <w:bCs/>
          <w:noProof/>
          <w:sz w:val="22"/>
          <w:szCs w:val="22"/>
          <w:lang w:val="es-CO" w:eastAsia="es-CO"/>
        </w:rPr>
      </w:pPr>
      <w:hyperlink w:anchor="_Toc104272166" w:history="1">
        <w:r w:rsidR="00F441CC" w:rsidRPr="00F441CC">
          <w:rPr>
            <w:rStyle w:val="Hipervnculo"/>
            <w:bCs/>
            <w:noProof/>
          </w:rPr>
          <w:t>7.2.3</w:t>
        </w:r>
        <w:r w:rsidR="00F441CC" w:rsidRPr="00F441CC">
          <w:rPr>
            <w:rFonts w:asciiTheme="minorHAnsi" w:hAnsiTheme="minorHAnsi"/>
            <w:bCs/>
            <w:noProof/>
            <w:sz w:val="22"/>
            <w:szCs w:val="22"/>
            <w:lang w:val="es-CO" w:eastAsia="es-CO"/>
          </w:rPr>
          <w:tab/>
        </w:r>
        <w:r w:rsidR="00F441CC" w:rsidRPr="00F441CC">
          <w:rPr>
            <w:rStyle w:val="Hipervnculo"/>
            <w:bCs/>
            <w:smallCaps/>
            <w:noProof/>
          </w:rPr>
          <w:t>Estimación</w:t>
        </w:r>
        <w:r w:rsidR="00F441CC" w:rsidRPr="00F441CC">
          <w:rPr>
            <w:rStyle w:val="Hipervnculo"/>
            <w:bCs/>
            <w:noProof/>
          </w:rPr>
          <w:t xml:space="preserve"> </w:t>
        </w:r>
        <w:r w:rsidR="00F441CC" w:rsidRPr="00F441CC">
          <w:rPr>
            <w:rStyle w:val="Hipervnculo"/>
            <w:bCs/>
            <w:smallCaps/>
            <w:noProof/>
          </w:rPr>
          <w:t>del déficit del SPU para el período 2022 – 2024</w:t>
        </w:r>
        <w:r w:rsidR="00F441CC" w:rsidRPr="00F441CC">
          <w:rPr>
            <w:rStyle w:val="Hipervnculo"/>
            <w:bCs/>
            <w:noProof/>
          </w:rPr>
          <w:t>.</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_Toc104272166 \h </w:instrText>
        </w:r>
        <w:r w:rsidR="00F441CC" w:rsidRPr="00F441CC">
          <w:rPr>
            <w:bCs/>
            <w:noProof/>
            <w:webHidden/>
          </w:rPr>
        </w:r>
        <w:r w:rsidR="00F441CC" w:rsidRPr="00F441CC">
          <w:rPr>
            <w:bCs/>
            <w:noProof/>
            <w:webHidden/>
          </w:rPr>
          <w:fldChar w:fldCharType="separate"/>
        </w:r>
        <w:r w:rsidR="00F441CC" w:rsidRPr="00F441CC">
          <w:rPr>
            <w:bCs/>
            <w:noProof/>
            <w:webHidden/>
          </w:rPr>
          <w:t>57</w:t>
        </w:r>
        <w:r w:rsidR="00F441CC" w:rsidRPr="00F441CC">
          <w:rPr>
            <w:bCs/>
            <w:noProof/>
            <w:webHidden/>
          </w:rPr>
          <w:fldChar w:fldCharType="end"/>
        </w:r>
      </w:hyperlink>
    </w:p>
    <w:p w14:paraId="1F6BEF4D" w14:textId="6737EE09" w:rsidR="00F441CC" w:rsidRPr="00F441CC" w:rsidRDefault="0037093A">
      <w:pPr>
        <w:pStyle w:val="TDC2"/>
        <w:rPr>
          <w:rFonts w:asciiTheme="minorHAnsi" w:hAnsiTheme="minorHAnsi"/>
          <w:bCs/>
          <w:noProof/>
          <w:sz w:val="22"/>
          <w:szCs w:val="22"/>
          <w:lang w:val="es-CO" w:eastAsia="es-CO"/>
        </w:rPr>
      </w:pPr>
      <w:hyperlink w:anchor="_Toc104272167" w:history="1">
        <w:r w:rsidR="00F441CC" w:rsidRPr="00F441CC">
          <w:rPr>
            <w:rStyle w:val="Hipervnculo"/>
            <w:bCs/>
            <w:noProof/>
          </w:rPr>
          <w:t>7.3</w:t>
        </w:r>
        <w:r w:rsidR="00F441CC" w:rsidRPr="00F441CC">
          <w:rPr>
            <w:rFonts w:asciiTheme="minorHAnsi" w:hAnsiTheme="minorHAnsi"/>
            <w:bCs/>
            <w:noProof/>
            <w:sz w:val="22"/>
            <w:szCs w:val="22"/>
            <w:lang w:val="es-CO" w:eastAsia="es-CO"/>
          </w:rPr>
          <w:tab/>
        </w:r>
        <w:r w:rsidR="00F441CC" w:rsidRPr="00F441CC">
          <w:rPr>
            <w:rStyle w:val="Hipervnculo"/>
            <w:bCs/>
            <w:noProof/>
          </w:rPr>
          <w:t>El flujo de caja del FUTIC en materia postal. Proyección para el período 2022 – 2024.</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_Toc104272167 \h </w:instrText>
        </w:r>
        <w:r w:rsidR="00F441CC" w:rsidRPr="00F441CC">
          <w:rPr>
            <w:bCs/>
            <w:noProof/>
            <w:webHidden/>
          </w:rPr>
        </w:r>
        <w:r w:rsidR="00F441CC" w:rsidRPr="00F441CC">
          <w:rPr>
            <w:bCs/>
            <w:noProof/>
            <w:webHidden/>
          </w:rPr>
          <w:fldChar w:fldCharType="separate"/>
        </w:r>
        <w:r w:rsidR="00F441CC" w:rsidRPr="00F441CC">
          <w:rPr>
            <w:bCs/>
            <w:noProof/>
            <w:webHidden/>
          </w:rPr>
          <w:t>58</w:t>
        </w:r>
        <w:r w:rsidR="00F441CC" w:rsidRPr="00F441CC">
          <w:rPr>
            <w:bCs/>
            <w:noProof/>
            <w:webHidden/>
          </w:rPr>
          <w:fldChar w:fldCharType="end"/>
        </w:r>
      </w:hyperlink>
    </w:p>
    <w:p w14:paraId="0AC81A44" w14:textId="16135B83" w:rsidR="00F441CC" w:rsidRPr="00F441CC" w:rsidRDefault="0037093A">
      <w:pPr>
        <w:pStyle w:val="TDC3"/>
        <w:rPr>
          <w:rFonts w:asciiTheme="minorHAnsi" w:hAnsiTheme="minorHAnsi"/>
          <w:bCs/>
          <w:noProof/>
          <w:sz w:val="22"/>
          <w:szCs w:val="22"/>
          <w:lang w:val="es-CO" w:eastAsia="es-CO"/>
        </w:rPr>
      </w:pPr>
      <w:hyperlink w:anchor="_Toc104272168" w:history="1">
        <w:r w:rsidR="00F441CC" w:rsidRPr="00F441CC">
          <w:rPr>
            <w:rStyle w:val="Hipervnculo"/>
            <w:bCs/>
            <w:noProof/>
          </w:rPr>
          <w:t>7.3.1</w:t>
        </w:r>
        <w:r w:rsidR="00F441CC" w:rsidRPr="00F441CC">
          <w:rPr>
            <w:rFonts w:asciiTheme="minorHAnsi" w:hAnsiTheme="minorHAnsi"/>
            <w:bCs/>
            <w:noProof/>
            <w:sz w:val="22"/>
            <w:szCs w:val="22"/>
            <w:lang w:val="es-CO" w:eastAsia="es-CO"/>
          </w:rPr>
          <w:tab/>
        </w:r>
        <w:r w:rsidR="00F441CC" w:rsidRPr="00F441CC">
          <w:rPr>
            <w:rStyle w:val="Hipervnculo"/>
            <w:bCs/>
            <w:noProof/>
          </w:rPr>
          <w:t>Proyección de las contraprestaciones postales al FUTIC.</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_Toc104272168 \h </w:instrText>
        </w:r>
        <w:r w:rsidR="00F441CC" w:rsidRPr="00F441CC">
          <w:rPr>
            <w:bCs/>
            <w:noProof/>
            <w:webHidden/>
          </w:rPr>
        </w:r>
        <w:r w:rsidR="00F441CC" w:rsidRPr="00F441CC">
          <w:rPr>
            <w:bCs/>
            <w:noProof/>
            <w:webHidden/>
          </w:rPr>
          <w:fldChar w:fldCharType="separate"/>
        </w:r>
        <w:r w:rsidR="00F441CC" w:rsidRPr="00F441CC">
          <w:rPr>
            <w:bCs/>
            <w:noProof/>
            <w:webHidden/>
          </w:rPr>
          <w:t>59</w:t>
        </w:r>
        <w:r w:rsidR="00F441CC" w:rsidRPr="00F441CC">
          <w:rPr>
            <w:bCs/>
            <w:noProof/>
            <w:webHidden/>
          </w:rPr>
          <w:fldChar w:fldCharType="end"/>
        </w:r>
      </w:hyperlink>
    </w:p>
    <w:p w14:paraId="39A46C82" w14:textId="5FDE8EC9" w:rsidR="00F441CC" w:rsidRPr="00F441CC" w:rsidRDefault="0037093A">
      <w:pPr>
        <w:pStyle w:val="TDC3"/>
        <w:rPr>
          <w:rFonts w:asciiTheme="minorHAnsi" w:hAnsiTheme="minorHAnsi"/>
          <w:bCs/>
          <w:noProof/>
          <w:sz w:val="22"/>
          <w:szCs w:val="22"/>
          <w:lang w:val="es-CO" w:eastAsia="es-CO"/>
        </w:rPr>
      </w:pPr>
      <w:hyperlink w:anchor="_Toc104272169" w:history="1">
        <w:r w:rsidR="00F441CC" w:rsidRPr="00F441CC">
          <w:rPr>
            <w:rStyle w:val="Hipervnculo"/>
            <w:bCs/>
            <w:noProof/>
          </w:rPr>
          <w:t>7.3.2</w:t>
        </w:r>
        <w:r w:rsidR="00F441CC" w:rsidRPr="00F441CC">
          <w:rPr>
            <w:rFonts w:asciiTheme="minorHAnsi" w:hAnsiTheme="minorHAnsi"/>
            <w:bCs/>
            <w:noProof/>
            <w:sz w:val="22"/>
            <w:szCs w:val="22"/>
            <w:lang w:val="es-CO" w:eastAsia="es-CO"/>
          </w:rPr>
          <w:tab/>
        </w:r>
        <w:r w:rsidR="00F441CC" w:rsidRPr="00F441CC">
          <w:rPr>
            <w:rStyle w:val="Hipervnculo"/>
            <w:bCs/>
            <w:noProof/>
          </w:rPr>
          <w:t>El comportamiento de la franquicia postal.</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_Toc104272169 \h </w:instrText>
        </w:r>
        <w:r w:rsidR="00F441CC" w:rsidRPr="00F441CC">
          <w:rPr>
            <w:bCs/>
            <w:noProof/>
            <w:webHidden/>
          </w:rPr>
        </w:r>
        <w:r w:rsidR="00F441CC" w:rsidRPr="00F441CC">
          <w:rPr>
            <w:bCs/>
            <w:noProof/>
            <w:webHidden/>
          </w:rPr>
          <w:fldChar w:fldCharType="separate"/>
        </w:r>
        <w:r w:rsidR="00F441CC" w:rsidRPr="00F441CC">
          <w:rPr>
            <w:bCs/>
            <w:noProof/>
            <w:webHidden/>
          </w:rPr>
          <w:t>60</w:t>
        </w:r>
        <w:r w:rsidR="00F441CC" w:rsidRPr="00F441CC">
          <w:rPr>
            <w:bCs/>
            <w:noProof/>
            <w:webHidden/>
          </w:rPr>
          <w:fldChar w:fldCharType="end"/>
        </w:r>
      </w:hyperlink>
    </w:p>
    <w:p w14:paraId="73E38DD7" w14:textId="5BC295A7" w:rsidR="00F441CC" w:rsidRPr="00F441CC" w:rsidRDefault="0037093A">
      <w:pPr>
        <w:pStyle w:val="TDC4"/>
        <w:rPr>
          <w:rFonts w:asciiTheme="minorHAnsi" w:hAnsiTheme="minorHAnsi"/>
          <w:bCs/>
          <w:noProof/>
          <w:sz w:val="22"/>
          <w:szCs w:val="22"/>
          <w:lang w:val="es-CO" w:eastAsia="es-CO"/>
        </w:rPr>
      </w:pPr>
      <w:hyperlink w:anchor="_Toc104272170" w:history="1">
        <w:r w:rsidR="00F441CC" w:rsidRPr="00F441CC">
          <w:rPr>
            <w:rStyle w:val="Hipervnculo"/>
            <w:bCs/>
            <w:noProof/>
          </w:rPr>
          <w:t>7.3.2.1</w:t>
        </w:r>
        <w:r w:rsidR="00F441CC" w:rsidRPr="00F441CC">
          <w:rPr>
            <w:rFonts w:asciiTheme="minorHAnsi" w:hAnsiTheme="minorHAnsi"/>
            <w:bCs/>
            <w:noProof/>
            <w:sz w:val="22"/>
            <w:szCs w:val="22"/>
            <w:lang w:val="es-CO" w:eastAsia="es-CO"/>
          </w:rPr>
          <w:tab/>
        </w:r>
        <w:r w:rsidR="00F441CC" w:rsidRPr="00F441CC">
          <w:rPr>
            <w:rStyle w:val="Hipervnculo"/>
            <w:bCs/>
            <w:noProof/>
          </w:rPr>
          <w:t>El concepto de la franquicia postal.</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_Toc104272170 \h </w:instrText>
        </w:r>
        <w:r w:rsidR="00F441CC" w:rsidRPr="00F441CC">
          <w:rPr>
            <w:bCs/>
            <w:noProof/>
            <w:webHidden/>
          </w:rPr>
        </w:r>
        <w:r w:rsidR="00F441CC" w:rsidRPr="00F441CC">
          <w:rPr>
            <w:bCs/>
            <w:noProof/>
            <w:webHidden/>
          </w:rPr>
          <w:fldChar w:fldCharType="separate"/>
        </w:r>
        <w:r w:rsidR="00F441CC" w:rsidRPr="00F441CC">
          <w:rPr>
            <w:bCs/>
            <w:noProof/>
            <w:webHidden/>
          </w:rPr>
          <w:t>60</w:t>
        </w:r>
        <w:r w:rsidR="00F441CC" w:rsidRPr="00F441CC">
          <w:rPr>
            <w:bCs/>
            <w:noProof/>
            <w:webHidden/>
          </w:rPr>
          <w:fldChar w:fldCharType="end"/>
        </w:r>
      </w:hyperlink>
    </w:p>
    <w:p w14:paraId="7BC57068" w14:textId="64D5577F" w:rsidR="00F441CC" w:rsidRPr="00F441CC" w:rsidRDefault="0037093A">
      <w:pPr>
        <w:pStyle w:val="TDC4"/>
        <w:rPr>
          <w:rFonts w:asciiTheme="minorHAnsi" w:hAnsiTheme="minorHAnsi"/>
          <w:bCs/>
          <w:noProof/>
          <w:sz w:val="22"/>
          <w:szCs w:val="22"/>
          <w:lang w:val="es-CO" w:eastAsia="es-CO"/>
        </w:rPr>
      </w:pPr>
      <w:hyperlink w:anchor="_Toc104272171" w:history="1">
        <w:r w:rsidR="00F441CC" w:rsidRPr="00F441CC">
          <w:rPr>
            <w:rStyle w:val="Hipervnculo"/>
            <w:bCs/>
            <w:noProof/>
          </w:rPr>
          <w:t>7.3.2.2</w:t>
        </w:r>
        <w:r w:rsidR="00F441CC" w:rsidRPr="00F441CC">
          <w:rPr>
            <w:rFonts w:asciiTheme="minorHAnsi" w:hAnsiTheme="minorHAnsi"/>
            <w:bCs/>
            <w:noProof/>
            <w:sz w:val="22"/>
            <w:szCs w:val="22"/>
            <w:lang w:val="es-CO" w:eastAsia="es-CO"/>
          </w:rPr>
          <w:tab/>
        </w:r>
        <w:r w:rsidR="00F441CC" w:rsidRPr="00F441CC">
          <w:rPr>
            <w:rStyle w:val="Hipervnculo"/>
            <w:bCs/>
            <w:noProof/>
          </w:rPr>
          <w:t>Evolución del número de envíos e ingresos de la franquicia postal.</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_Toc104272171 \h </w:instrText>
        </w:r>
        <w:r w:rsidR="00F441CC" w:rsidRPr="00F441CC">
          <w:rPr>
            <w:bCs/>
            <w:noProof/>
            <w:webHidden/>
          </w:rPr>
        </w:r>
        <w:r w:rsidR="00F441CC" w:rsidRPr="00F441CC">
          <w:rPr>
            <w:bCs/>
            <w:noProof/>
            <w:webHidden/>
          </w:rPr>
          <w:fldChar w:fldCharType="separate"/>
        </w:r>
        <w:r w:rsidR="00F441CC" w:rsidRPr="00F441CC">
          <w:rPr>
            <w:bCs/>
            <w:noProof/>
            <w:webHidden/>
          </w:rPr>
          <w:t>61</w:t>
        </w:r>
        <w:r w:rsidR="00F441CC" w:rsidRPr="00F441CC">
          <w:rPr>
            <w:bCs/>
            <w:noProof/>
            <w:webHidden/>
          </w:rPr>
          <w:fldChar w:fldCharType="end"/>
        </w:r>
      </w:hyperlink>
    </w:p>
    <w:p w14:paraId="607636FF" w14:textId="6C534008" w:rsidR="00F441CC" w:rsidRPr="00F441CC" w:rsidRDefault="0037093A">
      <w:pPr>
        <w:pStyle w:val="TDC3"/>
        <w:rPr>
          <w:rFonts w:asciiTheme="minorHAnsi" w:hAnsiTheme="minorHAnsi"/>
          <w:bCs/>
          <w:noProof/>
          <w:sz w:val="22"/>
          <w:szCs w:val="22"/>
          <w:lang w:val="es-CO" w:eastAsia="es-CO"/>
        </w:rPr>
      </w:pPr>
      <w:hyperlink w:anchor="_Toc104272172" w:history="1">
        <w:r w:rsidR="00F441CC" w:rsidRPr="00F441CC">
          <w:rPr>
            <w:rStyle w:val="Hipervnculo"/>
            <w:bCs/>
            <w:noProof/>
          </w:rPr>
          <w:t>7.3.3</w:t>
        </w:r>
        <w:r w:rsidR="00F441CC" w:rsidRPr="00F441CC">
          <w:rPr>
            <w:rFonts w:asciiTheme="minorHAnsi" w:hAnsiTheme="minorHAnsi"/>
            <w:bCs/>
            <w:noProof/>
            <w:sz w:val="22"/>
            <w:szCs w:val="22"/>
            <w:lang w:val="es-CO" w:eastAsia="es-CO"/>
          </w:rPr>
          <w:tab/>
        </w:r>
        <w:r w:rsidR="00F441CC" w:rsidRPr="00F441CC">
          <w:rPr>
            <w:rStyle w:val="Hipervnculo"/>
            <w:bCs/>
            <w:noProof/>
          </w:rPr>
          <w:t>Otros gastos, costos e inversiones del FUTIC en materia postal.</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_Toc104272172 \h </w:instrText>
        </w:r>
        <w:r w:rsidR="00F441CC" w:rsidRPr="00F441CC">
          <w:rPr>
            <w:bCs/>
            <w:noProof/>
            <w:webHidden/>
          </w:rPr>
        </w:r>
        <w:r w:rsidR="00F441CC" w:rsidRPr="00F441CC">
          <w:rPr>
            <w:bCs/>
            <w:noProof/>
            <w:webHidden/>
          </w:rPr>
          <w:fldChar w:fldCharType="separate"/>
        </w:r>
        <w:r w:rsidR="00F441CC" w:rsidRPr="00F441CC">
          <w:rPr>
            <w:bCs/>
            <w:noProof/>
            <w:webHidden/>
          </w:rPr>
          <w:t>63</w:t>
        </w:r>
        <w:r w:rsidR="00F441CC" w:rsidRPr="00F441CC">
          <w:rPr>
            <w:bCs/>
            <w:noProof/>
            <w:webHidden/>
          </w:rPr>
          <w:fldChar w:fldCharType="end"/>
        </w:r>
      </w:hyperlink>
    </w:p>
    <w:p w14:paraId="3228C029" w14:textId="0C32C168" w:rsidR="00F441CC" w:rsidRPr="00F441CC" w:rsidRDefault="0037093A">
      <w:pPr>
        <w:pStyle w:val="TDC1"/>
        <w:rPr>
          <w:rFonts w:asciiTheme="minorHAnsi" w:hAnsiTheme="minorHAnsi"/>
          <w:bCs/>
          <w:noProof/>
          <w:sz w:val="22"/>
          <w:szCs w:val="22"/>
          <w:lang w:val="es-CO" w:eastAsia="es-CO"/>
        </w:rPr>
      </w:pPr>
      <w:hyperlink w:anchor="_Toc104272173" w:history="1">
        <w:r w:rsidR="00F441CC" w:rsidRPr="00F441CC">
          <w:rPr>
            <w:rStyle w:val="Hipervnculo"/>
            <w:bCs/>
            <w:noProof/>
            <w:lang w:val="es-CO" w:eastAsia="es-CO"/>
          </w:rPr>
          <w:t>8</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_Toc104272173 \h </w:instrText>
        </w:r>
        <w:r w:rsidR="00F441CC" w:rsidRPr="00F441CC">
          <w:rPr>
            <w:bCs/>
            <w:noProof/>
            <w:webHidden/>
          </w:rPr>
        </w:r>
        <w:r w:rsidR="00F441CC" w:rsidRPr="00F441CC">
          <w:rPr>
            <w:bCs/>
            <w:noProof/>
            <w:webHidden/>
          </w:rPr>
          <w:fldChar w:fldCharType="separate"/>
        </w:r>
        <w:r w:rsidR="00F441CC" w:rsidRPr="00F441CC">
          <w:rPr>
            <w:bCs/>
            <w:noProof/>
            <w:webHidden/>
          </w:rPr>
          <w:t>64</w:t>
        </w:r>
        <w:r w:rsidR="00F441CC" w:rsidRPr="00F441CC">
          <w:rPr>
            <w:bCs/>
            <w:noProof/>
            <w:webHidden/>
          </w:rPr>
          <w:fldChar w:fldCharType="end"/>
        </w:r>
      </w:hyperlink>
    </w:p>
    <w:p w14:paraId="6060B178" w14:textId="3CCA27BA" w:rsidR="00F441CC" w:rsidRPr="00F441CC" w:rsidRDefault="0037093A">
      <w:pPr>
        <w:pStyle w:val="TDC1"/>
        <w:rPr>
          <w:rFonts w:asciiTheme="minorHAnsi" w:hAnsiTheme="minorHAnsi"/>
          <w:bCs/>
          <w:noProof/>
          <w:sz w:val="22"/>
          <w:szCs w:val="22"/>
          <w:lang w:val="es-CO" w:eastAsia="es-CO"/>
        </w:rPr>
      </w:pPr>
      <w:hyperlink w:anchor="_Toc104272174" w:history="1">
        <w:r w:rsidR="00F441CC" w:rsidRPr="00F441CC">
          <w:rPr>
            <w:rStyle w:val="Hipervnculo"/>
            <w:bCs/>
            <w:noProof/>
            <w:lang w:val="es-CO" w:eastAsia="es-CO"/>
          </w:rPr>
          <w:t>Contraprestación para el sector postal para el período 2020 – 2022: Propuesta del Ministerio al sector.</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_Toc104272174 \h </w:instrText>
        </w:r>
        <w:r w:rsidR="00F441CC" w:rsidRPr="00F441CC">
          <w:rPr>
            <w:bCs/>
            <w:noProof/>
            <w:webHidden/>
          </w:rPr>
        </w:r>
        <w:r w:rsidR="00F441CC" w:rsidRPr="00F441CC">
          <w:rPr>
            <w:bCs/>
            <w:noProof/>
            <w:webHidden/>
          </w:rPr>
          <w:fldChar w:fldCharType="separate"/>
        </w:r>
        <w:r w:rsidR="00F441CC" w:rsidRPr="00F441CC">
          <w:rPr>
            <w:bCs/>
            <w:noProof/>
            <w:webHidden/>
          </w:rPr>
          <w:t>64</w:t>
        </w:r>
        <w:r w:rsidR="00F441CC" w:rsidRPr="00F441CC">
          <w:rPr>
            <w:bCs/>
            <w:noProof/>
            <w:webHidden/>
          </w:rPr>
          <w:fldChar w:fldCharType="end"/>
        </w:r>
      </w:hyperlink>
    </w:p>
    <w:p w14:paraId="78853ADB" w14:textId="692C477E" w:rsidR="00F441CC" w:rsidRPr="00F441CC" w:rsidRDefault="0037093A">
      <w:pPr>
        <w:pStyle w:val="TDC2"/>
        <w:rPr>
          <w:rFonts w:asciiTheme="minorHAnsi" w:hAnsiTheme="minorHAnsi"/>
          <w:bCs/>
          <w:noProof/>
          <w:sz w:val="22"/>
          <w:szCs w:val="22"/>
          <w:lang w:val="es-CO" w:eastAsia="es-CO"/>
        </w:rPr>
      </w:pPr>
      <w:hyperlink w:anchor="_Toc104272175" w:history="1">
        <w:r w:rsidR="00F441CC" w:rsidRPr="00F441CC">
          <w:rPr>
            <w:rStyle w:val="Hipervnculo"/>
            <w:bCs/>
            <w:noProof/>
            <w:lang w:val="es-CO" w:eastAsia="es-CO"/>
          </w:rPr>
          <w:t>8.1</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Parámetros fundamentales y escenarios contemplados en la determinación de la contraprestación postal.</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_Toc104272175 \h </w:instrText>
        </w:r>
        <w:r w:rsidR="00F441CC" w:rsidRPr="00F441CC">
          <w:rPr>
            <w:bCs/>
            <w:noProof/>
            <w:webHidden/>
          </w:rPr>
        </w:r>
        <w:r w:rsidR="00F441CC" w:rsidRPr="00F441CC">
          <w:rPr>
            <w:bCs/>
            <w:noProof/>
            <w:webHidden/>
          </w:rPr>
          <w:fldChar w:fldCharType="separate"/>
        </w:r>
        <w:r w:rsidR="00F441CC" w:rsidRPr="00F441CC">
          <w:rPr>
            <w:bCs/>
            <w:noProof/>
            <w:webHidden/>
          </w:rPr>
          <w:t>65</w:t>
        </w:r>
        <w:r w:rsidR="00F441CC" w:rsidRPr="00F441CC">
          <w:rPr>
            <w:bCs/>
            <w:noProof/>
            <w:webHidden/>
          </w:rPr>
          <w:fldChar w:fldCharType="end"/>
        </w:r>
      </w:hyperlink>
    </w:p>
    <w:p w14:paraId="2A2FE3D6" w14:textId="3E5DB55F" w:rsidR="00F441CC" w:rsidRPr="00F441CC" w:rsidRDefault="0037093A">
      <w:pPr>
        <w:pStyle w:val="TDC3"/>
        <w:rPr>
          <w:rFonts w:asciiTheme="minorHAnsi" w:hAnsiTheme="minorHAnsi"/>
          <w:bCs/>
          <w:noProof/>
          <w:sz w:val="22"/>
          <w:szCs w:val="22"/>
          <w:lang w:val="es-CO" w:eastAsia="es-CO"/>
        </w:rPr>
      </w:pPr>
      <w:hyperlink w:anchor="_Toc104272176" w:history="1">
        <w:r w:rsidR="00F441CC" w:rsidRPr="00F441CC">
          <w:rPr>
            <w:rStyle w:val="Hipervnculo"/>
            <w:bCs/>
            <w:noProof/>
            <w:lang w:val="es-CO" w:eastAsia="es-CO"/>
          </w:rPr>
          <w:t>8.1.1</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Pago por la prestación del servicio de franquicia postale.</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_Toc104272176 \h </w:instrText>
        </w:r>
        <w:r w:rsidR="00F441CC" w:rsidRPr="00F441CC">
          <w:rPr>
            <w:bCs/>
            <w:noProof/>
            <w:webHidden/>
          </w:rPr>
        </w:r>
        <w:r w:rsidR="00F441CC" w:rsidRPr="00F441CC">
          <w:rPr>
            <w:bCs/>
            <w:noProof/>
            <w:webHidden/>
          </w:rPr>
          <w:fldChar w:fldCharType="separate"/>
        </w:r>
        <w:r w:rsidR="00F441CC" w:rsidRPr="00F441CC">
          <w:rPr>
            <w:bCs/>
            <w:noProof/>
            <w:webHidden/>
          </w:rPr>
          <w:t>65</w:t>
        </w:r>
        <w:r w:rsidR="00F441CC" w:rsidRPr="00F441CC">
          <w:rPr>
            <w:bCs/>
            <w:noProof/>
            <w:webHidden/>
          </w:rPr>
          <w:fldChar w:fldCharType="end"/>
        </w:r>
      </w:hyperlink>
    </w:p>
    <w:p w14:paraId="0A446163" w14:textId="331ED34E" w:rsidR="00F441CC" w:rsidRPr="00F441CC" w:rsidRDefault="0037093A">
      <w:pPr>
        <w:pStyle w:val="TDC3"/>
        <w:rPr>
          <w:rFonts w:asciiTheme="minorHAnsi" w:hAnsiTheme="minorHAnsi"/>
          <w:bCs/>
          <w:noProof/>
          <w:sz w:val="22"/>
          <w:szCs w:val="22"/>
          <w:lang w:val="es-CO" w:eastAsia="es-CO"/>
        </w:rPr>
      </w:pPr>
      <w:hyperlink w:anchor="_Toc104272177" w:history="1">
        <w:r w:rsidR="00F441CC" w:rsidRPr="00F441CC">
          <w:rPr>
            <w:rStyle w:val="Hipervnculo"/>
            <w:bCs/>
            <w:noProof/>
            <w:lang w:val="es-CO" w:eastAsia="es-CO"/>
          </w:rPr>
          <w:t>8.1.2</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Evolución del mercado de giros postales.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_Toc104272177 \h </w:instrText>
        </w:r>
        <w:r w:rsidR="00F441CC" w:rsidRPr="00F441CC">
          <w:rPr>
            <w:bCs/>
            <w:noProof/>
            <w:webHidden/>
          </w:rPr>
        </w:r>
        <w:r w:rsidR="00F441CC" w:rsidRPr="00F441CC">
          <w:rPr>
            <w:bCs/>
            <w:noProof/>
            <w:webHidden/>
          </w:rPr>
          <w:fldChar w:fldCharType="separate"/>
        </w:r>
        <w:r w:rsidR="00F441CC" w:rsidRPr="00F441CC">
          <w:rPr>
            <w:bCs/>
            <w:noProof/>
            <w:webHidden/>
          </w:rPr>
          <w:t>65</w:t>
        </w:r>
        <w:r w:rsidR="00F441CC" w:rsidRPr="00F441CC">
          <w:rPr>
            <w:bCs/>
            <w:noProof/>
            <w:webHidden/>
          </w:rPr>
          <w:fldChar w:fldCharType="end"/>
        </w:r>
      </w:hyperlink>
    </w:p>
    <w:p w14:paraId="7C58C1DE" w14:textId="006DAB1E" w:rsidR="00F441CC" w:rsidRPr="00F441CC" w:rsidRDefault="0037093A">
      <w:pPr>
        <w:pStyle w:val="TDC3"/>
        <w:rPr>
          <w:rFonts w:asciiTheme="minorHAnsi" w:hAnsiTheme="minorHAnsi"/>
          <w:bCs/>
          <w:noProof/>
          <w:sz w:val="22"/>
          <w:szCs w:val="22"/>
          <w:lang w:val="es-CO" w:eastAsia="es-CO"/>
        </w:rPr>
      </w:pPr>
      <w:hyperlink w:anchor="_Toc104272178" w:history="1">
        <w:r w:rsidR="00F441CC" w:rsidRPr="00F441CC">
          <w:rPr>
            <w:rStyle w:val="Hipervnculo"/>
            <w:bCs/>
            <w:noProof/>
            <w:lang w:val="es-CO" w:eastAsia="es-CO"/>
          </w:rPr>
          <w:t>8.1.3</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Evolución en los productos e ingresos del mercado de mensajería expresa. Envíos individuales de menor peso (menores a 2 kilogramos).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_Toc104272178 \h </w:instrText>
        </w:r>
        <w:r w:rsidR="00F441CC" w:rsidRPr="00F441CC">
          <w:rPr>
            <w:bCs/>
            <w:noProof/>
            <w:webHidden/>
          </w:rPr>
        </w:r>
        <w:r w:rsidR="00F441CC" w:rsidRPr="00F441CC">
          <w:rPr>
            <w:bCs/>
            <w:noProof/>
            <w:webHidden/>
          </w:rPr>
          <w:fldChar w:fldCharType="separate"/>
        </w:r>
        <w:r w:rsidR="00F441CC" w:rsidRPr="00F441CC">
          <w:rPr>
            <w:bCs/>
            <w:noProof/>
            <w:webHidden/>
          </w:rPr>
          <w:t>65</w:t>
        </w:r>
        <w:r w:rsidR="00F441CC" w:rsidRPr="00F441CC">
          <w:rPr>
            <w:bCs/>
            <w:noProof/>
            <w:webHidden/>
          </w:rPr>
          <w:fldChar w:fldCharType="end"/>
        </w:r>
      </w:hyperlink>
    </w:p>
    <w:p w14:paraId="7412569C" w14:textId="3EAF90E6" w:rsidR="00F441CC" w:rsidRPr="00F441CC" w:rsidRDefault="0037093A">
      <w:pPr>
        <w:pStyle w:val="TDC3"/>
        <w:rPr>
          <w:rFonts w:asciiTheme="minorHAnsi" w:hAnsiTheme="minorHAnsi"/>
          <w:bCs/>
          <w:noProof/>
          <w:sz w:val="22"/>
          <w:szCs w:val="22"/>
          <w:lang w:val="es-CO" w:eastAsia="es-CO"/>
        </w:rPr>
      </w:pPr>
      <w:hyperlink w:anchor="_Toc104272179" w:history="1">
        <w:r w:rsidR="00F441CC" w:rsidRPr="00F441CC">
          <w:rPr>
            <w:rStyle w:val="Hipervnculo"/>
            <w:bCs/>
            <w:noProof/>
            <w:lang w:val="es-CO" w:eastAsia="es-CO"/>
          </w:rPr>
          <w:t>8.1.4</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Evolución en los productos e ingresos del mercado de envíos masivos de mensajería expresa y de correo.</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_Toc104272179 \h </w:instrText>
        </w:r>
        <w:r w:rsidR="00F441CC" w:rsidRPr="00F441CC">
          <w:rPr>
            <w:bCs/>
            <w:noProof/>
            <w:webHidden/>
          </w:rPr>
        </w:r>
        <w:r w:rsidR="00F441CC" w:rsidRPr="00F441CC">
          <w:rPr>
            <w:bCs/>
            <w:noProof/>
            <w:webHidden/>
          </w:rPr>
          <w:fldChar w:fldCharType="separate"/>
        </w:r>
        <w:r w:rsidR="00F441CC" w:rsidRPr="00F441CC">
          <w:rPr>
            <w:bCs/>
            <w:noProof/>
            <w:webHidden/>
          </w:rPr>
          <w:t>66</w:t>
        </w:r>
        <w:r w:rsidR="00F441CC" w:rsidRPr="00F441CC">
          <w:rPr>
            <w:bCs/>
            <w:noProof/>
            <w:webHidden/>
          </w:rPr>
          <w:fldChar w:fldCharType="end"/>
        </w:r>
      </w:hyperlink>
    </w:p>
    <w:p w14:paraId="7E918D56" w14:textId="71A4DE7A" w:rsidR="00F441CC" w:rsidRPr="00F441CC" w:rsidRDefault="0037093A">
      <w:pPr>
        <w:pStyle w:val="TDC3"/>
        <w:rPr>
          <w:rFonts w:asciiTheme="minorHAnsi" w:hAnsiTheme="minorHAnsi"/>
          <w:bCs/>
          <w:noProof/>
          <w:sz w:val="22"/>
          <w:szCs w:val="22"/>
          <w:lang w:val="es-CO" w:eastAsia="es-CO"/>
        </w:rPr>
      </w:pPr>
      <w:hyperlink w:anchor="_Toc104272180" w:history="1">
        <w:r w:rsidR="00F441CC" w:rsidRPr="00F441CC">
          <w:rPr>
            <w:rStyle w:val="Hipervnculo"/>
            <w:bCs/>
            <w:noProof/>
            <w:lang w:val="es-CO" w:eastAsia="es-CO"/>
          </w:rPr>
          <w:t>8.1.5</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Evolución y crecimiento significativo en los envíos de mensajería expresa de mayor tamaño (2 – 5 kilogramos).</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_Toc104272180 \h </w:instrText>
        </w:r>
        <w:r w:rsidR="00F441CC" w:rsidRPr="00F441CC">
          <w:rPr>
            <w:bCs/>
            <w:noProof/>
            <w:webHidden/>
          </w:rPr>
        </w:r>
        <w:r w:rsidR="00F441CC" w:rsidRPr="00F441CC">
          <w:rPr>
            <w:bCs/>
            <w:noProof/>
            <w:webHidden/>
          </w:rPr>
          <w:fldChar w:fldCharType="separate"/>
        </w:r>
        <w:r w:rsidR="00F441CC" w:rsidRPr="00F441CC">
          <w:rPr>
            <w:bCs/>
            <w:noProof/>
            <w:webHidden/>
          </w:rPr>
          <w:t>66</w:t>
        </w:r>
        <w:r w:rsidR="00F441CC" w:rsidRPr="00F441CC">
          <w:rPr>
            <w:bCs/>
            <w:noProof/>
            <w:webHidden/>
          </w:rPr>
          <w:fldChar w:fldCharType="end"/>
        </w:r>
      </w:hyperlink>
    </w:p>
    <w:p w14:paraId="30E82763" w14:textId="610FCA28" w:rsidR="00F441CC" w:rsidRPr="00F441CC" w:rsidRDefault="0037093A">
      <w:pPr>
        <w:pStyle w:val="TDC3"/>
        <w:rPr>
          <w:rFonts w:asciiTheme="minorHAnsi" w:hAnsiTheme="minorHAnsi"/>
          <w:bCs/>
          <w:noProof/>
          <w:sz w:val="22"/>
          <w:szCs w:val="22"/>
          <w:lang w:val="es-CO" w:eastAsia="es-CO"/>
        </w:rPr>
      </w:pPr>
      <w:hyperlink w:anchor="_Toc104272181" w:history="1">
        <w:r w:rsidR="00F441CC" w:rsidRPr="00F441CC">
          <w:rPr>
            <w:rStyle w:val="Hipervnculo"/>
            <w:bCs/>
            <w:noProof/>
            <w:lang w:val="es-CO" w:eastAsia="es-CO"/>
          </w:rPr>
          <w:t>8.1.6</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Tendencia en los ingresos de los productos del Servicio Postal Universal.</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_Toc104272181 \h </w:instrText>
        </w:r>
        <w:r w:rsidR="00F441CC" w:rsidRPr="00F441CC">
          <w:rPr>
            <w:bCs/>
            <w:noProof/>
            <w:webHidden/>
          </w:rPr>
        </w:r>
        <w:r w:rsidR="00F441CC" w:rsidRPr="00F441CC">
          <w:rPr>
            <w:bCs/>
            <w:noProof/>
            <w:webHidden/>
          </w:rPr>
          <w:fldChar w:fldCharType="separate"/>
        </w:r>
        <w:r w:rsidR="00F441CC" w:rsidRPr="00F441CC">
          <w:rPr>
            <w:bCs/>
            <w:noProof/>
            <w:webHidden/>
          </w:rPr>
          <w:t>66</w:t>
        </w:r>
        <w:r w:rsidR="00F441CC" w:rsidRPr="00F441CC">
          <w:rPr>
            <w:bCs/>
            <w:noProof/>
            <w:webHidden/>
          </w:rPr>
          <w:fldChar w:fldCharType="end"/>
        </w:r>
      </w:hyperlink>
    </w:p>
    <w:p w14:paraId="553BC047" w14:textId="73E85560" w:rsidR="00F441CC" w:rsidRPr="00F441CC" w:rsidRDefault="0037093A">
      <w:pPr>
        <w:pStyle w:val="TDC3"/>
        <w:rPr>
          <w:rFonts w:asciiTheme="minorHAnsi" w:hAnsiTheme="minorHAnsi"/>
          <w:bCs/>
          <w:noProof/>
          <w:sz w:val="22"/>
          <w:szCs w:val="22"/>
          <w:lang w:val="es-CO" w:eastAsia="es-CO"/>
        </w:rPr>
      </w:pPr>
      <w:hyperlink w:anchor="_Toc104272182" w:history="1">
        <w:r w:rsidR="00F441CC" w:rsidRPr="00F441CC">
          <w:rPr>
            <w:rStyle w:val="Hipervnculo"/>
            <w:bCs/>
            <w:noProof/>
            <w:lang w:val="es-CO" w:eastAsia="es-CO"/>
          </w:rPr>
          <w:t>8.1.7</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Evolución en el déficit causado por la prestación del Servicio Postal Universal.</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_Toc104272182 \h </w:instrText>
        </w:r>
        <w:r w:rsidR="00F441CC" w:rsidRPr="00F441CC">
          <w:rPr>
            <w:bCs/>
            <w:noProof/>
            <w:webHidden/>
          </w:rPr>
        </w:r>
        <w:r w:rsidR="00F441CC" w:rsidRPr="00F441CC">
          <w:rPr>
            <w:bCs/>
            <w:noProof/>
            <w:webHidden/>
          </w:rPr>
          <w:fldChar w:fldCharType="separate"/>
        </w:r>
        <w:r w:rsidR="00F441CC" w:rsidRPr="00F441CC">
          <w:rPr>
            <w:bCs/>
            <w:noProof/>
            <w:webHidden/>
          </w:rPr>
          <w:t>66</w:t>
        </w:r>
        <w:r w:rsidR="00F441CC" w:rsidRPr="00F441CC">
          <w:rPr>
            <w:bCs/>
            <w:noProof/>
            <w:webHidden/>
          </w:rPr>
          <w:fldChar w:fldCharType="end"/>
        </w:r>
      </w:hyperlink>
    </w:p>
    <w:p w14:paraId="704C5049" w14:textId="0BF5E98D" w:rsidR="00F441CC" w:rsidRPr="00F441CC" w:rsidRDefault="0037093A">
      <w:pPr>
        <w:pStyle w:val="TDC2"/>
        <w:rPr>
          <w:rFonts w:asciiTheme="minorHAnsi" w:hAnsiTheme="minorHAnsi"/>
          <w:bCs/>
          <w:noProof/>
          <w:sz w:val="22"/>
          <w:szCs w:val="22"/>
          <w:lang w:val="es-CO" w:eastAsia="es-CO"/>
        </w:rPr>
      </w:pPr>
      <w:hyperlink w:anchor="_Toc104272183" w:history="1">
        <w:r w:rsidR="00F441CC" w:rsidRPr="00F441CC">
          <w:rPr>
            <w:rStyle w:val="Hipervnculo"/>
            <w:bCs/>
            <w:noProof/>
            <w:lang w:val="es-CO" w:eastAsia="es-CO"/>
          </w:rPr>
          <w:t>8.2</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definición de la contraprestación: escenarios de política.</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_Toc104272183 \h </w:instrText>
        </w:r>
        <w:r w:rsidR="00F441CC" w:rsidRPr="00F441CC">
          <w:rPr>
            <w:bCs/>
            <w:noProof/>
            <w:webHidden/>
          </w:rPr>
        </w:r>
        <w:r w:rsidR="00F441CC" w:rsidRPr="00F441CC">
          <w:rPr>
            <w:bCs/>
            <w:noProof/>
            <w:webHidden/>
          </w:rPr>
          <w:fldChar w:fldCharType="separate"/>
        </w:r>
        <w:r w:rsidR="00F441CC" w:rsidRPr="00F441CC">
          <w:rPr>
            <w:bCs/>
            <w:noProof/>
            <w:webHidden/>
          </w:rPr>
          <w:t>67</w:t>
        </w:r>
        <w:r w:rsidR="00F441CC" w:rsidRPr="00F441CC">
          <w:rPr>
            <w:bCs/>
            <w:noProof/>
            <w:webHidden/>
          </w:rPr>
          <w:fldChar w:fldCharType="end"/>
        </w:r>
      </w:hyperlink>
    </w:p>
    <w:p w14:paraId="3AB10152" w14:textId="0AD1415C" w:rsidR="00F441CC" w:rsidRPr="00F441CC" w:rsidRDefault="0037093A">
      <w:pPr>
        <w:pStyle w:val="TDC3"/>
        <w:rPr>
          <w:rFonts w:asciiTheme="minorHAnsi" w:hAnsiTheme="minorHAnsi"/>
          <w:bCs/>
          <w:noProof/>
          <w:sz w:val="22"/>
          <w:szCs w:val="22"/>
          <w:lang w:val="es-CO" w:eastAsia="es-CO"/>
        </w:rPr>
      </w:pPr>
      <w:hyperlink w:anchor="_Toc104272184" w:history="1">
        <w:r w:rsidR="00F441CC" w:rsidRPr="00F441CC">
          <w:rPr>
            <w:rStyle w:val="Hipervnculo"/>
            <w:bCs/>
            <w:noProof/>
            <w:lang w:val="es-CO" w:eastAsia="es-CO"/>
          </w:rPr>
          <w:t>8.2.1</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Escenario extremo 1.</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_Toc104272184 \h </w:instrText>
        </w:r>
        <w:r w:rsidR="00F441CC" w:rsidRPr="00F441CC">
          <w:rPr>
            <w:bCs/>
            <w:noProof/>
            <w:webHidden/>
          </w:rPr>
        </w:r>
        <w:r w:rsidR="00F441CC" w:rsidRPr="00F441CC">
          <w:rPr>
            <w:bCs/>
            <w:noProof/>
            <w:webHidden/>
          </w:rPr>
          <w:fldChar w:fldCharType="separate"/>
        </w:r>
        <w:r w:rsidR="00F441CC" w:rsidRPr="00F441CC">
          <w:rPr>
            <w:bCs/>
            <w:noProof/>
            <w:webHidden/>
          </w:rPr>
          <w:t>67</w:t>
        </w:r>
        <w:r w:rsidR="00F441CC" w:rsidRPr="00F441CC">
          <w:rPr>
            <w:bCs/>
            <w:noProof/>
            <w:webHidden/>
          </w:rPr>
          <w:fldChar w:fldCharType="end"/>
        </w:r>
      </w:hyperlink>
    </w:p>
    <w:p w14:paraId="338C89EC" w14:textId="5C19E986" w:rsidR="00F441CC" w:rsidRPr="00F441CC" w:rsidRDefault="0037093A">
      <w:pPr>
        <w:pStyle w:val="TDC3"/>
        <w:rPr>
          <w:rFonts w:asciiTheme="minorHAnsi" w:hAnsiTheme="minorHAnsi"/>
          <w:bCs/>
          <w:noProof/>
          <w:sz w:val="22"/>
          <w:szCs w:val="22"/>
          <w:lang w:val="es-CO" w:eastAsia="es-CO"/>
        </w:rPr>
      </w:pPr>
      <w:hyperlink w:anchor="_Toc104272185" w:history="1">
        <w:r w:rsidR="00F441CC" w:rsidRPr="00F441CC">
          <w:rPr>
            <w:rStyle w:val="Hipervnculo"/>
            <w:bCs/>
            <w:noProof/>
            <w:lang w:val="es-CO" w:eastAsia="es-CO"/>
          </w:rPr>
          <w:t>8.2.2</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Escenario Alternativo A.</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_Toc104272185 \h </w:instrText>
        </w:r>
        <w:r w:rsidR="00F441CC" w:rsidRPr="00F441CC">
          <w:rPr>
            <w:bCs/>
            <w:noProof/>
            <w:webHidden/>
          </w:rPr>
        </w:r>
        <w:r w:rsidR="00F441CC" w:rsidRPr="00F441CC">
          <w:rPr>
            <w:bCs/>
            <w:noProof/>
            <w:webHidden/>
          </w:rPr>
          <w:fldChar w:fldCharType="separate"/>
        </w:r>
        <w:r w:rsidR="00F441CC" w:rsidRPr="00F441CC">
          <w:rPr>
            <w:bCs/>
            <w:noProof/>
            <w:webHidden/>
          </w:rPr>
          <w:t>68</w:t>
        </w:r>
        <w:r w:rsidR="00F441CC" w:rsidRPr="00F441CC">
          <w:rPr>
            <w:bCs/>
            <w:noProof/>
            <w:webHidden/>
          </w:rPr>
          <w:fldChar w:fldCharType="end"/>
        </w:r>
      </w:hyperlink>
    </w:p>
    <w:p w14:paraId="3193E220" w14:textId="5BAF6B25" w:rsidR="00F441CC" w:rsidRPr="00F441CC" w:rsidRDefault="0037093A">
      <w:pPr>
        <w:pStyle w:val="TDC3"/>
        <w:rPr>
          <w:rFonts w:asciiTheme="minorHAnsi" w:hAnsiTheme="minorHAnsi"/>
          <w:bCs/>
          <w:noProof/>
          <w:sz w:val="22"/>
          <w:szCs w:val="22"/>
          <w:lang w:val="es-CO" w:eastAsia="es-CO"/>
        </w:rPr>
      </w:pPr>
      <w:hyperlink w:anchor="_Toc104272186" w:history="1">
        <w:r w:rsidR="00F441CC" w:rsidRPr="00F441CC">
          <w:rPr>
            <w:rStyle w:val="Hipervnculo"/>
            <w:bCs/>
            <w:noProof/>
            <w:lang w:val="es-CO" w:eastAsia="es-CO"/>
          </w:rPr>
          <w:t>8.2.3</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Escenario Alternativo B.</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_Toc104272186 \h </w:instrText>
        </w:r>
        <w:r w:rsidR="00F441CC" w:rsidRPr="00F441CC">
          <w:rPr>
            <w:bCs/>
            <w:noProof/>
            <w:webHidden/>
          </w:rPr>
        </w:r>
        <w:r w:rsidR="00F441CC" w:rsidRPr="00F441CC">
          <w:rPr>
            <w:bCs/>
            <w:noProof/>
            <w:webHidden/>
          </w:rPr>
          <w:fldChar w:fldCharType="separate"/>
        </w:r>
        <w:r w:rsidR="00F441CC" w:rsidRPr="00F441CC">
          <w:rPr>
            <w:bCs/>
            <w:noProof/>
            <w:webHidden/>
          </w:rPr>
          <w:t>68</w:t>
        </w:r>
        <w:r w:rsidR="00F441CC" w:rsidRPr="00F441CC">
          <w:rPr>
            <w:bCs/>
            <w:noProof/>
            <w:webHidden/>
          </w:rPr>
          <w:fldChar w:fldCharType="end"/>
        </w:r>
      </w:hyperlink>
    </w:p>
    <w:p w14:paraId="1156B2BB" w14:textId="5BF66BA8" w:rsidR="00F441CC" w:rsidRPr="00F441CC" w:rsidRDefault="0037093A">
      <w:pPr>
        <w:pStyle w:val="TDC3"/>
        <w:rPr>
          <w:rFonts w:asciiTheme="minorHAnsi" w:hAnsiTheme="minorHAnsi"/>
          <w:bCs/>
          <w:noProof/>
          <w:sz w:val="22"/>
          <w:szCs w:val="22"/>
          <w:lang w:val="es-CO" w:eastAsia="es-CO"/>
        </w:rPr>
      </w:pPr>
      <w:hyperlink w:anchor="_Toc104272187" w:history="1">
        <w:r w:rsidR="00F441CC" w:rsidRPr="00F441CC">
          <w:rPr>
            <w:rStyle w:val="Hipervnculo"/>
            <w:bCs/>
            <w:noProof/>
            <w:lang w:val="es-CO" w:eastAsia="es-CO"/>
          </w:rPr>
          <w:t>8.2.4</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Escenario Alternativo C.</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_Toc104272187 \h </w:instrText>
        </w:r>
        <w:r w:rsidR="00F441CC" w:rsidRPr="00F441CC">
          <w:rPr>
            <w:bCs/>
            <w:noProof/>
            <w:webHidden/>
          </w:rPr>
        </w:r>
        <w:r w:rsidR="00F441CC" w:rsidRPr="00F441CC">
          <w:rPr>
            <w:bCs/>
            <w:noProof/>
            <w:webHidden/>
          </w:rPr>
          <w:fldChar w:fldCharType="separate"/>
        </w:r>
        <w:r w:rsidR="00F441CC" w:rsidRPr="00F441CC">
          <w:rPr>
            <w:bCs/>
            <w:noProof/>
            <w:webHidden/>
          </w:rPr>
          <w:t>69</w:t>
        </w:r>
        <w:r w:rsidR="00F441CC" w:rsidRPr="00F441CC">
          <w:rPr>
            <w:bCs/>
            <w:noProof/>
            <w:webHidden/>
          </w:rPr>
          <w:fldChar w:fldCharType="end"/>
        </w:r>
      </w:hyperlink>
    </w:p>
    <w:p w14:paraId="46135FE3" w14:textId="1AFA4196" w:rsidR="00F441CC" w:rsidRPr="00F441CC" w:rsidRDefault="0037093A">
      <w:pPr>
        <w:pStyle w:val="TDC3"/>
        <w:rPr>
          <w:rFonts w:asciiTheme="minorHAnsi" w:hAnsiTheme="minorHAnsi"/>
          <w:bCs/>
          <w:noProof/>
          <w:sz w:val="22"/>
          <w:szCs w:val="22"/>
          <w:lang w:val="es-CO" w:eastAsia="es-CO"/>
        </w:rPr>
      </w:pPr>
      <w:hyperlink w:anchor="_Toc104272188" w:history="1">
        <w:r w:rsidR="00F441CC" w:rsidRPr="00F441CC">
          <w:rPr>
            <w:rStyle w:val="Hipervnculo"/>
            <w:bCs/>
            <w:noProof/>
            <w:lang w:val="es-CO" w:eastAsia="es-CO"/>
          </w:rPr>
          <w:t>8.2.5</w:t>
        </w:r>
        <w:r w:rsidR="00F441CC" w:rsidRPr="00F441CC">
          <w:rPr>
            <w:rFonts w:asciiTheme="minorHAnsi" w:hAnsiTheme="minorHAnsi"/>
            <w:bCs/>
            <w:noProof/>
            <w:sz w:val="22"/>
            <w:szCs w:val="22"/>
            <w:lang w:val="es-CO" w:eastAsia="es-CO"/>
          </w:rPr>
          <w:tab/>
        </w:r>
        <w:r w:rsidR="00F441CC" w:rsidRPr="00F441CC">
          <w:rPr>
            <w:rStyle w:val="Hipervnculo"/>
            <w:bCs/>
            <w:noProof/>
            <w:lang w:val="es-CO" w:eastAsia="es-CO"/>
          </w:rPr>
          <w:t>Escenario Extremo 2:</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_Toc104272188 \h </w:instrText>
        </w:r>
        <w:r w:rsidR="00F441CC" w:rsidRPr="00F441CC">
          <w:rPr>
            <w:bCs/>
            <w:noProof/>
            <w:webHidden/>
          </w:rPr>
        </w:r>
        <w:r w:rsidR="00F441CC" w:rsidRPr="00F441CC">
          <w:rPr>
            <w:bCs/>
            <w:noProof/>
            <w:webHidden/>
          </w:rPr>
          <w:fldChar w:fldCharType="separate"/>
        </w:r>
        <w:r w:rsidR="00F441CC" w:rsidRPr="00F441CC">
          <w:rPr>
            <w:bCs/>
            <w:noProof/>
            <w:webHidden/>
          </w:rPr>
          <w:t>69</w:t>
        </w:r>
        <w:r w:rsidR="00F441CC" w:rsidRPr="00F441CC">
          <w:rPr>
            <w:bCs/>
            <w:noProof/>
            <w:webHidden/>
          </w:rPr>
          <w:fldChar w:fldCharType="end"/>
        </w:r>
      </w:hyperlink>
    </w:p>
    <w:p w14:paraId="70526AE4" w14:textId="5774FBC6" w:rsidR="00F441CC" w:rsidRPr="00F441CC" w:rsidRDefault="0037093A">
      <w:pPr>
        <w:pStyle w:val="TDC2"/>
        <w:rPr>
          <w:rFonts w:asciiTheme="minorHAnsi" w:hAnsiTheme="minorHAnsi"/>
          <w:bCs/>
          <w:noProof/>
          <w:sz w:val="22"/>
          <w:szCs w:val="22"/>
          <w:lang w:val="es-CO" w:eastAsia="es-CO"/>
        </w:rPr>
      </w:pPr>
      <w:hyperlink w:anchor="_Toc104272189" w:history="1">
        <w:r w:rsidR="00F441CC" w:rsidRPr="00F441CC">
          <w:rPr>
            <w:rStyle w:val="Hipervnculo"/>
            <w:bCs/>
            <w:noProof/>
          </w:rPr>
          <w:t>8.3</w:t>
        </w:r>
        <w:r w:rsidR="00F441CC" w:rsidRPr="00F441CC">
          <w:rPr>
            <w:rFonts w:asciiTheme="minorHAnsi" w:hAnsiTheme="minorHAnsi"/>
            <w:bCs/>
            <w:noProof/>
            <w:sz w:val="22"/>
            <w:szCs w:val="22"/>
            <w:lang w:val="es-CO" w:eastAsia="es-CO"/>
          </w:rPr>
          <w:tab/>
        </w:r>
        <w:r w:rsidR="00F441CC" w:rsidRPr="00F441CC">
          <w:rPr>
            <w:rStyle w:val="Hipervnculo"/>
            <w:bCs/>
            <w:noProof/>
          </w:rPr>
          <w:t>Consideraciones acerca de la contraprestación postal a definir para el período comprendido entre julio 1º de 2022 y junio 30 de 2024.</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_Toc104272189 \h </w:instrText>
        </w:r>
        <w:r w:rsidR="00F441CC" w:rsidRPr="00F441CC">
          <w:rPr>
            <w:bCs/>
            <w:noProof/>
            <w:webHidden/>
          </w:rPr>
        </w:r>
        <w:r w:rsidR="00F441CC" w:rsidRPr="00F441CC">
          <w:rPr>
            <w:bCs/>
            <w:noProof/>
            <w:webHidden/>
          </w:rPr>
          <w:fldChar w:fldCharType="separate"/>
        </w:r>
        <w:r w:rsidR="00F441CC" w:rsidRPr="00F441CC">
          <w:rPr>
            <w:bCs/>
            <w:noProof/>
            <w:webHidden/>
          </w:rPr>
          <w:t>70</w:t>
        </w:r>
        <w:r w:rsidR="00F441CC" w:rsidRPr="00F441CC">
          <w:rPr>
            <w:bCs/>
            <w:noProof/>
            <w:webHidden/>
          </w:rPr>
          <w:fldChar w:fldCharType="end"/>
        </w:r>
      </w:hyperlink>
    </w:p>
    <w:p w14:paraId="24DBAE75" w14:textId="3B1A893B" w:rsidR="00F441CC" w:rsidRPr="00F441CC" w:rsidRDefault="0037093A">
      <w:pPr>
        <w:pStyle w:val="TDC2"/>
        <w:rPr>
          <w:rFonts w:asciiTheme="minorHAnsi" w:hAnsiTheme="minorHAnsi"/>
          <w:bCs/>
          <w:noProof/>
          <w:sz w:val="22"/>
          <w:szCs w:val="22"/>
          <w:lang w:val="es-CO" w:eastAsia="es-CO"/>
        </w:rPr>
      </w:pPr>
      <w:hyperlink w:anchor="_Toc104272190" w:history="1">
        <w:r w:rsidR="00F441CC" w:rsidRPr="00F441CC">
          <w:rPr>
            <w:rStyle w:val="Hipervnculo"/>
            <w:bCs/>
            <w:noProof/>
          </w:rPr>
          <w:t>8.4</w:t>
        </w:r>
        <w:r w:rsidR="00F441CC" w:rsidRPr="00F441CC">
          <w:rPr>
            <w:rFonts w:asciiTheme="minorHAnsi" w:hAnsiTheme="minorHAnsi"/>
            <w:bCs/>
            <w:noProof/>
            <w:sz w:val="22"/>
            <w:szCs w:val="22"/>
            <w:lang w:val="es-CO" w:eastAsia="es-CO"/>
          </w:rPr>
          <w:tab/>
        </w:r>
        <w:r w:rsidR="00F441CC" w:rsidRPr="00F441CC">
          <w:rPr>
            <w:rStyle w:val="Hipervnculo"/>
            <w:bCs/>
            <w:noProof/>
          </w:rPr>
          <w:t>Definición de la contraprestación postal del FUTIC para el periodo 2022 – 2024: Conclusiones y propuesta.</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_Toc104272190 \h </w:instrText>
        </w:r>
        <w:r w:rsidR="00F441CC" w:rsidRPr="00F441CC">
          <w:rPr>
            <w:bCs/>
            <w:noProof/>
            <w:webHidden/>
          </w:rPr>
        </w:r>
        <w:r w:rsidR="00F441CC" w:rsidRPr="00F441CC">
          <w:rPr>
            <w:bCs/>
            <w:noProof/>
            <w:webHidden/>
          </w:rPr>
          <w:fldChar w:fldCharType="separate"/>
        </w:r>
        <w:r w:rsidR="00F441CC" w:rsidRPr="00F441CC">
          <w:rPr>
            <w:bCs/>
            <w:noProof/>
            <w:webHidden/>
          </w:rPr>
          <w:t>71</w:t>
        </w:r>
        <w:r w:rsidR="00F441CC" w:rsidRPr="00F441CC">
          <w:rPr>
            <w:bCs/>
            <w:noProof/>
            <w:webHidden/>
          </w:rPr>
          <w:fldChar w:fldCharType="end"/>
        </w:r>
      </w:hyperlink>
    </w:p>
    <w:p w14:paraId="1AC07B46" w14:textId="18552F7E" w:rsidR="00F441CC" w:rsidRPr="00F441CC" w:rsidRDefault="0037093A">
      <w:pPr>
        <w:pStyle w:val="TDC1"/>
        <w:rPr>
          <w:rFonts w:asciiTheme="minorHAnsi" w:hAnsiTheme="minorHAnsi"/>
          <w:bCs/>
          <w:noProof/>
          <w:sz w:val="22"/>
          <w:szCs w:val="22"/>
          <w:lang w:val="es-CO" w:eastAsia="es-CO"/>
        </w:rPr>
      </w:pPr>
      <w:hyperlink w:anchor="_Toc104272191" w:history="1">
        <w:r w:rsidR="00F441CC" w:rsidRPr="00F441CC">
          <w:rPr>
            <w:rStyle w:val="Hipervnculo"/>
            <w:bCs/>
            <w:noProof/>
            <w:lang w:val="es-CO" w:eastAsia="es-CO"/>
          </w:rPr>
          <w:t>Bibliografía</w:t>
        </w:r>
        <w:r w:rsidR="00F441CC" w:rsidRPr="00F441CC">
          <w:rPr>
            <w:bCs/>
            <w:noProof/>
            <w:webHidden/>
          </w:rPr>
          <w:tab/>
        </w:r>
        <w:r w:rsidR="00F441CC" w:rsidRPr="00F441CC">
          <w:rPr>
            <w:bCs/>
            <w:noProof/>
            <w:webHidden/>
          </w:rPr>
          <w:fldChar w:fldCharType="begin"/>
        </w:r>
        <w:r w:rsidR="00F441CC" w:rsidRPr="00F441CC">
          <w:rPr>
            <w:bCs/>
            <w:noProof/>
            <w:webHidden/>
          </w:rPr>
          <w:instrText xml:space="preserve"> PAGEREF _Toc104272191 \h </w:instrText>
        </w:r>
        <w:r w:rsidR="00F441CC" w:rsidRPr="00F441CC">
          <w:rPr>
            <w:bCs/>
            <w:noProof/>
            <w:webHidden/>
          </w:rPr>
        </w:r>
        <w:r w:rsidR="00F441CC" w:rsidRPr="00F441CC">
          <w:rPr>
            <w:bCs/>
            <w:noProof/>
            <w:webHidden/>
          </w:rPr>
          <w:fldChar w:fldCharType="separate"/>
        </w:r>
        <w:r w:rsidR="00F441CC" w:rsidRPr="00F441CC">
          <w:rPr>
            <w:bCs/>
            <w:noProof/>
            <w:webHidden/>
          </w:rPr>
          <w:t>72</w:t>
        </w:r>
        <w:r w:rsidR="00F441CC" w:rsidRPr="00F441CC">
          <w:rPr>
            <w:bCs/>
            <w:noProof/>
            <w:webHidden/>
          </w:rPr>
          <w:fldChar w:fldCharType="end"/>
        </w:r>
      </w:hyperlink>
    </w:p>
    <w:p w14:paraId="4DB5E490" w14:textId="6545EBD1" w:rsidR="008338A8" w:rsidRPr="005503B4" w:rsidRDefault="002942D5">
      <w:pPr>
        <w:spacing w:before="0" w:after="120" w:line="276" w:lineRule="auto"/>
      </w:pPr>
      <w:r w:rsidRPr="00F441CC">
        <w:rPr>
          <w:bCs/>
          <w:szCs w:val="24"/>
        </w:rPr>
        <w:fldChar w:fldCharType="end"/>
      </w:r>
      <w:r w:rsidR="008338A8" w:rsidRPr="005503B4">
        <w:br w:type="page"/>
      </w:r>
    </w:p>
    <w:p w14:paraId="16983C28" w14:textId="5BD6A68B" w:rsidR="00D16D64" w:rsidRPr="005503B4" w:rsidRDefault="008338A8" w:rsidP="00590BCF">
      <w:pPr>
        <w:pStyle w:val="Titulodescripcin"/>
      </w:pPr>
      <w:bookmarkStart w:id="6" w:name="_Toc102393241"/>
      <w:bookmarkStart w:id="7" w:name="_Toc102635235"/>
      <w:bookmarkStart w:id="8" w:name="_Toc104272097"/>
      <w:bookmarkStart w:id="9" w:name="_Toc40093997"/>
      <w:r w:rsidRPr="005503B4">
        <w:lastRenderedPageBreak/>
        <w:t>Relación de gráficas</w:t>
      </w:r>
      <w:bookmarkEnd w:id="6"/>
      <w:bookmarkEnd w:id="7"/>
      <w:bookmarkEnd w:id="8"/>
    </w:p>
    <w:p w14:paraId="76F1FF1B" w14:textId="455FD444" w:rsidR="0013260D" w:rsidRDefault="00D16D64">
      <w:pPr>
        <w:pStyle w:val="Tabladeilustraciones"/>
        <w:tabs>
          <w:tab w:val="right" w:leader="dot" w:pos="9202"/>
        </w:tabs>
        <w:rPr>
          <w:rFonts w:asciiTheme="minorHAnsi" w:hAnsiTheme="minorHAnsi"/>
          <w:noProof/>
          <w:sz w:val="22"/>
          <w:szCs w:val="22"/>
          <w:lang w:val="es-CO" w:eastAsia="es-CO"/>
        </w:rPr>
      </w:pPr>
      <w:r w:rsidRPr="005503B4">
        <w:fldChar w:fldCharType="begin"/>
      </w:r>
      <w:r w:rsidRPr="005503B4">
        <w:instrText xml:space="preserve"> TOC \h \z \c "Gráfica" </w:instrText>
      </w:r>
      <w:r w:rsidRPr="005503B4">
        <w:fldChar w:fldCharType="separate"/>
      </w:r>
      <w:hyperlink w:anchor="_Toc104228709" w:history="1">
        <w:r w:rsidR="0013260D" w:rsidRPr="002244EC">
          <w:rPr>
            <w:rStyle w:val="Hipervnculo"/>
            <w:noProof/>
          </w:rPr>
          <w:t>Gráfica 2</w:t>
        </w:r>
        <w:r w:rsidR="0013260D" w:rsidRPr="002244EC">
          <w:rPr>
            <w:rStyle w:val="Hipervnculo"/>
            <w:noProof/>
          </w:rPr>
          <w:noBreakHyphen/>
          <w:t>1 - Ingresos reales del mercado postal</w:t>
        </w:r>
        <w:r w:rsidR="0013260D" w:rsidRPr="002244EC">
          <w:rPr>
            <w:rStyle w:val="Hipervnculo"/>
            <w:noProof/>
            <w:vertAlign w:val="superscript"/>
          </w:rPr>
          <w:t>1</w:t>
        </w:r>
        <w:r w:rsidR="0013260D" w:rsidRPr="002244EC">
          <w:rPr>
            <w:rStyle w:val="Hipervnculo"/>
            <w:noProof/>
          </w:rPr>
          <w:t xml:space="preserve"> (Millones de pesos reales de 2021)</w:t>
        </w:r>
        <w:r w:rsidR="0013260D">
          <w:rPr>
            <w:noProof/>
            <w:webHidden/>
          </w:rPr>
          <w:tab/>
        </w:r>
        <w:r w:rsidR="0013260D">
          <w:rPr>
            <w:noProof/>
            <w:webHidden/>
          </w:rPr>
          <w:fldChar w:fldCharType="begin"/>
        </w:r>
        <w:r w:rsidR="0013260D">
          <w:rPr>
            <w:noProof/>
            <w:webHidden/>
          </w:rPr>
          <w:instrText xml:space="preserve"> PAGEREF _Toc104228709 \h </w:instrText>
        </w:r>
        <w:r w:rsidR="0013260D">
          <w:rPr>
            <w:noProof/>
            <w:webHidden/>
          </w:rPr>
        </w:r>
        <w:r w:rsidR="0013260D">
          <w:rPr>
            <w:noProof/>
            <w:webHidden/>
          </w:rPr>
          <w:fldChar w:fldCharType="separate"/>
        </w:r>
        <w:r w:rsidR="0013260D">
          <w:rPr>
            <w:noProof/>
            <w:webHidden/>
          </w:rPr>
          <w:t>8</w:t>
        </w:r>
        <w:r w:rsidR="0013260D">
          <w:rPr>
            <w:noProof/>
            <w:webHidden/>
          </w:rPr>
          <w:fldChar w:fldCharType="end"/>
        </w:r>
      </w:hyperlink>
    </w:p>
    <w:p w14:paraId="3CD4A220" w14:textId="3C8823E6"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10" w:history="1">
        <w:r w:rsidR="0013260D" w:rsidRPr="002244EC">
          <w:rPr>
            <w:rStyle w:val="Hipervnculo"/>
            <w:noProof/>
          </w:rPr>
          <w:t>Gráfica 2</w:t>
        </w:r>
        <w:r w:rsidR="0013260D" w:rsidRPr="002244EC">
          <w:rPr>
            <w:rStyle w:val="Hipervnculo"/>
            <w:noProof/>
          </w:rPr>
          <w:noBreakHyphen/>
          <w:t>2 - Estructura de los ingresos del mercado postal - 2021</w:t>
        </w:r>
        <w:r w:rsidR="0013260D">
          <w:rPr>
            <w:noProof/>
            <w:webHidden/>
          </w:rPr>
          <w:tab/>
        </w:r>
        <w:r w:rsidR="0013260D">
          <w:rPr>
            <w:noProof/>
            <w:webHidden/>
          </w:rPr>
          <w:fldChar w:fldCharType="begin"/>
        </w:r>
        <w:r w:rsidR="0013260D">
          <w:rPr>
            <w:noProof/>
            <w:webHidden/>
          </w:rPr>
          <w:instrText xml:space="preserve"> PAGEREF _Toc104228710 \h </w:instrText>
        </w:r>
        <w:r w:rsidR="0013260D">
          <w:rPr>
            <w:noProof/>
            <w:webHidden/>
          </w:rPr>
        </w:r>
        <w:r w:rsidR="0013260D">
          <w:rPr>
            <w:noProof/>
            <w:webHidden/>
          </w:rPr>
          <w:fldChar w:fldCharType="separate"/>
        </w:r>
        <w:r w:rsidR="0013260D">
          <w:rPr>
            <w:noProof/>
            <w:webHidden/>
          </w:rPr>
          <w:t>9</w:t>
        </w:r>
        <w:r w:rsidR="0013260D">
          <w:rPr>
            <w:noProof/>
            <w:webHidden/>
          </w:rPr>
          <w:fldChar w:fldCharType="end"/>
        </w:r>
      </w:hyperlink>
    </w:p>
    <w:p w14:paraId="445C6E15" w14:textId="57099255"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11" w:history="1">
        <w:r w:rsidR="0013260D" w:rsidRPr="002244EC">
          <w:rPr>
            <w:rStyle w:val="Hipervnculo"/>
            <w:noProof/>
          </w:rPr>
          <w:t>Gráfica 2</w:t>
        </w:r>
        <w:r w:rsidR="0013260D" w:rsidRPr="002244EC">
          <w:rPr>
            <w:rStyle w:val="Hipervnculo"/>
            <w:noProof/>
          </w:rPr>
          <w:noBreakHyphen/>
          <w:t>3 – El Mercado de servicios de objetos postales: Ingresos masivos e individuales (Millones de pesos reales de 2021)</w:t>
        </w:r>
        <w:r w:rsidR="0013260D">
          <w:rPr>
            <w:noProof/>
            <w:webHidden/>
          </w:rPr>
          <w:tab/>
        </w:r>
        <w:r w:rsidR="0013260D">
          <w:rPr>
            <w:noProof/>
            <w:webHidden/>
          </w:rPr>
          <w:fldChar w:fldCharType="begin"/>
        </w:r>
        <w:r w:rsidR="0013260D">
          <w:rPr>
            <w:noProof/>
            <w:webHidden/>
          </w:rPr>
          <w:instrText xml:space="preserve"> PAGEREF _Toc104228711 \h </w:instrText>
        </w:r>
        <w:r w:rsidR="0013260D">
          <w:rPr>
            <w:noProof/>
            <w:webHidden/>
          </w:rPr>
        </w:r>
        <w:r w:rsidR="0013260D">
          <w:rPr>
            <w:noProof/>
            <w:webHidden/>
          </w:rPr>
          <w:fldChar w:fldCharType="separate"/>
        </w:r>
        <w:r w:rsidR="0013260D">
          <w:rPr>
            <w:noProof/>
            <w:webHidden/>
          </w:rPr>
          <w:t>10</w:t>
        </w:r>
        <w:r w:rsidR="0013260D">
          <w:rPr>
            <w:noProof/>
            <w:webHidden/>
          </w:rPr>
          <w:fldChar w:fldCharType="end"/>
        </w:r>
      </w:hyperlink>
    </w:p>
    <w:p w14:paraId="28F7E7E8" w14:textId="135B4CD9"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12" w:history="1">
        <w:r w:rsidR="0013260D" w:rsidRPr="002244EC">
          <w:rPr>
            <w:rStyle w:val="Hipervnculo"/>
            <w:noProof/>
          </w:rPr>
          <w:t>Gráfica 2</w:t>
        </w:r>
        <w:r w:rsidR="0013260D" w:rsidRPr="002244EC">
          <w:rPr>
            <w:rStyle w:val="Hipervnculo"/>
            <w:noProof/>
          </w:rPr>
          <w:noBreakHyphen/>
          <w:t>4 – Estructura del mercado de objetos postales colombiano. Millones de pesos constantes de 2021 (diciembre = 100) – 2014 - 2021</w:t>
        </w:r>
        <w:r w:rsidR="0013260D">
          <w:rPr>
            <w:noProof/>
            <w:webHidden/>
          </w:rPr>
          <w:tab/>
        </w:r>
        <w:r w:rsidR="0013260D">
          <w:rPr>
            <w:noProof/>
            <w:webHidden/>
          </w:rPr>
          <w:fldChar w:fldCharType="begin"/>
        </w:r>
        <w:r w:rsidR="0013260D">
          <w:rPr>
            <w:noProof/>
            <w:webHidden/>
          </w:rPr>
          <w:instrText xml:space="preserve"> PAGEREF _Toc104228712 \h </w:instrText>
        </w:r>
        <w:r w:rsidR="0013260D">
          <w:rPr>
            <w:noProof/>
            <w:webHidden/>
          </w:rPr>
        </w:r>
        <w:r w:rsidR="0013260D">
          <w:rPr>
            <w:noProof/>
            <w:webHidden/>
          </w:rPr>
          <w:fldChar w:fldCharType="separate"/>
        </w:r>
        <w:r w:rsidR="0013260D">
          <w:rPr>
            <w:noProof/>
            <w:webHidden/>
          </w:rPr>
          <w:t>11</w:t>
        </w:r>
        <w:r w:rsidR="0013260D">
          <w:rPr>
            <w:noProof/>
            <w:webHidden/>
          </w:rPr>
          <w:fldChar w:fldCharType="end"/>
        </w:r>
      </w:hyperlink>
    </w:p>
    <w:p w14:paraId="498885AC" w14:textId="51736CF7"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13" w:history="1">
        <w:r w:rsidR="0013260D" w:rsidRPr="002244EC">
          <w:rPr>
            <w:rStyle w:val="Hipervnculo"/>
            <w:noProof/>
          </w:rPr>
          <w:t>Gráfica 2</w:t>
        </w:r>
        <w:r w:rsidR="0013260D" w:rsidRPr="002244EC">
          <w:rPr>
            <w:rStyle w:val="Hipervnculo"/>
            <w:noProof/>
          </w:rPr>
          <w:noBreakHyphen/>
          <w:t>5 - Mercado de envíos individuales de los operadores de Mensajería Expresa - Miles de envíos</w:t>
        </w:r>
        <w:r w:rsidR="0013260D">
          <w:rPr>
            <w:noProof/>
            <w:webHidden/>
          </w:rPr>
          <w:tab/>
        </w:r>
        <w:r w:rsidR="0013260D">
          <w:rPr>
            <w:noProof/>
            <w:webHidden/>
          </w:rPr>
          <w:fldChar w:fldCharType="begin"/>
        </w:r>
        <w:r w:rsidR="0013260D">
          <w:rPr>
            <w:noProof/>
            <w:webHidden/>
          </w:rPr>
          <w:instrText xml:space="preserve"> PAGEREF _Toc104228713 \h </w:instrText>
        </w:r>
        <w:r w:rsidR="0013260D">
          <w:rPr>
            <w:noProof/>
            <w:webHidden/>
          </w:rPr>
        </w:r>
        <w:r w:rsidR="0013260D">
          <w:rPr>
            <w:noProof/>
            <w:webHidden/>
          </w:rPr>
          <w:fldChar w:fldCharType="separate"/>
        </w:r>
        <w:r w:rsidR="0013260D">
          <w:rPr>
            <w:noProof/>
            <w:webHidden/>
          </w:rPr>
          <w:t>12</w:t>
        </w:r>
        <w:r w:rsidR="0013260D">
          <w:rPr>
            <w:noProof/>
            <w:webHidden/>
          </w:rPr>
          <w:fldChar w:fldCharType="end"/>
        </w:r>
      </w:hyperlink>
    </w:p>
    <w:p w14:paraId="157D01E3" w14:textId="40CD86F2"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14" w:history="1">
        <w:r w:rsidR="0013260D" w:rsidRPr="002244EC">
          <w:rPr>
            <w:rStyle w:val="Hipervnculo"/>
            <w:noProof/>
          </w:rPr>
          <w:t>Gráfica 2</w:t>
        </w:r>
        <w:r w:rsidR="0013260D" w:rsidRPr="002244EC">
          <w:rPr>
            <w:rStyle w:val="Hipervnculo"/>
            <w:noProof/>
          </w:rPr>
          <w:noBreakHyphen/>
          <w:t>6 – Mercados de los servicios que conforman la industria postal en Colombia en 2021 – Millones de $</w:t>
        </w:r>
        <w:r w:rsidR="0013260D">
          <w:rPr>
            <w:noProof/>
            <w:webHidden/>
          </w:rPr>
          <w:tab/>
        </w:r>
        <w:r w:rsidR="0013260D">
          <w:rPr>
            <w:noProof/>
            <w:webHidden/>
          </w:rPr>
          <w:fldChar w:fldCharType="begin"/>
        </w:r>
        <w:r w:rsidR="0013260D">
          <w:rPr>
            <w:noProof/>
            <w:webHidden/>
          </w:rPr>
          <w:instrText xml:space="preserve"> PAGEREF _Toc104228714 \h </w:instrText>
        </w:r>
        <w:r w:rsidR="0013260D">
          <w:rPr>
            <w:noProof/>
            <w:webHidden/>
          </w:rPr>
        </w:r>
        <w:r w:rsidR="0013260D">
          <w:rPr>
            <w:noProof/>
            <w:webHidden/>
          </w:rPr>
          <w:fldChar w:fldCharType="separate"/>
        </w:r>
        <w:r w:rsidR="0013260D">
          <w:rPr>
            <w:noProof/>
            <w:webHidden/>
          </w:rPr>
          <w:t>14</w:t>
        </w:r>
        <w:r w:rsidR="0013260D">
          <w:rPr>
            <w:noProof/>
            <w:webHidden/>
          </w:rPr>
          <w:fldChar w:fldCharType="end"/>
        </w:r>
      </w:hyperlink>
    </w:p>
    <w:p w14:paraId="77BE123D" w14:textId="7AAA0539"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15" w:history="1">
        <w:r w:rsidR="0013260D" w:rsidRPr="002244EC">
          <w:rPr>
            <w:rStyle w:val="Hipervnculo"/>
            <w:noProof/>
          </w:rPr>
          <w:t>Gráfica 3</w:t>
        </w:r>
        <w:r w:rsidR="0013260D" w:rsidRPr="002244EC">
          <w:rPr>
            <w:rStyle w:val="Hipervnculo"/>
            <w:noProof/>
          </w:rPr>
          <w:noBreakHyphen/>
          <w:t>1 - Contraprestaciones Postales al FUTIC – Millones de pesos reales (dic 2021 = 100)</w:t>
        </w:r>
        <w:r w:rsidR="0013260D">
          <w:rPr>
            <w:noProof/>
            <w:webHidden/>
          </w:rPr>
          <w:tab/>
        </w:r>
        <w:r w:rsidR="0013260D">
          <w:rPr>
            <w:noProof/>
            <w:webHidden/>
          </w:rPr>
          <w:fldChar w:fldCharType="begin"/>
        </w:r>
        <w:r w:rsidR="0013260D">
          <w:rPr>
            <w:noProof/>
            <w:webHidden/>
          </w:rPr>
          <w:instrText xml:space="preserve"> PAGEREF _Toc104228715 \h </w:instrText>
        </w:r>
        <w:r w:rsidR="0013260D">
          <w:rPr>
            <w:noProof/>
            <w:webHidden/>
          </w:rPr>
        </w:r>
        <w:r w:rsidR="0013260D">
          <w:rPr>
            <w:noProof/>
            <w:webHidden/>
          </w:rPr>
          <w:fldChar w:fldCharType="separate"/>
        </w:r>
        <w:r w:rsidR="0013260D">
          <w:rPr>
            <w:noProof/>
            <w:webHidden/>
          </w:rPr>
          <w:t>18</w:t>
        </w:r>
        <w:r w:rsidR="0013260D">
          <w:rPr>
            <w:noProof/>
            <w:webHidden/>
          </w:rPr>
          <w:fldChar w:fldCharType="end"/>
        </w:r>
      </w:hyperlink>
    </w:p>
    <w:p w14:paraId="51CEB7E1" w14:textId="31B08A2E"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16" w:history="1">
        <w:r w:rsidR="0013260D" w:rsidRPr="002244EC">
          <w:rPr>
            <w:rStyle w:val="Hipervnculo"/>
            <w:noProof/>
          </w:rPr>
          <w:t>Gráfica 3</w:t>
        </w:r>
        <w:r w:rsidR="0013260D" w:rsidRPr="002244EC">
          <w:rPr>
            <w:rStyle w:val="Hipervnculo"/>
            <w:noProof/>
          </w:rPr>
          <w:noBreakHyphen/>
          <w:t>2 - Estructura de las contraprestaciones al FUTIC por servicios postales – Millones de pesos reales (diciembre de 2021 = 100)</w:t>
        </w:r>
        <w:r w:rsidR="0013260D">
          <w:rPr>
            <w:noProof/>
            <w:webHidden/>
          </w:rPr>
          <w:tab/>
        </w:r>
        <w:r w:rsidR="0013260D">
          <w:rPr>
            <w:noProof/>
            <w:webHidden/>
          </w:rPr>
          <w:fldChar w:fldCharType="begin"/>
        </w:r>
        <w:r w:rsidR="0013260D">
          <w:rPr>
            <w:noProof/>
            <w:webHidden/>
          </w:rPr>
          <w:instrText xml:space="preserve"> PAGEREF _Toc104228716 \h </w:instrText>
        </w:r>
        <w:r w:rsidR="0013260D">
          <w:rPr>
            <w:noProof/>
            <w:webHidden/>
          </w:rPr>
        </w:r>
        <w:r w:rsidR="0013260D">
          <w:rPr>
            <w:noProof/>
            <w:webHidden/>
          </w:rPr>
          <w:fldChar w:fldCharType="separate"/>
        </w:r>
        <w:r w:rsidR="0013260D">
          <w:rPr>
            <w:noProof/>
            <w:webHidden/>
          </w:rPr>
          <w:t>20</w:t>
        </w:r>
        <w:r w:rsidR="0013260D">
          <w:rPr>
            <w:noProof/>
            <w:webHidden/>
          </w:rPr>
          <w:fldChar w:fldCharType="end"/>
        </w:r>
      </w:hyperlink>
    </w:p>
    <w:p w14:paraId="02710730" w14:textId="72B49962"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17" w:history="1">
        <w:r w:rsidR="0013260D" w:rsidRPr="002244EC">
          <w:rPr>
            <w:rStyle w:val="Hipervnculo"/>
            <w:noProof/>
          </w:rPr>
          <w:t>Gráfica 3</w:t>
        </w:r>
        <w:r w:rsidR="0013260D" w:rsidRPr="002244EC">
          <w:rPr>
            <w:rStyle w:val="Hipervnculo"/>
            <w:noProof/>
          </w:rPr>
          <w:noBreakHyphen/>
          <w:t>3 – Flujo de caja del sector postal del FUTIC</w:t>
        </w:r>
        <w:r w:rsidR="0013260D" w:rsidRPr="002244EC">
          <w:rPr>
            <w:rStyle w:val="Hipervnculo"/>
            <w:noProof/>
            <w:vertAlign w:val="superscript"/>
          </w:rPr>
          <w:t>1</w:t>
        </w:r>
        <w:r w:rsidR="0013260D" w:rsidRPr="002244EC">
          <w:rPr>
            <w:rStyle w:val="Hipervnculo"/>
            <w:noProof/>
          </w:rPr>
          <w:t>. Millones de pesos reales (2021 = 100)</w:t>
        </w:r>
        <w:r w:rsidR="0013260D">
          <w:rPr>
            <w:noProof/>
            <w:webHidden/>
          </w:rPr>
          <w:tab/>
        </w:r>
        <w:r w:rsidR="0013260D">
          <w:rPr>
            <w:noProof/>
            <w:webHidden/>
          </w:rPr>
          <w:fldChar w:fldCharType="begin"/>
        </w:r>
        <w:r w:rsidR="0013260D">
          <w:rPr>
            <w:noProof/>
            <w:webHidden/>
          </w:rPr>
          <w:instrText xml:space="preserve"> PAGEREF _Toc104228717 \h </w:instrText>
        </w:r>
        <w:r w:rsidR="0013260D">
          <w:rPr>
            <w:noProof/>
            <w:webHidden/>
          </w:rPr>
        </w:r>
        <w:r w:rsidR="0013260D">
          <w:rPr>
            <w:noProof/>
            <w:webHidden/>
          </w:rPr>
          <w:fldChar w:fldCharType="separate"/>
        </w:r>
        <w:r w:rsidR="0013260D">
          <w:rPr>
            <w:noProof/>
            <w:webHidden/>
          </w:rPr>
          <w:t>21</w:t>
        </w:r>
        <w:r w:rsidR="0013260D">
          <w:rPr>
            <w:noProof/>
            <w:webHidden/>
          </w:rPr>
          <w:fldChar w:fldCharType="end"/>
        </w:r>
      </w:hyperlink>
    </w:p>
    <w:p w14:paraId="452D64C0" w14:textId="1747A44B"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18" w:history="1">
        <w:r w:rsidR="0013260D" w:rsidRPr="002244EC">
          <w:rPr>
            <w:rStyle w:val="Hipervnculo"/>
            <w:noProof/>
          </w:rPr>
          <w:t>Gráfica 4</w:t>
        </w:r>
        <w:r w:rsidR="0013260D" w:rsidRPr="002244EC">
          <w:rPr>
            <w:rStyle w:val="Hipervnculo"/>
            <w:noProof/>
          </w:rPr>
          <w:noBreakHyphen/>
          <w:t>1 – FUTIC: Pagos a SPN por la atención del déficit del SPU. Millones de pesos reales (2021 = 100)</w:t>
        </w:r>
        <w:r w:rsidR="0013260D">
          <w:rPr>
            <w:noProof/>
            <w:webHidden/>
          </w:rPr>
          <w:tab/>
        </w:r>
        <w:r w:rsidR="0013260D">
          <w:rPr>
            <w:noProof/>
            <w:webHidden/>
          </w:rPr>
          <w:fldChar w:fldCharType="begin"/>
        </w:r>
        <w:r w:rsidR="0013260D">
          <w:rPr>
            <w:noProof/>
            <w:webHidden/>
          </w:rPr>
          <w:instrText xml:space="preserve"> PAGEREF _Toc104228718 \h </w:instrText>
        </w:r>
        <w:r w:rsidR="0013260D">
          <w:rPr>
            <w:noProof/>
            <w:webHidden/>
          </w:rPr>
        </w:r>
        <w:r w:rsidR="0013260D">
          <w:rPr>
            <w:noProof/>
            <w:webHidden/>
          </w:rPr>
          <w:fldChar w:fldCharType="separate"/>
        </w:r>
        <w:r w:rsidR="0013260D">
          <w:rPr>
            <w:noProof/>
            <w:webHidden/>
          </w:rPr>
          <w:t>29</w:t>
        </w:r>
        <w:r w:rsidR="0013260D">
          <w:rPr>
            <w:noProof/>
            <w:webHidden/>
          </w:rPr>
          <w:fldChar w:fldCharType="end"/>
        </w:r>
      </w:hyperlink>
    </w:p>
    <w:p w14:paraId="797EE8F3" w14:textId="10D64DD4"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19" w:history="1">
        <w:r w:rsidR="0013260D" w:rsidRPr="002244EC">
          <w:rPr>
            <w:rStyle w:val="Hipervnculo"/>
            <w:noProof/>
          </w:rPr>
          <w:t>Gráfica 5</w:t>
        </w:r>
        <w:r w:rsidR="0013260D" w:rsidRPr="002244EC">
          <w:rPr>
            <w:rStyle w:val="Hipervnculo"/>
            <w:noProof/>
          </w:rPr>
          <w:noBreakHyphen/>
          <w:t>1 - Ingresos reales del mercado postal</w:t>
        </w:r>
        <w:r w:rsidR="0013260D" w:rsidRPr="002244EC">
          <w:rPr>
            <w:rStyle w:val="Hipervnculo"/>
            <w:noProof/>
            <w:vertAlign w:val="superscript"/>
          </w:rPr>
          <w:t>1</w:t>
        </w:r>
        <w:r w:rsidR="0013260D" w:rsidRPr="002244EC">
          <w:rPr>
            <w:rStyle w:val="Hipervnculo"/>
            <w:noProof/>
          </w:rPr>
          <w:t xml:space="preserve"> Millones de pesos reales (diciembre de 2021=100)</w:t>
        </w:r>
        <w:r w:rsidR="0013260D">
          <w:rPr>
            <w:noProof/>
            <w:webHidden/>
          </w:rPr>
          <w:tab/>
        </w:r>
        <w:r w:rsidR="0013260D">
          <w:rPr>
            <w:noProof/>
            <w:webHidden/>
          </w:rPr>
          <w:fldChar w:fldCharType="begin"/>
        </w:r>
        <w:r w:rsidR="0013260D">
          <w:rPr>
            <w:noProof/>
            <w:webHidden/>
          </w:rPr>
          <w:instrText xml:space="preserve"> PAGEREF _Toc104228719 \h </w:instrText>
        </w:r>
        <w:r w:rsidR="0013260D">
          <w:rPr>
            <w:noProof/>
            <w:webHidden/>
          </w:rPr>
        </w:r>
        <w:r w:rsidR="0013260D">
          <w:rPr>
            <w:noProof/>
            <w:webHidden/>
          </w:rPr>
          <w:fldChar w:fldCharType="separate"/>
        </w:r>
        <w:r w:rsidR="0013260D">
          <w:rPr>
            <w:noProof/>
            <w:webHidden/>
          </w:rPr>
          <w:t>31</w:t>
        </w:r>
        <w:r w:rsidR="0013260D">
          <w:rPr>
            <w:noProof/>
            <w:webHidden/>
          </w:rPr>
          <w:fldChar w:fldCharType="end"/>
        </w:r>
      </w:hyperlink>
    </w:p>
    <w:p w14:paraId="14BBA2E6" w14:textId="26E04B6A"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20" w:history="1">
        <w:r w:rsidR="0013260D" w:rsidRPr="002244EC">
          <w:rPr>
            <w:rStyle w:val="Hipervnculo"/>
            <w:noProof/>
          </w:rPr>
          <w:t>Gráfica 5</w:t>
        </w:r>
        <w:r w:rsidR="0013260D" w:rsidRPr="002244EC">
          <w:rPr>
            <w:rStyle w:val="Hipervnculo"/>
            <w:noProof/>
          </w:rPr>
          <w:noBreakHyphen/>
          <w:t>2 – Estructura del mercado postal colombiano. Millones de pesos constantes de 2021 (diciembre = 100) – 2014 - 2021</w:t>
        </w:r>
        <w:r w:rsidR="0013260D">
          <w:rPr>
            <w:noProof/>
            <w:webHidden/>
          </w:rPr>
          <w:tab/>
        </w:r>
        <w:r w:rsidR="0013260D">
          <w:rPr>
            <w:noProof/>
            <w:webHidden/>
          </w:rPr>
          <w:fldChar w:fldCharType="begin"/>
        </w:r>
        <w:r w:rsidR="0013260D">
          <w:rPr>
            <w:noProof/>
            <w:webHidden/>
          </w:rPr>
          <w:instrText xml:space="preserve"> PAGEREF _Toc104228720 \h </w:instrText>
        </w:r>
        <w:r w:rsidR="0013260D">
          <w:rPr>
            <w:noProof/>
            <w:webHidden/>
          </w:rPr>
        </w:r>
        <w:r w:rsidR="0013260D">
          <w:rPr>
            <w:noProof/>
            <w:webHidden/>
          </w:rPr>
          <w:fldChar w:fldCharType="separate"/>
        </w:r>
        <w:r w:rsidR="0013260D">
          <w:rPr>
            <w:noProof/>
            <w:webHidden/>
          </w:rPr>
          <w:t>32</w:t>
        </w:r>
        <w:r w:rsidR="0013260D">
          <w:rPr>
            <w:noProof/>
            <w:webHidden/>
          </w:rPr>
          <w:fldChar w:fldCharType="end"/>
        </w:r>
      </w:hyperlink>
    </w:p>
    <w:p w14:paraId="7D650554" w14:textId="0B54F229"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21" w:history="1">
        <w:r w:rsidR="0013260D" w:rsidRPr="002244EC">
          <w:rPr>
            <w:rStyle w:val="Hipervnculo"/>
            <w:noProof/>
          </w:rPr>
          <w:t>Gráfica 5</w:t>
        </w:r>
        <w:r w:rsidR="0013260D" w:rsidRPr="002244EC">
          <w:rPr>
            <w:rStyle w:val="Hipervnculo"/>
            <w:noProof/>
          </w:rPr>
          <w:noBreakHyphen/>
          <w:t>3 - Mercado postal de envíos masivos en Colombia en el período 2014 – 2021 - (Miles de Envíos)</w:t>
        </w:r>
        <w:r w:rsidR="0013260D">
          <w:rPr>
            <w:noProof/>
            <w:webHidden/>
          </w:rPr>
          <w:tab/>
        </w:r>
        <w:r w:rsidR="0013260D">
          <w:rPr>
            <w:noProof/>
            <w:webHidden/>
          </w:rPr>
          <w:fldChar w:fldCharType="begin"/>
        </w:r>
        <w:r w:rsidR="0013260D">
          <w:rPr>
            <w:noProof/>
            <w:webHidden/>
          </w:rPr>
          <w:instrText xml:space="preserve"> PAGEREF _Toc104228721 \h </w:instrText>
        </w:r>
        <w:r w:rsidR="0013260D">
          <w:rPr>
            <w:noProof/>
            <w:webHidden/>
          </w:rPr>
        </w:r>
        <w:r w:rsidR="0013260D">
          <w:rPr>
            <w:noProof/>
            <w:webHidden/>
          </w:rPr>
          <w:fldChar w:fldCharType="separate"/>
        </w:r>
        <w:r w:rsidR="0013260D">
          <w:rPr>
            <w:noProof/>
            <w:webHidden/>
          </w:rPr>
          <w:t>33</w:t>
        </w:r>
        <w:r w:rsidR="0013260D">
          <w:rPr>
            <w:noProof/>
            <w:webHidden/>
          </w:rPr>
          <w:fldChar w:fldCharType="end"/>
        </w:r>
      </w:hyperlink>
    </w:p>
    <w:p w14:paraId="278A5510" w14:textId="32AB7794"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22" w:history="1">
        <w:r w:rsidR="0013260D" w:rsidRPr="002244EC">
          <w:rPr>
            <w:rStyle w:val="Hipervnculo"/>
            <w:noProof/>
          </w:rPr>
          <w:t>Gráfica 5</w:t>
        </w:r>
        <w:r w:rsidR="0013260D" w:rsidRPr="002244EC">
          <w:rPr>
            <w:rStyle w:val="Hipervnculo"/>
            <w:noProof/>
          </w:rPr>
          <w:noBreakHyphen/>
          <w:t>4 - Estructura del mercado masivo por actores – Mercado Expreso y de Correo – 2014 – 2021. (Miles de envíos)</w:t>
        </w:r>
        <w:r w:rsidR="0013260D">
          <w:rPr>
            <w:noProof/>
            <w:webHidden/>
          </w:rPr>
          <w:tab/>
        </w:r>
        <w:r w:rsidR="0013260D">
          <w:rPr>
            <w:noProof/>
            <w:webHidden/>
          </w:rPr>
          <w:fldChar w:fldCharType="begin"/>
        </w:r>
        <w:r w:rsidR="0013260D">
          <w:rPr>
            <w:noProof/>
            <w:webHidden/>
          </w:rPr>
          <w:instrText xml:space="preserve"> PAGEREF _Toc104228722 \h </w:instrText>
        </w:r>
        <w:r w:rsidR="0013260D">
          <w:rPr>
            <w:noProof/>
            <w:webHidden/>
          </w:rPr>
        </w:r>
        <w:r w:rsidR="0013260D">
          <w:rPr>
            <w:noProof/>
            <w:webHidden/>
          </w:rPr>
          <w:fldChar w:fldCharType="separate"/>
        </w:r>
        <w:r w:rsidR="0013260D">
          <w:rPr>
            <w:noProof/>
            <w:webHidden/>
          </w:rPr>
          <w:t>34</w:t>
        </w:r>
        <w:r w:rsidR="0013260D">
          <w:rPr>
            <w:noProof/>
            <w:webHidden/>
          </w:rPr>
          <w:fldChar w:fldCharType="end"/>
        </w:r>
      </w:hyperlink>
    </w:p>
    <w:p w14:paraId="00EE0FDF" w14:textId="481EE254"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23" w:history="1">
        <w:r w:rsidR="0013260D" w:rsidRPr="002244EC">
          <w:rPr>
            <w:rStyle w:val="Hipervnculo"/>
            <w:noProof/>
          </w:rPr>
          <w:t>Gráfica 5</w:t>
        </w:r>
        <w:r w:rsidR="0013260D" w:rsidRPr="002244EC">
          <w:rPr>
            <w:rStyle w:val="Hipervnculo"/>
            <w:noProof/>
          </w:rPr>
          <w:noBreakHyphen/>
          <w:t>5 - Mensajería Expresa - Número de envíos masivos de correo y de mensajería expresa - Tendencia para el período 2021 - 2024</w:t>
        </w:r>
        <w:r w:rsidR="0013260D">
          <w:rPr>
            <w:noProof/>
            <w:webHidden/>
          </w:rPr>
          <w:tab/>
        </w:r>
        <w:r w:rsidR="0013260D">
          <w:rPr>
            <w:noProof/>
            <w:webHidden/>
          </w:rPr>
          <w:fldChar w:fldCharType="begin"/>
        </w:r>
        <w:r w:rsidR="0013260D">
          <w:rPr>
            <w:noProof/>
            <w:webHidden/>
          </w:rPr>
          <w:instrText xml:space="preserve"> PAGEREF _Toc104228723 \h </w:instrText>
        </w:r>
        <w:r w:rsidR="0013260D">
          <w:rPr>
            <w:noProof/>
            <w:webHidden/>
          </w:rPr>
        </w:r>
        <w:r w:rsidR="0013260D">
          <w:rPr>
            <w:noProof/>
            <w:webHidden/>
          </w:rPr>
          <w:fldChar w:fldCharType="separate"/>
        </w:r>
        <w:r w:rsidR="0013260D">
          <w:rPr>
            <w:noProof/>
            <w:webHidden/>
          </w:rPr>
          <w:t>35</w:t>
        </w:r>
        <w:r w:rsidR="0013260D">
          <w:rPr>
            <w:noProof/>
            <w:webHidden/>
          </w:rPr>
          <w:fldChar w:fldCharType="end"/>
        </w:r>
      </w:hyperlink>
    </w:p>
    <w:p w14:paraId="47E3954F" w14:textId="023CA18D"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24" w:history="1">
        <w:r w:rsidR="0013260D" w:rsidRPr="002244EC">
          <w:rPr>
            <w:rStyle w:val="Hipervnculo"/>
            <w:noProof/>
          </w:rPr>
          <w:t>Gráfica 5</w:t>
        </w:r>
        <w:r w:rsidR="0013260D" w:rsidRPr="002244EC">
          <w:rPr>
            <w:rStyle w:val="Hipervnculo"/>
            <w:noProof/>
          </w:rPr>
          <w:noBreakHyphen/>
          <w:t>6 - Ingresos reales de Masivos de correo y de Mensajería Expresa– Millones de pesos reales (2021 = 100)</w:t>
        </w:r>
        <w:r w:rsidR="0013260D">
          <w:rPr>
            <w:noProof/>
            <w:webHidden/>
          </w:rPr>
          <w:tab/>
        </w:r>
        <w:r w:rsidR="0013260D">
          <w:rPr>
            <w:noProof/>
            <w:webHidden/>
          </w:rPr>
          <w:fldChar w:fldCharType="begin"/>
        </w:r>
        <w:r w:rsidR="0013260D">
          <w:rPr>
            <w:noProof/>
            <w:webHidden/>
          </w:rPr>
          <w:instrText xml:space="preserve"> PAGEREF _Toc104228724 \h </w:instrText>
        </w:r>
        <w:r w:rsidR="0013260D">
          <w:rPr>
            <w:noProof/>
            <w:webHidden/>
          </w:rPr>
        </w:r>
        <w:r w:rsidR="0013260D">
          <w:rPr>
            <w:noProof/>
            <w:webHidden/>
          </w:rPr>
          <w:fldChar w:fldCharType="separate"/>
        </w:r>
        <w:r w:rsidR="0013260D">
          <w:rPr>
            <w:noProof/>
            <w:webHidden/>
          </w:rPr>
          <w:t>36</w:t>
        </w:r>
        <w:r w:rsidR="0013260D">
          <w:rPr>
            <w:noProof/>
            <w:webHidden/>
          </w:rPr>
          <w:fldChar w:fldCharType="end"/>
        </w:r>
      </w:hyperlink>
    </w:p>
    <w:p w14:paraId="00E3D37E" w14:textId="7989F38E"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25" w:history="1">
        <w:r w:rsidR="0013260D" w:rsidRPr="002244EC">
          <w:rPr>
            <w:rStyle w:val="Hipervnculo"/>
            <w:noProof/>
          </w:rPr>
          <w:t>Gráfica 5</w:t>
        </w:r>
        <w:r w:rsidR="0013260D" w:rsidRPr="002244EC">
          <w:rPr>
            <w:rStyle w:val="Hipervnculo"/>
            <w:noProof/>
          </w:rPr>
          <w:noBreakHyphen/>
          <w:t>7 - Mercado de envíos individuales de los operadores de Mensajería Expresa - Miles de envíos</w:t>
        </w:r>
        <w:r w:rsidR="0013260D">
          <w:rPr>
            <w:noProof/>
            <w:webHidden/>
          </w:rPr>
          <w:tab/>
        </w:r>
        <w:r w:rsidR="0013260D">
          <w:rPr>
            <w:noProof/>
            <w:webHidden/>
          </w:rPr>
          <w:fldChar w:fldCharType="begin"/>
        </w:r>
        <w:r w:rsidR="0013260D">
          <w:rPr>
            <w:noProof/>
            <w:webHidden/>
          </w:rPr>
          <w:instrText xml:space="preserve"> PAGEREF _Toc104228725 \h </w:instrText>
        </w:r>
        <w:r w:rsidR="0013260D">
          <w:rPr>
            <w:noProof/>
            <w:webHidden/>
          </w:rPr>
        </w:r>
        <w:r w:rsidR="0013260D">
          <w:rPr>
            <w:noProof/>
            <w:webHidden/>
          </w:rPr>
          <w:fldChar w:fldCharType="separate"/>
        </w:r>
        <w:r w:rsidR="0013260D">
          <w:rPr>
            <w:noProof/>
            <w:webHidden/>
          </w:rPr>
          <w:t>38</w:t>
        </w:r>
        <w:r w:rsidR="0013260D">
          <w:rPr>
            <w:noProof/>
            <w:webHidden/>
          </w:rPr>
          <w:fldChar w:fldCharType="end"/>
        </w:r>
      </w:hyperlink>
    </w:p>
    <w:p w14:paraId="3F3534E8" w14:textId="14B3E68E"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26" w:history="1">
        <w:r w:rsidR="0013260D" w:rsidRPr="002244EC">
          <w:rPr>
            <w:rStyle w:val="Hipervnculo"/>
            <w:noProof/>
          </w:rPr>
          <w:t>Gráfica 5</w:t>
        </w:r>
        <w:r w:rsidR="0013260D" w:rsidRPr="002244EC">
          <w:rPr>
            <w:rStyle w:val="Hipervnculo"/>
            <w:noProof/>
          </w:rPr>
          <w:noBreakHyphen/>
          <w:t xml:space="preserve">8 - Mensajería expresa individual – Ingresos  </w:t>
        </w:r>
        <w:r w:rsidR="0013260D" w:rsidRPr="002244EC">
          <w:rPr>
            <w:rStyle w:val="Hipervnculo"/>
            <w:bCs/>
            <w:noProof/>
          </w:rPr>
          <w:t>(Millones de pesos reales de diciembre de 2021)</w:t>
        </w:r>
        <w:r w:rsidR="0013260D">
          <w:rPr>
            <w:noProof/>
            <w:webHidden/>
          </w:rPr>
          <w:tab/>
        </w:r>
        <w:r w:rsidR="0013260D">
          <w:rPr>
            <w:noProof/>
            <w:webHidden/>
          </w:rPr>
          <w:fldChar w:fldCharType="begin"/>
        </w:r>
        <w:r w:rsidR="0013260D">
          <w:rPr>
            <w:noProof/>
            <w:webHidden/>
          </w:rPr>
          <w:instrText xml:space="preserve"> PAGEREF _Toc104228726 \h </w:instrText>
        </w:r>
        <w:r w:rsidR="0013260D">
          <w:rPr>
            <w:noProof/>
            <w:webHidden/>
          </w:rPr>
        </w:r>
        <w:r w:rsidR="0013260D">
          <w:rPr>
            <w:noProof/>
            <w:webHidden/>
          </w:rPr>
          <w:fldChar w:fldCharType="separate"/>
        </w:r>
        <w:r w:rsidR="0013260D">
          <w:rPr>
            <w:noProof/>
            <w:webHidden/>
          </w:rPr>
          <w:t>39</w:t>
        </w:r>
        <w:r w:rsidR="0013260D">
          <w:rPr>
            <w:noProof/>
            <w:webHidden/>
          </w:rPr>
          <w:fldChar w:fldCharType="end"/>
        </w:r>
      </w:hyperlink>
    </w:p>
    <w:p w14:paraId="773B8198" w14:textId="38753414"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27" w:history="1">
        <w:r w:rsidR="0013260D" w:rsidRPr="002244EC">
          <w:rPr>
            <w:rStyle w:val="Hipervnculo"/>
            <w:noProof/>
          </w:rPr>
          <w:t>Gráfica 5</w:t>
        </w:r>
        <w:r w:rsidR="0013260D" w:rsidRPr="002244EC">
          <w:rPr>
            <w:rStyle w:val="Hipervnculo"/>
            <w:noProof/>
          </w:rPr>
          <w:noBreakHyphen/>
          <w:t xml:space="preserve">9 – </w:t>
        </w:r>
        <w:r w:rsidR="0013260D" w:rsidRPr="002244EC">
          <w:rPr>
            <w:rStyle w:val="Hipervnculo"/>
            <w:noProof/>
            <w:lang w:eastAsia="es-ES"/>
          </w:rPr>
          <w:t>Ingresos</w:t>
        </w:r>
        <w:r w:rsidR="0013260D" w:rsidRPr="002244EC">
          <w:rPr>
            <w:rStyle w:val="Hipervnculo"/>
            <w:noProof/>
          </w:rPr>
          <w:t xml:space="preserve"> reales</w:t>
        </w:r>
        <w:r w:rsidR="0013260D" w:rsidRPr="002244EC">
          <w:rPr>
            <w:rStyle w:val="Hipervnculo"/>
            <w:noProof/>
            <w:lang w:eastAsia="es-ES"/>
          </w:rPr>
          <w:t xml:space="preserve"> del mercado de mensajería expresa individual</w:t>
        </w:r>
        <w:r w:rsidR="0013260D" w:rsidRPr="002244EC">
          <w:rPr>
            <w:rStyle w:val="Hipervnculo"/>
            <w:noProof/>
          </w:rPr>
          <w:t xml:space="preserve"> – Millones de $ (diciembre 2021 = 100)</w:t>
        </w:r>
        <w:r w:rsidR="0013260D">
          <w:rPr>
            <w:noProof/>
            <w:webHidden/>
          </w:rPr>
          <w:tab/>
        </w:r>
        <w:r w:rsidR="0013260D">
          <w:rPr>
            <w:noProof/>
            <w:webHidden/>
          </w:rPr>
          <w:fldChar w:fldCharType="begin"/>
        </w:r>
        <w:r w:rsidR="0013260D">
          <w:rPr>
            <w:noProof/>
            <w:webHidden/>
          </w:rPr>
          <w:instrText xml:space="preserve"> PAGEREF _Toc104228727 \h </w:instrText>
        </w:r>
        <w:r w:rsidR="0013260D">
          <w:rPr>
            <w:noProof/>
            <w:webHidden/>
          </w:rPr>
        </w:r>
        <w:r w:rsidR="0013260D">
          <w:rPr>
            <w:noProof/>
            <w:webHidden/>
          </w:rPr>
          <w:fldChar w:fldCharType="separate"/>
        </w:r>
        <w:r w:rsidR="0013260D">
          <w:rPr>
            <w:noProof/>
            <w:webHidden/>
          </w:rPr>
          <w:t>40</w:t>
        </w:r>
        <w:r w:rsidR="0013260D">
          <w:rPr>
            <w:noProof/>
            <w:webHidden/>
          </w:rPr>
          <w:fldChar w:fldCharType="end"/>
        </w:r>
      </w:hyperlink>
    </w:p>
    <w:p w14:paraId="40E79D4E" w14:textId="49FA669A"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28" w:history="1">
        <w:r w:rsidR="0013260D" w:rsidRPr="002244EC">
          <w:rPr>
            <w:rStyle w:val="Hipervnculo"/>
            <w:noProof/>
          </w:rPr>
          <w:t>Gráfica 5</w:t>
        </w:r>
        <w:r w:rsidR="0013260D" w:rsidRPr="002244EC">
          <w:rPr>
            <w:rStyle w:val="Hipervnculo"/>
            <w:noProof/>
          </w:rPr>
          <w:noBreakHyphen/>
          <w:t>10 - Mensajería Expresa - Número de envíos individuales menores a 2 kilogramos - 2014 - 2024</w:t>
        </w:r>
        <w:r w:rsidR="0013260D">
          <w:rPr>
            <w:noProof/>
            <w:webHidden/>
          </w:rPr>
          <w:tab/>
        </w:r>
        <w:r w:rsidR="0013260D">
          <w:rPr>
            <w:noProof/>
            <w:webHidden/>
          </w:rPr>
          <w:fldChar w:fldCharType="begin"/>
        </w:r>
        <w:r w:rsidR="0013260D">
          <w:rPr>
            <w:noProof/>
            <w:webHidden/>
          </w:rPr>
          <w:instrText xml:space="preserve"> PAGEREF _Toc104228728 \h </w:instrText>
        </w:r>
        <w:r w:rsidR="0013260D">
          <w:rPr>
            <w:noProof/>
            <w:webHidden/>
          </w:rPr>
        </w:r>
        <w:r w:rsidR="0013260D">
          <w:rPr>
            <w:noProof/>
            <w:webHidden/>
          </w:rPr>
          <w:fldChar w:fldCharType="separate"/>
        </w:r>
        <w:r w:rsidR="0013260D">
          <w:rPr>
            <w:noProof/>
            <w:webHidden/>
          </w:rPr>
          <w:t>41</w:t>
        </w:r>
        <w:r w:rsidR="0013260D">
          <w:rPr>
            <w:noProof/>
            <w:webHidden/>
          </w:rPr>
          <w:fldChar w:fldCharType="end"/>
        </w:r>
      </w:hyperlink>
    </w:p>
    <w:p w14:paraId="108A8132" w14:textId="0BA5233D"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29" w:history="1">
        <w:r w:rsidR="0013260D" w:rsidRPr="002244EC">
          <w:rPr>
            <w:rStyle w:val="Hipervnculo"/>
            <w:noProof/>
          </w:rPr>
          <w:t>Gráfica 5</w:t>
        </w:r>
        <w:r w:rsidR="0013260D" w:rsidRPr="002244EC">
          <w:rPr>
            <w:rStyle w:val="Hipervnculo"/>
            <w:noProof/>
          </w:rPr>
          <w:noBreakHyphen/>
          <w:t>11 - Mensajería Expresa – Ingresos de envíos individuales de mensajería expresa menores a 2 kilogramos – 2014 - 2024</w:t>
        </w:r>
        <w:r w:rsidR="0013260D">
          <w:rPr>
            <w:noProof/>
            <w:webHidden/>
          </w:rPr>
          <w:tab/>
        </w:r>
        <w:r w:rsidR="0013260D">
          <w:rPr>
            <w:noProof/>
            <w:webHidden/>
          </w:rPr>
          <w:fldChar w:fldCharType="begin"/>
        </w:r>
        <w:r w:rsidR="0013260D">
          <w:rPr>
            <w:noProof/>
            <w:webHidden/>
          </w:rPr>
          <w:instrText xml:space="preserve"> PAGEREF _Toc104228729 \h </w:instrText>
        </w:r>
        <w:r w:rsidR="0013260D">
          <w:rPr>
            <w:noProof/>
            <w:webHidden/>
          </w:rPr>
        </w:r>
        <w:r w:rsidR="0013260D">
          <w:rPr>
            <w:noProof/>
            <w:webHidden/>
          </w:rPr>
          <w:fldChar w:fldCharType="separate"/>
        </w:r>
        <w:r w:rsidR="0013260D">
          <w:rPr>
            <w:noProof/>
            <w:webHidden/>
          </w:rPr>
          <w:t>41</w:t>
        </w:r>
        <w:r w:rsidR="0013260D">
          <w:rPr>
            <w:noProof/>
            <w:webHidden/>
          </w:rPr>
          <w:fldChar w:fldCharType="end"/>
        </w:r>
      </w:hyperlink>
    </w:p>
    <w:p w14:paraId="2C8B160F" w14:textId="32EDBD89"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30" w:history="1">
        <w:r w:rsidR="0013260D" w:rsidRPr="002244EC">
          <w:rPr>
            <w:rStyle w:val="Hipervnculo"/>
            <w:noProof/>
          </w:rPr>
          <w:t>Gráfica 5</w:t>
        </w:r>
        <w:r w:rsidR="0013260D" w:rsidRPr="002244EC">
          <w:rPr>
            <w:rStyle w:val="Hipervnculo"/>
            <w:noProof/>
          </w:rPr>
          <w:noBreakHyphen/>
          <w:t>12 – Mensajería de mayor tamaño y nacional: Número de envíos (Miles)</w:t>
        </w:r>
        <w:r w:rsidR="0013260D">
          <w:rPr>
            <w:noProof/>
            <w:webHidden/>
          </w:rPr>
          <w:tab/>
        </w:r>
        <w:r w:rsidR="0013260D">
          <w:rPr>
            <w:noProof/>
            <w:webHidden/>
          </w:rPr>
          <w:fldChar w:fldCharType="begin"/>
        </w:r>
        <w:r w:rsidR="0013260D">
          <w:rPr>
            <w:noProof/>
            <w:webHidden/>
          </w:rPr>
          <w:instrText xml:space="preserve"> PAGEREF _Toc104228730 \h </w:instrText>
        </w:r>
        <w:r w:rsidR="0013260D">
          <w:rPr>
            <w:noProof/>
            <w:webHidden/>
          </w:rPr>
        </w:r>
        <w:r w:rsidR="0013260D">
          <w:rPr>
            <w:noProof/>
            <w:webHidden/>
          </w:rPr>
          <w:fldChar w:fldCharType="separate"/>
        </w:r>
        <w:r w:rsidR="0013260D">
          <w:rPr>
            <w:noProof/>
            <w:webHidden/>
          </w:rPr>
          <w:t>42</w:t>
        </w:r>
        <w:r w:rsidR="0013260D">
          <w:rPr>
            <w:noProof/>
            <w:webHidden/>
          </w:rPr>
          <w:fldChar w:fldCharType="end"/>
        </w:r>
      </w:hyperlink>
    </w:p>
    <w:p w14:paraId="6EDA0E72" w14:textId="1CB63695"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31" w:history="1">
        <w:r w:rsidR="0013260D" w:rsidRPr="002244EC">
          <w:rPr>
            <w:rStyle w:val="Hipervnculo"/>
            <w:noProof/>
          </w:rPr>
          <w:t>Gráfica 5</w:t>
        </w:r>
        <w:r w:rsidR="0013260D" w:rsidRPr="002244EC">
          <w:rPr>
            <w:rStyle w:val="Hipervnculo"/>
            <w:noProof/>
          </w:rPr>
          <w:noBreakHyphen/>
          <w:t>13 – Mensajería expresa - Ingresos por envíos de 2 a 5 kilogramos. Mercado total y nacional: Miles de pesos reales (diciembre de 2021 = 100)</w:t>
        </w:r>
        <w:r w:rsidR="0013260D">
          <w:rPr>
            <w:noProof/>
            <w:webHidden/>
          </w:rPr>
          <w:tab/>
        </w:r>
        <w:r w:rsidR="0013260D">
          <w:rPr>
            <w:noProof/>
            <w:webHidden/>
          </w:rPr>
          <w:fldChar w:fldCharType="begin"/>
        </w:r>
        <w:r w:rsidR="0013260D">
          <w:rPr>
            <w:noProof/>
            <w:webHidden/>
          </w:rPr>
          <w:instrText xml:space="preserve"> PAGEREF _Toc104228731 \h </w:instrText>
        </w:r>
        <w:r w:rsidR="0013260D">
          <w:rPr>
            <w:noProof/>
            <w:webHidden/>
          </w:rPr>
        </w:r>
        <w:r w:rsidR="0013260D">
          <w:rPr>
            <w:noProof/>
            <w:webHidden/>
          </w:rPr>
          <w:fldChar w:fldCharType="separate"/>
        </w:r>
        <w:r w:rsidR="0013260D">
          <w:rPr>
            <w:noProof/>
            <w:webHidden/>
          </w:rPr>
          <w:t>43</w:t>
        </w:r>
        <w:r w:rsidR="0013260D">
          <w:rPr>
            <w:noProof/>
            <w:webHidden/>
          </w:rPr>
          <w:fldChar w:fldCharType="end"/>
        </w:r>
      </w:hyperlink>
    </w:p>
    <w:p w14:paraId="3E6912D1" w14:textId="3253F7FE"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32" w:history="1">
        <w:r w:rsidR="0013260D" w:rsidRPr="002244EC">
          <w:rPr>
            <w:rStyle w:val="Hipervnculo"/>
            <w:noProof/>
          </w:rPr>
          <w:t>Gráfica 5</w:t>
        </w:r>
        <w:r w:rsidR="0013260D" w:rsidRPr="002244EC">
          <w:rPr>
            <w:rStyle w:val="Hipervnculo"/>
            <w:noProof/>
          </w:rPr>
          <w:noBreakHyphen/>
          <w:t>14 - Mensajería Expresa – Contribuciones al FUTIC a diferentes tasas de contraprestación- (Millones de pesos reales 2021 – 2024)</w:t>
        </w:r>
        <w:r w:rsidR="0013260D">
          <w:rPr>
            <w:noProof/>
            <w:webHidden/>
          </w:rPr>
          <w:tab/>
        </w:r>
        <w:r w:rsidR="0013260D">
          <w:rPr>
            <w:noProof/>
            <w:webHidden/>
          </w:rPr>
          <w:fldChar w:fldCharType="begin"/>
        </w:r>
        <w:r w:rsidR="0013260D">
          <w:rPr>
            <w:noProof/>
            <w:webHidden/>
          </w:rPr>
          <w:instrText xml:space="preserve"> PAGEREF _Toc104228732 \h </w:instrText>
        </w:r>
        <w:r w:rsidR="0013260D">
          <w:rPr>
            <w:noProof/>
            <w:webHidden/>
          </w:rPr>
        </w:r>
        <w:r w:rsidR="0013260D">
          <w:rPr>
            <w:noProof/>
            <w:webHidden/>
          </w:rPr>
          <w:fldChar w:fldCharType="separate"/>
        </w:r>
        <w:r w:rsidR="0013260D">
          <w:rPr>
            <w:noProof/>
            <w:webHidden/>
          </w:rPr>
          <w:t>44</w:t>
        </w:r>
        <w:r w:rsidR="0013260D">
          <w:rPr>
            <w:noProof/>
            <w:webHidden/>
          </w:rPr>
          <w:fldChar w:fldCharType="end"/>
        </w:r>
      </w:hyperlink>
    </w:p>
    <w:p w14:paraId="6003A8E0" w14:textId="5B6F63EC"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33" w:history="1">
        <w:r w:rsidR="0013260D" w:rsidRPr="002244EC">
          <w:rPr>
            <w:rStyle w:val="Hipervnculo"/>
            <w:noProof/>
          </w:rPr>
          <w:t>Gráfica 6</w:t>
        </w:r>
        <w:r w:rsidR="0013260D" w:rsidRPr="002244EC">
          <w:rPr>
            <w:rStyle w:val="Hipervnculo"/>
            <w:noProof/>
          </w:rPr>
          <w:noBreakHyphen/>
          <w:t>1 - Servicios Postales de Pago - Mercado de giros de efectivo: Número de transacciones anuales</w:t>
        </w:r>
        <w:r w:rsidR="0013260D">
          <w:rPr>
            <w:noProof/>
            <w:webHidden/>
          </w:rPr>
          <w:tab/>
        </w:r>
        <w:r w:rsidR="0013260D">
          <w:rPr>
            <w:noProof/>
            <w:webHidden/>
          </w:rPr>
          <w:fldChar w:fldCharType="begin"/>
        </w:r>
        <w:r w:rsidR="0013260D">
          <w:rPr>
            <w:noProof/>
            <w:webHidden/>
          </w:rPr>
          <w:instrText xml:space="preserve"> PAGEREF _Toc104228733 \h </w:instrText>
        </w:r>
        <w:r w:rsidR="0013260D">
          <w:rPr>
            <w:noProof/>
            <w:webHidden/>
          </w:rPr>
        </w:r>
        <w:r w:rsidR="0013260D">
          <w:rPr>
            <w:noProof/>
            <w:webHidden/>
          </w:rPr>
          <w:fldChar w:fldCharType="separate"/>
        </w:r>
        <w:r w:rsidR="0013260D">
          <w:rPr>
            <w:noProof/>
            <w:webHidden/>
          </w:rPr>
          <w:t>49</w:t>
        </w:r>
        <w:r w:rsidR="0013260D">
          <w:rPr>
            <w:noProof/>
            <w:webHidden/>
          </w:rPr>
          <w:fldChar w:fldCharType="end"/>
        </w:r>
      </w:hyperlink>
    </w:p>
    <w:p w14:paraId="0772881F" w14:textId="1863DF2B"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34" w:history="1">
        <w:r w:rsidR="0013260D" w:rsidRPr="002244EC">
          <w:rPr>
            <w:rStyle w:val="Hipervnculo"/>
            <w:noProof/>
          </w:rPr>
          <w:t>Gráfica 6</w:t>
        </w:r>
        <w:r w:rsidR="0013260D" w:rsidRPr="002244EC">
          <w:rPr>
            <w:rStyle w:val="Hipervnculo"/>
            <w:noProof/>
          </w:rPr>
          <w:noBreakHyphen/>
          <w:t>2 – Servicios Postales de Pago: Número de giros</w:t>
        </w:r>
        <w:r w:rsidR="0013260D">
          <w:rPr>
            <w:noProof/>
            <w:webHidden/>
          </w:rPr>
          <w:tab/>
        </w:r>
        <w:r w:rsidR="0013260D">
          <w:rPr>
            <w:noProof/>
            <w:webHidden/>
          </w:rPr>
          <w:fldChar w:fldCharType="begin"/>
        </w:r>
        <w:r w:rsidR="0013260D">
          <w:rPr>
            <w:noProof/>
            <w:webHidden/>
          </w:rPr>
          <w:instrText xml:space="preserve"> PAGEREF _Toc104228734 \h </w:instrText>
        </w:r>
        <w:r w:rsidR="0013260D">
          <w:rPr>
            <w:noProof/>
            <w:webHidden/>
          </w:rPr>
        </w:r>
        <w:r w:rsidR="0013260D">
          <w:rPr>
            <w:noProof/>
            <w:webHidden/>
          </w:rPr>
          <w:fldChar w:fldCharType="separate"/>
        </w:r>
        <w:r w:rsidR="0013260D">
          <w:rPr>
            <w:noProof/>
            <w:webHidden/>
          </w:rPr>
          <w:t>50</w:t>
        </w:r>
        <w:r w:rsidR="0013260D">
          <w:rPr>
            <w:noProof/>
            <w:webHidden/>
          </w:rPr>
          <w:fldChar w:fldCharType="end"/>
        </w:r>
      </w:hyperlink>
    </w:p>
    <w:p w14:paraId="4FDCD292" w14:textId="22B1324B"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35" w:history="1">
        <w:r w:rsidR="0013260D" w:rsidRPr="002244EC">
          <w:rPr>
            <w:rStyle w:val="Hipervnculo"/>
            <w:noProof/>
          </w:rPr>
          <w:t>Gráfica 6</w:t>
        </w:r>
        <w:r w:rsidR="0013260D" w:rsidRPr="002244EC">
          <w:rPr>
            <w:rStyle w:val="Hipervnculo"/>
            <w:noProof/>
          </w:rPr>
          <w:noBreakHyphen/>
          <w:t>3 – Servicios Postales de Pago: Ingresos totales. (Millones de pesos reales 2021 = 100)</w:t>
        </w:r>
        <w:r w:rsidR="0013260D">
          <w:rPr>
            <w:noProof/>
            <w:webHidden/>
          </w:rPr>
          <w:tab/>
        </w:r>
        <w:r w:rsidR="0013260D">
          <w:rPr>
            <w:noProof/>
            <w:webHidden/>
          </w:rPr>
          <w:fldChar w:fldCharType="begin"/>
        </w:r>
        <w:r w:rsidR="0013260D">
          <w:rPr>
            <w:noProof/>
            <w:webHidden/>
          </w:rPr>
          <w:instrText xml:space="preserve"> PAGEREF _Toc104228735 \h </w:instrText>
        </w:r>
        <w:r w:rsidR="0013260D">
          <w:rPr>
            <w:noProof/>
            <w:webHidden/>
          </w:rPr>
        </w:r>
        <w:r w:rsidR="0013260D">
          <w:rPr>
            <w:noProof/>
            <w:webHidden/>
          </w:rPr>
          <w:fldChar w:fldCharType="separate"/>
        </w:r>
        <w:r w:rsidR="0013260D">
          <w:rPr>
            <w:noProof/>
            <w:webHidden/>
          </w:rPr>
          <w:t>50</w:t>
        </w:r>
        <w:r w:rsidR="0013260D">
          <w:rPr>
            <w:noProof/>
            <w:webHidden/>
          </w:rPr>
          <w:fldChar w:fldCharType="end"/>
        </w:r>
      </w:hyperlink>
    </w:p>
    <w:p w14:paraId="6587058D" w14:textId="549D7CEF"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36" w:history="1">
        <w:r w:rsidR="0013260D" w:rsidRPr="002244EC">
          <w:rPr>
            <w:rStyle w:val="Hipervnculo"/>
            <w:noProof/>
          </w:rPr>
          <w:t>Gráfica 6</w:t>
        </w:r>
        <w:r w:rsidR="0013260D" w:rsidRPr="002244EC">
          <w:rPr>
            <w:rStyle w:val="Hipervnculo"/>
            <w:noProof/>
          </w:rPr>
          <w:noBreakHyphen/>
          <w:t>4 – Servicios postales de pago. Contribuciones al FUTIC a diferentes tasas de contribución (Millones de pesos reales 2021 = 100)</w:t>
        </w:r>
        <w:r w:rsidR="0013260D">
          <w:rPr>
            <w:noProof/>
            <w:webHidden/>
          </w:rPr>
          <w:tab/>
        </w:r>
        <w:r w:rsidR="0013260D">
          <w:rPr>
            <w:noProof/>
            <w:webHidden/>
          </w:rPr>
          <w:fldChar w:fldCharType="begin"/>
        </w:r>
        <w:r w:rsidR="0013260D">
          <w:rPr>
            <w:noProof/>
            <w:webHidden/>
          </w:rPr>
          <w:instrText xml:space="preserve"> PAGEREF _Toc104228736 \h </w:instrText>
        </w:r>
        <w:r w:rsidR="0013260D">
          <w:rPr>
            <w:noProof/>
            <w:webHidden/>
          </w:rPr>
        </w:r>
        <w:r w:rsidR="0013260D">
          <w:rPr>
            <w:noProof/>
            <w:webHidden/>
          </w:rPr>
          <w:fldChar w:fldCharType="separate"/>
        </w:r>
        <w:r w:rsidR="0013260D">
          <w:rPr>
            <w:noProof/>
            <w:webHidden/>
          </w:rPr>
          <w:t>51</w:t>
        </w:r>
        <w:r w:rsidR="0013260D">
          <w:rPr>
            <w:noProof/>
            <w:webHidden/>
          </w:rPr>
          <w:fldChar w:fldCharType="end"/>
        </w:r>
      </w:hyperlink>
    </w:p>
    <w:p w14:paraId="07ECDC40" w14:textId="28354FE8"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37" w:history="1">
        <w:r w:rsidR="0013260D" w:rsidRPr="002244EC">
          <w:rPr>
            <w:rStyle w:val="Hipervnculo"/>
            <w:noProof/>
          </w:rPr>
          <w:t>Gráfica 7</w:t>
        </w:r>
        <w:r w:rsidR="0013260D" w:rsidRPr="002244EC">
          <w:rPr>
            <w:rStyle w:val="Hipervnculo"/>
            <w:noProof/>
          </w:rPr>
          <w:noBreakHyphen/>
          <w:t>1 - Evolución de los envíos de encomiendas – 2018 - 2024 (Miles de envíos)</w:t>
        </w:r>
        <w:r w:rsidR="0013260D">
          <w:rPr>
            <w:noProof/>
            <w:webHidden/>
          </w:rPr>
          <w:tab/>
        </w:r>
        <w:r w:rsidR="0013260D">
          <w:rPr>
            <w:noProof/>
            <w:webHidden/>
          </w:rPr>
          <w:fldChar w:fldCharType="begin"/>
        </w:r>
        <w:r w:rsidR="0013260D">
          <w:rPr>
            <w:noProof/>
            <w:webHidden/>
          </w:rPr>
          <w:instrText xml:space="preserve"> PAGEREF _Toc104228737 \h </w:instrText>
        </w:r>
        <w:r w:rsidR="0013260D">
          <w:rPr>
            <w:noProof/>
            <w:webHidden/>
          </w:rPr>
        </w:r>
        <w:r w:rsidR="0013260D">
          <w:rPr>
            <w:noProof/>
            <w:webHidden/>
          </w:rPr>
          <w:fldChar w:fldCharType="separate"/>
        </w:r>
        <w:r w:rsidR="0013260D">
          <w:rPr>
            <w:noProof/>
            <w:webHidden/>
          </w:rPr>
          <w:t>54</w:t>
        </w:r>
        <w:r w:rsidR="0013260D">
          <w:rPr>
            <w:noProof/>
            <w:webHidden/>
          </w:rPr>
          <w:fldChar w:fldCharType="end"/>
        </w:r>
      </w:hyperlink>
    </w:p>
    <w:p w14:paraId="24CA378D" w14:textId="18965E01"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38" w:history="1">
        <w:r w:rsidR="0013260D" w:rsidRPr="002244EC">
          <w:rPr>
            <w:rStyle w:val="Hipervnculo"/>
            <w:noProof/>
          </w:rPr>
          <w:t>Gráfica 7</w:t>
        </w:r>
        <w:r w:rsidR="0013260D" w:rsidRPr="002244EC">
          <w:rPr>
            <w:rStyle w:val="Hipervnculo"/>
            <w:noProof/>
          </w:rPr>
          <w:noBreakHyphen/>
          <w:t>2 - Evolución de los ingresos de encomiendas – 2016 - 2024 (Millones de pesos reales. Diciembre de 2021 = 100)</w:t>
        </w:r>
        <w:r w:rsidR="0013260D">
          <w:rPr>
            <w:noProof/>
            <w:webHidden/>
          </w:rPr>
          <w:tab/>
        </w:r>
        <w:r w:rsidR="0013260D">
          <w:rPr>
            <w:noProof/>
            <w:webHidden/>
          </w:rPr>
          <w:fldChar w:fldCharType="begin"/>
        </w:r>
        <w:r w:rsidR="0013260D">
          <w:rPr>
            <w:noProof/>
            <w:webHidden/>
          </w:rPr>
          <w:instrText xml:space="preserve"> PAGEREF _Toc104228738 \h </w:instrText>
        </w:r>
        <w:r w:rsidR="0013260D">
          <w:rPr>
            <w:noProof/>
            <w:webHidden/>
          </w:rPr>
        </w:r>
        <w:r w:rsidR="0013260D">
          <w:rPr>
            <w:noProof/>
            <w:webHidden/>
          </w:rPr>
          <w:fldChar w:fldCharType="separate"/>
        </w:r>
        <w:r w:rsidR="0013260D">
          <w:rPr>
            <w:noProof/>
            <w:webHidden/>
          </w:rPr>
          <w:t>54</w:t>
        </w:r>
        <w:r w:rsidR="0013260D">
          <w:rPr>
            <w:noProof/>
            <w:webHidden/>
          </w:rPr>
          <w:fldChar w:fldCharType="end"/>
        </w:r>
      </w:hyperlink>
    </w:p>
    <w:p w14:paraId="7CC1EDD1" w14:textId="20939F03"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39" w:history="1">
        <w:r w:rsidR="0013260D" w:rsidRPr="002244EC">
          <w:rPr>
            <w:rStyle w:val="Hipervnculo"/>
            <w:noProof/>
          </w:rPr>
          <w:t>Gráfica 7</w:t>
        </w:r>
        <w:r w:rsidR="0013260D" w:rsidRPr="002244EC">
          <w:rPr>
            <w:rStyle w:val="Hipervnculo"/>
            <w:noProof/>
          </w:rPr>
          <w:noBreakHyphen/>
          <w:t>3 – Ingresos de Servicios Postales Nacionales e ingresos imputados al Servicio Postal Universal (Millones de pesos reales de 2021)</w:t>
        </w:r>
        <w:r w:rsidR="0013260D">
          <w:rPr>
            <w:noProof/>
            <w:webHidden/>
          </w:rPr>
          <w:tab/>
        </w:r>
        <w:r w:rsidR="0013260D">
          <w:rPr>
            <w:noProof/>
            <w:webHidden/>
          </w:rPr>
          <w:fldChar w:fldCharType="begin"/>
        </w:r>
        <w:r w:rsidR="0013260D">
          <w:rPr>
            <w:noProof/>
            <w:webHidden/>
          </w:rPr>
          <w:instrText xml:space="preserve"> PAGEREF _Toc104228739 \h </w:instrText>
        </w:r>
        <w:r w:rsidR="0013260D">
          <w:rPr>
            <w:noProof/>
            <w:webHidden/>
          </w:rPr>
        </w:r>
        <w:r w:rsidR="0013260D">
          <w:rPr>
            <w:noProof/>
            <w:webHidden/>
          </w:rPr>
          <w:fldChar w:fldCharType="separate"/>
        </w:r>
        <w:r w:rsidR="0013260D">
          <w:rPr>
            <w:noProof/>
            <w:webHidden/>
          </w:rPr>
          <w:t>56</w:t>
        </w:r>
        <w:r w:rsidR="0013260D">
          <w:rPr>
            <w:noProof/>
            <w:webHidden/>
          </w:rPr>
          <w:fldChar w:fldCharType="end"/>
        </w:r>
      </w:hyperlink>
    </w:p>
    <w:p w14:paraId="36CD63B6" w14:textId="60A692A3"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40" w:history="1">
        <w:r w:rsidR="0013260D" w:rsidRPr="002244EC">
          <w:rPr>
            <w:rStyle w:val="Hipervnculo"/>
            <w:noProof/>
          </w:rPr>
          <w:t>Gráfica 7</w:t>
        </w:r>
        <w:r w:rsidR="0013260D" w:rsidRPr="002244EC">
          <w:rPr>
            <w:rStyle w:val="Hipervnculo"/>
            <w:noProof/>
          </w:rPr>
          <w:noBreakHyphen/>
          <w:t>4 – Costos y gastos de SPN imputados al SPU (Millones de pesos reales de 2021)</w:t>
        </w:r>
        <w:r w:rsidR="0013260D">
          <w:rPr>
            <w:noProof/>
            <w:webHidden/>
          </w:rPr>
          <w:tab/>
        </w:r>
        <w:r w:rsidR="0013260D">
          <w:rPr>
            <w:noProof/>
            <w:webHidden/>
          </w:rPr>
          <w:fldChar w:fldCharType="begin"/>
        </w:r>
        <w:r w:rsidR="0013260D">
          <w:rPr>
            <w:noProof/>
            <w:webHidden/>
          </w:rPr>
          <w:instrText xml:space="preserve"> PAGEREF _Toc104228740 \h </w:instrText>
        </w:r>
        <w:r w:rsidR="0013260D">
          <w:rPr>
            <w:noProof/>
            <w:webHidden/>
          </w:rPr>
        </w:r>
        <w:r w:rsidR="0013260D">
          <w:rPr>
            <w:noProof/>
            <w:webHidden/>
          </w:rPr>
          <w:fldChar w:fldCharType="separate"/>
        </w:r>
        <w:r w:rsidR="0013260D">
          <w:rPr>
            <w:noProof/>
            <w:webHidden/>
          </w:rPr>
          <w:t>57</w:t>
        </w:r>
        <w:r w:rsidR="0013260D">
          <w:rPr>
            <w:noProof/>
            <w:webHidden/>
          </w:rPr>
          <w:fldChar w:fldCharType="end"/>
        </w:r>
      </w:hyperlink>
    </w:p>
    <w:p w14:paraId="00770F78" w14:textId="3D1B7C88"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41" w:history="1">
        <w:r w:rsidR="0013260D" w:rsidRPr="002244EC">
          <w:rPr>
            <w:rStyle w:val="Hipervnculo"/>
            <w:noProof/>
          </w:rPr>
          <w:t>Gráfica 7</w:t>
        </w:r>
        <w:r w:rsidR="0013260D" w:rsidRPr="002244EC">
          <w:rPr>
            <w:rStyle w:val="Hipervnculo"/>
            <w:noProof/>
          </w:rPr>
          <w:noBreakHyphen/>
          <w:t>5 – Estimación del déficit del SPU – 2021 – 2024 (Millones de pesos reales de diciembre de 2021)</w:t>
        </w:r>
        <w:r w:rsidR="0013260D">
          <w:rPr>
            <w:noProof/>
            <w:webHidden/>
          </w:rPr>
          <w:tab/>
        </w:r>
        <w:r w:rsidR="0013260D">
          <w:rPr>
            <w:noProof/>
            <w:webHidden/>
          </w:rPr>
          <w:fldChar w:fldCharType="begin"/>
        </w:r>
        <w:r w:rsidR="0013260D">
          <w:rPr>
            <w:noProof/>
            <w:webHidden/>
          </w:rPr>
          <w:instrText xml:space="preserve"> PAGEREF _Toc104228741 \h </w:instrText>
        </w:r>
        <w:r w:rsidR="0013260D">
          <w:rPr>
            <w:noProof/>
            <w:webHidden/>
          </w:rPr>
        </w:r>
        <w:r w:rsidR="0013260D">
          <w:rPr>
            <w:noProof/>
            <w:webHidden/>
          </w:rPr>
          <w:fldChar w:fldCharType="separate"/>
        </w:r>
        <w:r w:rsidR="0013260D">
          <w:rPr>
            <w:noProof/>
            <w:webHidden/>
          </w:rPr>
          <w:t>58</w:t>
        </w:r>
        <w:r w:rsidR="0013260D">
          <w:rPr>
            <w:noProof/>
            <w:webHidden/>
          </w:rPr>
          <w:fldChar w:fldCharType="end"/>
        </w:r>
      </w:hyperlink>
    </w:p>
    <w:p w14:paraId="7299139B" w14:textId="38B12F9C"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42" w:history="1">
        <w:r w:rsidR="0013260D" w:rsidRPr="002244EC">
          <w:rPr>
            <w:rStyle w:val="Hipervnculo"/>
            <w:noProof/>
          </w:rPr>
          <w:t>Gráfica 7</w:t>
        </w:r>
        <w:r w:rsidR="0013260D" w:rsidRPr="002244EC">
          <w:rPr>
            <w:rStyle w:val="Hipervnculo"/>
            <w:noProof/>
          </w:rPr>
          <w:noBreakHyphen/>
          <w:t>6 - Contraprestación postal al FUTIC, bajo diferentes escenarios de contraprestación</w:t>
        </w:r>
        <w:r w:rsidR="0013260D">
          <w:rPr>
            <w:noProof/>
            <w:webHidden/>
          </w:rPr>
          <w:tab/>
        </w:r>
        <w:r w:rsidR="0013260D">
          <w:rPr>
            <w:noProof/>
            <w:webHidden/>
          </w:rPr>
          <w:fldChar w:fldCharType="begin"/>
        </w:r>
        <w:r w:rsidR="0013260D">
          <w:rPr>
            <w:noProof/>
            <w:webHidden/>
          </w:rPr>
          <w:instrText xml:space="preserve"> PAGEREF _Toc104228742 \h </w:instrText>
        </w:r>
        <w:r w:rsidR="0013260D">
          <w:rPr>
            <w:noProof/>
            <w:webHidden/>
          </w:rPr>
        </w:r>
        <w:r w:rsidR="0013260D">
          <w:rPr>
            <w:noProof/>
            <w:webHidden/>
          </w:rPr>
          <w:fldChar w:fldCharType="separate"/>
        </w:r>
        <w:r w:rsidR="0013260D">
          <w:rPr>
            <w:noProof/>
            <w:webHidden/>
          </w:rPr>
          <w:t>59</w:t>
        </w:r>
        <w:r w:rsidR="0013260D">
          <w:rPr>
            <w:noProof/>
            <w:webHidden/>
          </w:rPr>
          <w:fldChar w:fldCharType="end"/>
        </w:r>
      </w:hyperlink>
    </w:p>
    <w:p w14:paraId="7592172B" w14:textId="029B848E"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43" w:history="1">
        <w:r w:rsidR="0013260D" w:rsidRPr="002244EC">
          <w:rPr>
            <w:rStyle w:val="Hipervnculo"/>
            <w:noProof/>
          </w:rPr>
          <w:t>Gráfica 7</w:t>
        </w:r>
        <w:r w:rsidR="0013260D" w:rsidRPr="002244EC">
          <w:rPr>
            <w:rStyle w:val="Hipervnculo"/>
            <w:noProof/>
          </w:rPr>
          <w:noBreakHyphen/>
          <w:t>7 - Evolución y proyección de los envíos de la franquicia postal. (Miles de envíos)</w:t>
        </w:r>
        <w:r w:rsidR="0013260D">
          <w:rPr>
            <w:noProof/>
            <w:webHidden/>
          </w:rPr>
          <w:tab/>
        </w:r>
        <w:r w:rsidR="0013260D">
          <w:rPr>
            <w:noProof/>
            <w:webHidden/>
          </w:rPr>
          <w:fldChar w:fldCharType="begin"/>
        </w:r>
        <w:r w:rsidR="0013260D">
          <w:rPr>
            <w:noProof/>
            <w:webHidden/>
          </w:rPr>
          <w:instrText xml:space="preserve"> PAGEREF _Toc104228743 \h </w:instrText>
        </w:r>
        <w:r w:rsidR="0013260D">
          <w:rPr>
            <w:noProof/>
            <w:webHidden/>
          </w:rPr>
        </w:r>
        <w:r w:rsidR="0013260D">
          <w:rPr>
            <w:noProof/>
            <w:webHidden/>
          </w:rPr>
          <w:fldChar w:fldCharType="separate"/>
        </w:r>
        <w:r w:rsidR="0013260D">
          <w:rPr>
            <w:noProof/>
            <w:webHidden/>
          </w:rPr>
          <w:t>62</w:t>
        </w:r>
        <w:r w:rsidR="0013260D">
          <w:rPr>
            <w:noProof/>
            <w:webHidden/>
          </w:rPr>
          <w:fldChar w:fldCharType="end"/>
        </w:r>
      </w:hyperlink>
    </w:p>
    <w:p w14:paraId="008FCDBA" w14:textId="197751C7"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44" w:history="1">
        <w:r w:rsidR="0013260D" w:rsidRPr="002244EC">
          <w:rPr>
            <w:rStyle w:val="Hipervnculo"/>
            <w:noProof/>
          </w:rPr>
          <w:t>Gráfica 7</w:t>
        </w:r>
        <w:r w:rsidR="0013260D" w:rsidRPr="002244EC">
          <w:rPr>
            <w:rStyle w:val="Hipervnculo"/>
            <w:noProof/>
          </w:rPr>
          <w:noBreakHyphen/>
          <w:t>8 - Pagos del FUTIC: Franquicia postal, déficit del SPU y otros conceptos. 2021 – 2024 – Millones de pesos reales de 2021)</w:t>
        </w:r>
        <w:r w:rsidR="0013260D">
          <w:rPr>
            <w:noProof/>
            <w:webHidden/>
          </w:rPr>
          <w:tab/>
        </w:r>
        <w:r w:rsidR="0013260D">
          <w:rPr>
            <w:noProof/>
            <w:webHidden/>
          </w:rPr>
          <w:fldChar w:fldCharType="begin"/>
        </w:r>
        <w:r w:rsidR="0013260D">
          <w:rPr>
            <w:noProof/>
            <w:webHidden/>
          </w:rPr>
          <w:instrText xml:space="preserve"> PAGEREF _Toc104228744 \h </w:instrText>
        </w:r>
        <w:r w:rsidR="0013260D">
          <w:rPr>
            <w:noProof/>
            <w:webHidden/>
          </w:rPr>
        </w:r>
        <w:r w:rsidR="0013260D">
          <w:rPr>
            <w:noProof/>
            <w:webHidden/>
          </w:rPr>
          <w:fldChar w:fldCharType="separate"/>
        </w:r>
        <w:r w:rsidR="0013260D">
          <w:rPr>
            <w:noProof/>
            <w:webHidden/>
          </w:rPr>
          <w:t>63</w:t>
        </w:r>
        <w:r w:rsidR="0013260D">
          <w:rPr>
            <w:noProof/>
            <w:webHidden/>
          </w:rPr>
          <w:fldChar w:fldCharType="end"/>
        </w:r>
      </w:hyperlink>
    </w:p>
    <w:p w14:paraId="27D40AD9" w14:textId="4501674D"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45" w:history="1">
        <w:r w:rsidR="0013260D" w:rsidRPr="002244EC">
          <w:rPr>
            <w:rStyle w:val="Hipervnculo"/>
            <w:noProof/>
          </w:rPr>
          <w:t>Gráfica 7</w:t>
        </w:r>
        <w:r w:rsidR="0013260D" w:rsidRPr="002244EC">
          <w:rPr>
            <w:rStyle w:val="Hipervnculo"/>
            <w:noProof/>
          </w:rPr>
          <w:noBreakHyphen/>
          <w:t>9 - Gastos, costos e inversiones del FUTIC en materia postal.</w:t>
        </w:r>
        <w:r w:rsidR="0013260D">
          <w:rPr>
            <w:noProof/>
            <w:webHidden/>
          </w:rPr>
          <w:tab/>
        </w:r>
        <w:r w:rsidR="0013260D">
          <w:rPr>
            <w:noProof/>
            <w:webHidden/>
          </w:rPr>
          <w:fldChar w:fldCharType="begin"/>
        </w:r>
        <w:r w:rsidR="0013260D">
          <w:rPr>
            <w:noProof/>
            <w:webHidden/>
          </w:rPr>
          <w:instrText xml:space="preserve"> PAGEREF _Toc104228745 \h </w:instrText>
        </w:r>
        <w:r w:rsidR="0013260D">
          <w:rPr>
            <w:noProof/>
            <w:webHidden/>
          </w:rPr>
        </w:r>
        <w:r w:rsidR="0013260D">
          <w:rPr>
            <w:noProof/>
            <w:webHidden/>
          </w:rPr>
          <w:fldChar w:fldCharType="separate"/>
        </w:r>
        <w:r w:rsidR="0013260D">
          <w:rPr>
            <w:noProof/>
            <w:webHidden/>
          </w:rPr>
          <w:t>64</w:t>
        </w:r>
        <w:r w:rsidR="0013260D">
          <w:rPr>
            <w:noProof/>
            <w:webHidden/>
          </w:rPr>
          <w:fldChar w:fldCharType="end"/>
        </w:r>
      </w:hyperlink>
    </w:p>
    <w:p w14:paraId="0CB0FC1B" w14:textId="3100F6EB" w:rsidR="0013260D" w:rsidRDefault="0037093A">
      <w:pPr>
        <w:pStyle w:val="Tabladeilustraciones"/>
        <w:tabs>
          <w:tab w:val="right" w:leader="dot" w:pos="9202"/>
        </w:tabs>
        <w:rPr>
          <w:rFonts w:asciiTheme="minorHAnsi" w:hAnsiTheme="minorHAnsi"/>
          <w:noProof/>
          <w:sz w:val="22"/>
          <w:szCs w:val="22"/>
          <w:lang w:val="es-CO" w:eastAsia="es-CO"/>
        </w:rPr>
      </w:pPr>
      <w:hyperlink w:anchor="_Toc104228746" w:history="1">
        <w:r w:rsidR="0013260D" w:rsidRPr="002244EC">
          <w:rPr>
            <w:rStyle w:val="Hipervnculo"/>
            <w:noProof/>
          </w:rPr>
          <w:t>Gráfica 8</w:t>
        </w:r>
        <w:r w:rsidR="0013260D" w:rsidRPr="002244EC">
          <w:rPr>
            <w:rStyle w:val="Hipervnculo"/>
            <w:noProof/>
          </w:rPr>
          <w:noBreakHyphen/>
          <w:t>1 – Definición de la contraprestación postal: Escenarios de Política.</w:t>
        </w:r>
        <w:r w:rsidR="0013260D">
          <w:rPr>
            <w:noProof/>
            <w:webHidden/>
          </w:rPr>
          <w:tab/>
        </w:r>
        <w:r w:rsidR="0013260D">
          <w:rPr>
            <w:noProof/>
            <w:webHidden/>
          </w:rPr>
          <w:fldChar w:fldCharType="begin"/>
        </w:r>
        <w:r w:rsidR="0013260D">
          <w:rPr>
            <w:noProof/>
            <w:webHidden/>
          </w:rPr>
          <w:instrText xml:space="preserve"> PAGEREF _Toc104228746 \h </w:instrText>
        </w:r>
        <w:r w:rsidR="0013260D">
          <w:rPr>
            <w:noProof/>
            <w:webHidden/>
          </w:rPr>
        </w:r>
        <w:r w:rsidR="0013260D">
          <w:rPr>
            <w:noProof/>
            <w:webHidden/>
          </w:rPr>
          <w:fldChar w:fldCharType="separate"/>
        </w:r>
        <w:r w:rsidR="0013260D">
          <w:rPr>
            <w:noProof/>
            <w:webHidden/>
          </w:rPr>
          <w:t>71</w:t>
        </w:r>
        <w:r w:rsidR="0013260D">
          <w:rPr>
            <w:noProof/>
            <w:webHidden/>
          </w:rPr>
          <w:fldChar w:fldCharType="end"/>
        </w:r>
      </w:hyperlink>
    </w:p>
    <w:p w14:paraId="2A07F362" w14:textId="77777777" w:rsidR="00221DB5" w:rsidRDefault="00D16D64" w:rsidP="00073E9D">
      <w:pPr>
        <w:pStyle w:val="Titulodescripcin"/>
      </w:pPr>
      <w:r w:rsidRPr="005503B4">
        <w:fldChar w:fldCharType="end"/>
      </w:r>
      <w:bookmarkEnd w:id="2"/>
      <w:bookmarkEnd w:id="3"/>
      <w:bookmarkEnd w:id="4"/>
      <w:bookmarkEnd w:id="9"/>
    </w:p>
    <w:p w14:paraId="3150C7D1" w14:textId="77777777" w:rsidR="00221DB5" w:rsidRDefault="00221DB5" w:rsidP="00073E9D">
      <w:pPr>
        <w:pStyle w:val="Titulodescripcin"/>
      </w:pPr>
    </w:p>
    <w:p w14:paraId="5B7F1F6D" w14:textId="77777777" w:rsidR="00221DB5" w:rsidRDefault="00221DB5" w:rsidP="00073E9D">
      <w:pPr>
        <w:pStyle w:val="Titulodescripcin"/>
      </w:pPr>
    </w:p>
    <w:p w14:paraId="1FA2AA7B" w14:textId="77777777" w:rsidR="00221DB5" w:rsidRDefault="00221DB5" w:rsidP="00073E9D">
      <w:pPr>
        <w:pStyle w:val="Titulodescripcin"/>
      </w:pPr>
    </w:p>
    <w:p w14:paraId="597F60DE" w14:textId="77777777" w:rsidR="00221DB5" w:rsidRDefault="00221DB5" w:rsidP="00073E9D">
      <w:pPr>
        <w:pStyle w:val="Titulodescripcin"/>
      </w:pPr>
    </w:p>
    <w:p w14:paraId="41D2379C" w14:textId="77777777" w:rsidR="00221DB5" w:rsidRDefault="00221DB5" w:rsidP="00073E9D">
      <w:pPr>
        <w:pStyle w:val="Titulodescripcin"/>
      </w:pPr>
    </w:p>
    <w:p w14:paraId="1817E1C2" w14:textId="06B3FBDE" w:rsidR="00073E9D" w:rsidRPr="005503B4" w:rsidRDefault="00073E9D" w:rsidP="00073E9D">
      <w:pPr>
        <w:pStyle w:val="Titulodescripcin"/>
      </w:pPr>
      <w:bookmarkStart w:id="10" w:name="_Toc104272098"/>
      <w:r>
        <w:lastRenderedPageBreak/>
        <w:t>Relación de tablas</w:t>
      </w:r>
      <w:bookmarkEnd w:id="10"/>
    </w:p>
    <w:p w14:paraId="4B082A04" w14:textId="056536A9" w:rsidR="00C57FCA" w:rsidRDefault="00D16D64">
      <w:pPr>
        <w:pStyle w:val="Tabladeilustraciones"/>
        <w:tabs>
          <w:tab w:val="right" w:leader="dot" w:pos="9202"/>
        </w:tabs>
        <w:rPr>
          <w:rFonts w:asciiTheme="minorHAnsi" w:hAnsiTheme="minorHAnsi"/>
          <w:noProof/>
          <w:sz w:val="22"/>
          <w:szCs w:val="22"/>
          <w:lang w:val="es-CO" w:eastAsia="es-CO"/>
        </w:rPr>
      </w:pPr>
      <w:r w:rsidRPr="005503B4">
        <w:fldChar w:fldCharType="begin"/>
      </w:r>
      <w:r w:rsidRPr="005503B4">
        <w:instrText xml:space="preserve"> TOC \h \z \c "Tabla" </w:instrText>
      </w:r>
      <w:r w:rsidRPr="005503B4">
        <w:fldChar w:fldCharType="separate"/>
      </w:r>
      <w:hyperlink w:anchor="_Toc104227927" w:history="1">
        <w:r w:rsidR="00C57FCA" w:rsidRPr="001B6F8E">
          <w:rPr>
            <w:rStyle w:val="Hipervnculo"/>
            <w:noProof/>
          </w:rPr>
          <w:t>Tabla 2</w:t>
        </w:r>
        <w:r w:rsidR="00C57FCA" w:rsidRPr="001B6F8E">
          <w:rPr>
            <w:rStyle w:val="Hipervnculo"/>
            <w:noProof/>
          </w:rPr>
          <w:noBreakHyphen/>
          <w:t>1 – El mercado de giros postales – Tamaño de los ingresos percibidos por los actores del mercado (Millones de pesos de diciembre de 2021)</w:t>
        </w:r>
        <w:r w:rsidR="00C57FCA">
          <w:rPr>
            <w:noProof/>
            <w:webHidden/>
          </w:rPr>
          <w:tab/>
        </w:r>
        <w:r w:rsidR="00C57FCA">
          <w:rPr>
            <w:noProof/>
            <w:webHidden/>
          </w:rPr>
          <w:fldChar w:fldCharType="begin"/>
        </w:r>
        <w:r w:rsidR="00C57FCA">
          <w:rPr>
            <w:noProof/>
            <w:webHidden/>
          </w:rPr>
          <w:instrText xml:space="preserve"> PAGEREF _Toc104227927 \h </w:instrText>
        </w:r>
        <w:r w:rsidR="00C57FCA">
          <w:rPr>
            <w:noProof/>
            <w:webHidden/>
          </w:rPr>
        </w:r>
        <w:r w:rsidR="00C57FCA">
          <w:rPr>
            <w:noProof/>
            <w:webHidden/>
          </w:rPr>
          <w:fldChar w:fldCharType="separate"/>
        </w:r>
        <w:r w:rsidR="00C57FCA">
          <w:rPr>
            <w:noProof/>
            <w:webHidden/>
          </w:rPr>
          <w:t>13</w:t>
        </w:r>
        <w:r w:rsidR="00C57FCA">
          <w:rPr>
            <w:noProof/>
            <w:webHidden/>
          </w:rPr>
          <w:fldChar w:fldCharType="end"/>
        </w:r>
      </w:hyperlink>
    </w:p>
    <w:p w14:paraId="1340A855" w14:textId="7693A9FA" w:rsidR="00C57FCA" w:rsidRDefault="0037093A">
      <w:pPr>
        <w:pStyle w:val="Tabladeilustraciones"/>
        <w:tabs>
          <w:tab w:val="right" w:leader="dot" w:pos="9202"/>
        </w:tabs>
        <w:rPr>
          <w:rFonts w:asciiTheme="minorHAnsi" w:hAnsiTheme="minorHAnsi"/>
          <w:noProof/>
          <w:sz w:val="22"/>
          <w:szCs w:val="22"/>
          <w:lang w:val="es-CO" w:eastAsia="es-CO"/>
        </w:rPr>
      </w:pPr>
      <w:hyperlink w:anchor="_Toc104227928" w:history="1">
        <w:r w:rsidR="00C57FCA" w:rsidRPr="001B6F8E">
          <w:rPr>
            <w:rStyle w:val="Hipervnculo"/>
            <w:noProof/>
          </w:rPr>
          <w:t>Tabla 3</w:t>
        </w:r>
        <w:r w:rsidR="00C57FCA" w:rsidRPr="001B6F8E">
          <w:rPr>
            <w:rStyle w:val="Hipervnculo"/>
            <w:noProof/>
          </w:rPr>
          <w:noBreakHyphen/>
          <w:t>1 Contraprestaciones por conceptos pagadas por los operadores del mercado postal – 2021 (Millones de pesos)</w:t>
        </w:r>
        <w:r w:rsidR="00C57FCA">
          <w:rPr>
            <w:noProof/>
            <w:webHidden/>
          </w:rPr>
          <w:tab/>
        </w:r>
        <w:r w:rsidR="00C57FCA">
          <w:rPr>
            <w:noProof/>
            <w:webHidden/>
          </w:rPr>
          <w:fldChar w:fldCharType="begin"/>
        </w:r>
        <w:r w:rsidR="00C57FCA">
          <w:rPr>
            <w:noProof/>
            <w:webHidden/>
          </w:rPr>
          <w:instrText xml:space="preserve"> PAGEREF _Toc104227928 \h </w:instrText>
        </w:r>
        <w:r w:rsidR="00C57FCA">
          <w:rPr>
            <w:noProof/>
            <w:webHidden/>
          </w:rPr>
        </w:r>
        <w:r w:rsidR="00C57FCA">
          <w:rPr>
            <w:noProof/>
            <w:webHidden/>
          </w:rPr>
          <w:fldChar w:fldCharType="separate"/>
        </w:r>
        <w:r w:rsidR="00C57FCA">
          <w:rPr>
            <w:noProof/>
            <w:webHidden/>
          </w:rPr>
          <w:t>19</w:t>
        </w:r>
        <w:r w:rsidR="00C57FCA">
          <w:rPr>
            <w:noProof/>
            <w:webHidden/>
          </w:rPr>
          <w:fldChar w:fldCharType="end"/>
        </w:r>
      </w:hyperlink>
    </w:p>
    <w:p w14:paraId="3286864B" w14:textId="7A2185A6" w:rsidR="00C57FCA" w:rsidRDefault="0037093A">
      <w:pPr>
        <w:pStyle w:val="Tabladeilustraciones"/>
        <w:tabs>
          <w:tab w:val="right" w:leader="dot" w:pos="9202"/>
        </w:tabs>
        <w:rPr>
          <w:rFonts w:asciiTheme="minorHAnsi" w:hAnsiTheme="minorHAnsi"/>
          <w:noProof/>
          <w:sz w:val="22"/>
          <w:szCs w:val="22"/>
          <w:lang w:val="es-CO" w:eastAsia="es-CO"/>
        </w:rPr>
      </w:pPr>
      <w:hyperlink w:anchor="_Toc104227929" w:history="1">
        <w:r w:rsidR="00C57FCA" w:rsidRPr="001B6F8E">
          <w:rPr>
            <w:rStyle w:val="Hipervnculo"/>
            <w:noProof/>
          </w:rPr>
          <w:t>Tabla 4</w:t>
        </w:r>
        <w:r w:rsidR="00C57FCA" w:rsidRPr="001B6F8E">
          <w:rPr>
            <w:rStyle w:val="Hipervnculo"/>
            <w:noProof/>
          </w:rPr>
          <w:noBreakHyphen/>
          <w:t>1 - Servicios incluidos en el Servicio Postal Universal en Colombia.</w:t>
        </w:r>
        <w:r w:rsidR="00C57FCA">
          <w:rPr>
            <w:noProof/>
            <w:webHidden/>
          </w:rPr>
          <w:tab/>
        </w:r>
        <w:r w:rsidR="00C57FCA">
          <w:rPr>
            <w:noProof/>
            <w:webHidden/>
          </w:rPr>
          <w:fldChar w:fldCharType="begin"/>
        </w:r>
        <w:r w:rsidR="00C57FCA">
          <w:rPr>
            <w:noProof/>
            <w:webHidden/>
          </w:rPr>
          <w:instrText xml:space="preserve"> PAGEREF _Toc104227929 \h </w:instrText>
        </w:r>
        <w:r w:rsidR="00C57FCA">
          <w:rPr>
            <w:noProof/>
            <w:webHidden/>
          </w:rPr>
        </w:r>
        <w:r w:rsidR="00C57FCA">
          <w:rPr>
            <w:noProof/>
            <w:webHidden/>
          </w:rPr>
          <w:fldChar w:fldCharType="separate"/>
        </w:r>
        <w:r w:rsidR="00C57FCA">
          <w:rPr>
            <w:noProof/>
            <w:webHidden/>
          </w:rPr>
          <w:t>26</w:t>
        </w:r>
        <w:r w:rsidR="00C57FCA">
          <w:rPr>
            <w:noProof/>
            <w:webHidden/>
          </w:rPr>
          <w:fldChar w:fldCharType="end"/>
        </w:r>
      </w:hyperlink>
    </w:p>
    <w:p w14:paraId="6DDAB4AC" w14:textId="72D816B5" w:rsidR="00C57FCA" w:rsidRDefault="0037093A">
      <w:pPr>
        <w:pStyle w:val="Tabladeilustraciones"/>
        <w:tabs>
          <w:tab w:val="right" w:leader="dot" w:pos="9202"/>
        </w:tabs>
        <w:rPr>
          <w:rFonts w:asciiTheme="minorHAnsi" w:hAnsiTheme="minorHAnsi"/>
          <w:noProof/>
          <w:sz w:val="22"/>
          <w:szCs w:val="22"/>
          <w:lang w:val="es-CO" w:eastAsia="es-CO"/>
        </w:rPr>
      </w:pPr>
      <w:hyperlink w:anchor="_Toc104227930" w:history="1">
        <w:r w:rsidR="00C57FCA" w:rsidRPr="001B6F8E">
          <w:rPr>
            <w:rStyle w:val="Hipervnculo"/>
            <w:noProof/>
          </w:rPr>
          <w:t>Tabla 6</w:t>
        </w:r>
        <w:r w:rsidR="00C57FCA" w:rsidRPr="001B6F8E">
          <w:rPr>
            <w:rStyle w:val="Hipervnculo"/>
            <w:noProof/>
          </w:rPr>
          <w:noBreakHyphen/>
          <w:t>1 – El mercado de giros postales – Volumen movilizado de giros postales (Millones de pesos reales de diciembre de 2021)</w:t>
        </w:r>
        <w:r w:rsidR="00C57FCA">
          <w:rPr>
            <w:noProof/>
            <w:webHidden/>
          </w:rPr>
          <w:tab/>
        </w:r>
        <w:r w:rsidR="00C57FCA">
          <w:rPr>
            <w:noProof/>
            <w:webHidden/>
          </w:rPr>
          <w:fldChar w:fldCharType="begin"/>
        </w:r>
        <w:r w:rsidR="00C57FCA">
          <w:rPr>
            <w:noProof/>
            <w:webHidden/>
          </w:rPr>
          <w:instrText xml:space="preserve"> PAGEREF _Toc104227930 \h </w:instrText>
        </w:r>
        <w:r w:rsidR="00C57FCA">
          <w:rPr>
            <w:noProof/>
            <w:webHidden/>
          </w:rPr>
        </w:r>
        <w:r w:rsidR="00C57FCA">
          <w:rPr>
            <w:noProof/>
            <w:webHidden/>
          </w:rPr>
          <w:fldChar w:fldCharType="separate"/>
        </w:r>
        <w:r w:rsidR="00C57FCA">
          <w:rPr>
            <w:noProof/>
            <w:webHidden/>
          </w:rPr>
          <w:t>45</w:t>
        </w:r>
        <w:r w:rsidR="00C57FCA">
          <w:rPr>
            <w:noProof/>
            <w:webHidden/>
          </w:rPr>
          <w:fldChar w:fldCharType="end"/>
        </w:r>
      </w:hyperlink>
    </w:p>
    <w:p w14:paraId="7A522AFC" w14:textId="1A2BD409" w:rsidR="00C57FCA" w:rsidRDefault="0037093A">
      <w:pPr>
        <w:pStyle w:val="Tabladeilustraciones"/>
        <w:tabs>
          <w:tab w:val="right" w:leader="dot" w:pos="9202"/>
        </w:tabs>
        <w:rPr>
          <w:rFonts w:asciiTheme="minorHAnsi" w:hAnsiTheme="minorHAnsi"/>
          <w:noProof/>
          <w:sz w:val="22"/>
          <w:szCs w:val="22"/>
          <w:lang w:val="es-CO" w:eastAsia="es-CO"/>
        </w:rPr>
      </w:pPr>
      <w:hyperlink w:anchor="_Toc104227931" w:history="1">
        <w:r w:rsidR="00C57FCA" w:rsidRPr="001B6F8E">
          <w:rPr>
            <w:rStyle w:val="Hipervnculo"/>
            <w:noProof/>
          </w:rPr>
          <w:t>Tabla 6</w:t>
        </w:r>
        <w:r w:rsidR="00C57FCA" w:rsidRPr="001B6F8E">
          <w:rPr>
            <w:rStyle w:val="Hipervnculo"/>
            <w:noProof/>
          </w:rPr>
          <w:noBreakHyphen/>
          <w:t>2 – El mercado de giros postales – Tamaño de los ingresos percibidos por los actores del mercado (Millones de pesos de diciembre 2021)</w:t>
        </w:r>
        <w:r w:rsidR="00C57FCA">
          <w:rPr>
            <w:noProof/>
            <w:webHidden/>
          </w:rPr>
          <w:tab/>
        </w:r>
        <w:r w:rsidR="00C57FCA">
          <w:rPr>
            <w:noProof/>
            <w:webHidden/>
          </w:rPr>
          <w:fldChar w:fldCharType="begin"/>
        </w:r>
        <w:r w:rsidR="00C57FCA">
          <w:rPr>
            <w:noProof/>
            <w:webHidden/>
          </w:rPr>
          <w:instrText xml:space="preserve"> PAGEREF _Toc104227931 \h </w:instrText>
        </w:r>
        <w:r w:rsidR="00C57FCA">
          <w:rPr>
            <w:noProof/>
            <w:webHidden/>
          </w:rPr>
        </w:r>
        <w:r w:rsidR="00C57FCA">
          <w:rPr>
            <w:noProof/>
            <w:webHidden/>
          </w:rPr>
          <w:fldChar w:fldCharType="separate"/>
        </w:r>
        <w:r w:rsidR="00C57FCA">
          <w:rPr>
            <w:noProof/>
            <w:webHidden/>
          </w:rPr>
          <w:t>46</w:t>
        </w:r>
        <w:r w:rsidR="00C57FCA">
          <w:rPr>
            <w:noProof/>
            <w:webHidden/>
          </w:rPr>
          <w:fldChar w:fldCharType="end"/>
        </w:r>
      </w:hyperlink>
    </w:p>
    <w:p w14:paraId="3D47F32B" w14:textId="60D8FDA5" w:rsidR="00C57FCA" w:rsidRDefault="0037093A">
      <w:pPr>
        <w:pStyle w:val="Tabladeilustraciones"/>
        <w:tabs>
          <w:tab w:val="right" w:leader="dot" w:pos="9202"/>
        </w:tabs>
        <w:rPr>
          <w:rFonts w:asciiTheme="minorHAnsi" w:hAnsiTheme="minorHAnsi"/>
          <w:noProof/>
          <w:sz w:val="22"/>
          <w:szCs w:val="22"/>
          <w:lang w:val="es-CO" w:eastAsia="es-CO"/>
        </w:rPr>
      </w:pPr>
      <w:hyperlink w:anchor="_Toc104227932" w:history="1">
        <w:r w:rsidR="00C57FCA" w:rsidRPr="001B6F8E">
          <w:rPr>
            <w:rStyle w:val="Hipervnculo"/>
            <w:noProof/>
          </w:rPr>
          <w:t>Tabla 6</w:t>
        </w:r>
        <w:r w:rsidR="00C57FCA" w:rsidRPr="001B6F8E">
          <w:rPr>
            <w:rStyle w:val="Hipervnculo"/>
            <w:noProof/>
          </w:rPr>
          <w:noBreakHyphen/>
          <w:t>3 – El tamaño de mercado de giros postales – Número de giros postales cursados a través de los actores del mercado (Miles de envíos)</w:t>
        </w:r>
        <w:r w:rsidR="00C57FCA">
          <w:rPr>
            <w:noProof/>
            <w:webHidden/>
          </w:rPr>
          <w:tab/>
        </w:r>
        <w:r w:rsidR="00C57FCA">
          <w:rPr>
            <w:noProof/>
            <w:webHidden/>
          </w:rPr>
          <w:fldChar w:fldCharType="begin"/>
        </w:r>
        <w:r w:rsidR="00C57FCA">
          <w:rPr>
            <w:noProof/>
            <w:webHidden/>
          </w:rPr>
          <w:instrText xml:space="preserve"> PAGEREF _Toc104227932 \h </w:instrText>
        </w:r>
        <w:r w:rsidR="00C57FCA">
          <w:rPr>
            <w:noProof/>
            <w:webHidden/>
          </w:rPr>
        </w:r>
        <w:r w:rsidR="00C57FCA">
          <w:rPr>
            <w:noProof/>
            <w:webHidden/>
          </w:rPr>
          <w:fldChar w:fldCharType="separate"/>
        </w:r>
        <w:r w:rsidR="00C57FCA">
          <w:rPr>
            <w:noProof/>
            <w:webHidden/>
          </w:rPr>
          <w:t>47</w:t>
        </w:r>
        <w:r w:rsidR="00C57FCA">
          <w:rPr>
            <w:noProof/>
            <w:webHidden/>
          </w:rPr>
          <w:fldChar w:fldCharType="end"/>
        </w:r>
      </w:hyperlink>
    </w:p>
    <w:p w14:paraId="0C488893" w14:textId="0EE2A6EC" w:rsidR="00C57FCA" w:rsidRDefault="0037093A">
      <w:pPr>
        <w:pStyle w:val="Tabladeilustraciones"/>
        <w:tabs>
          <w:tab w:val="right" w:leader="dot" w:pos="9202"/>
        </w:tabs>
        <w:rPr>
          <w:rFonts w:asciiTheme="minorHAnsi" w:hAnsiTheme="minorHAnsi"/>
          <w:noProof/>
          <w:sz w:val="22"/>
          <w:szCs w:val="22"/>
          <w:lang w:val="es-CO" w:eastAsia="es-CO"/>
        </w:rPr>
      </w:pPr>
      <w:hyperlink w:anchor="_Toc104227933" w:history="1">
        <w:r w:rsidR="00C57FCA" w:rsidRPr="001B6F8E">
          <w:rPr>
            <w:rStyle w:val="Hipervnculo"/>
            <w:noProof/>
          </w:rPr>
          <w:t>Tabla 6</w:t>
        </w:r>
        <w:r w:rsidR="00C57FCA" w:rsidRPr="001B6F8E">
          <w:rPr>
            <w:rStyle w:val="Hipervnculo"/>
            <w:noProof/>
          </w:rPr>
          <w:noBreakHyphen/>
          <w:t>4 – El mercado de giros postales – Comisión promedio por transacción (Pesos reales de 2021)</w:t>
        </w:r>
        <w:r w:rsidR="00C57FCA">
          <w:rPr>
            <w:noProof/>
            <w:webHidden/>
          </w:rPr>
          <w:tab/>
        </w:r>
        <w:r w:rsidR="00C57FCA">
          <w:rPr>
            <w:noProof/>
            <w:webHidden/>
          </w:rPr>
          <w:fldChar w:fldCharType="begin"/>
        </w:r>
        <w:r w:rsidR="00C57FCA">
          <w:rPr>
            <w:noProof/>
            <w:webHidden/>
          </w:rPr>
          <w:instrText xml:space="preserve"> PAGEREF _Toc104227933 \h </w:instrText>
        </w:r>
        <w:r w:rsidR="00C57FCA">
          <w:rPr>
            <w:noProof/>
            <w:webHidden/>
          </w:rPr>
        </w:r>
        <w:r w:rsidR="00C57FCA">
          <w:rPr>
            <w:noProof/>
            <w:webHidden/>
          </w:rPr>
          <w:fldChar w:fldCharType="separate"/>
        </w:r>
        <w:r w:rsidR="00C57FCA">
          <w:rPr>
            <w:noProof/>
            <w:webHidden/>
          </w:rPr>
          <w:t>48</w:t>
        </w:r>
        <w:r w:rsidR="00C57FCA">
          <w:rPr>
            <w:noProof/>
            <w:webHidden/>
          </w:rPr>
          <w:fldChar w:fldCharType="end"/>
        </w:r>
      </w:hyperlink>
    </w:p>
    <w:p w14:paraId="55AC1B9C" w14:textId="3DB4A85B" w:rsidR="00C57FCA" w:rsidRDefault="0037093A">
      <w:pPr>
        <w:pStyle w:val="Tabladeilustraciones"/>
        <w:tabs>
          <w:tab w:val="right" w:leader="dot" w:pos="9202"/>
        </w:tabs>
        <w:rPr>
          <w:rFonts w:asciiTheme="minorHAnsi" w:hAnsiTheme="minorHAnsi"/>
          <w:noProof/>
          <w:sz w:val="22"/>
          <w:szCs w:val="22"/>
          <w:lang w:val="es-CO" w:eastAsia="es-CO"/>
        </w:rPr>
      </w:pPr>
      <w:hyperlink w:anchor="_Toc104227934" w:history="1">
        <w:r w:rsidR="00C57FCA" w:rsidRPr="001B6F8E">
          <w:rPr>
            <w:rStyle w:val="Hipervnculo"/>
            <w:noProof/>
          </w:rPr>
          <w:t>Tabla 6</w:t>
        </w:r>
        <w:r w:rsidR="00C57FCA" w:rsidRPr="001B6F8E">
          <w:rPr>
            <w:rStyle w:val="Hipervnculo"/>
            <w:noProof/>
          </w:rPr>
          <w:noBreakHyphen/>
          <w:t>5 – Servicios FINTECH. Giros electrónicos en el año 2021</w:t>
        </w:r>
        <w:r w:rsidR="00C57FCA">
          <w:rPr>
            <w:noProof/>
            <w:webHidden/>
          </w:rPr>
          <w:tab/>
        </w:r>
        <w:r w:rsidR="00C57FCA">
          <w:rPr>
            <w:noProof/>
            <w:webHidden/>
          </w:rPr>
          <w:fldChar w:fldCharType="begin"/>
        </w:r>
        <w:r w:rsidR="00C57FCA">
          <w:rPr>
            <w:noProof/>
            <w:webHidden/>
          </w:rPr>
          <w:instrText xml:space="preserve"> PAGEREF _Toc104227934 \h </w:instrText>
        </w:r>
        <w:r w:rsidR="00C57FCA">
          <w:rPr>
            <w:noProof/>
            <w:webHidden/>
          </w:rPr>
        </w:r>
        <w:r w:rsidR="00C57FCA">
          <w:rPr>
            <w:noProof/>
            <w:webHidden/>
          </w:rPr>
          <w:fldChar w:fldCharType="separate"/>
        </w:r>
        <w:r w:rsidR="00C57FCA">
          <w:rPr>
            <w:noProof/>
            <w:webHidden/>
          </w:rPr>
          <w:t>49</w:t>
        </w:r>
        <w:r w:rsidR="00C57FCA">
          <w:rPr>
            <w:noProof/>
            <w:webHidden/>
          </w:rPr>
          <w:fldChar w:fldCharType="end"/>
        </w:r>
      </w:hyperlink>
    </w:p>
    <w:p w14:paraId="46AC0FF4" w14:textId="4088C12D" w:rsidR="00C57FCA" w:rsidRDefault="0037093A">
      <w:pPr>
        <w:pStyle w:val="Tabladeilustraciones"/>
        <w:tabs>
          <w:tab w:val="right" w:leader="dot" w:pos="9202"/>
        </w:tabs>
        <w:rPr>
          <w:rFonts w:asciiTheme="minorHAnsi" w:hAnsiTheme="minorHAnsi"/>
          <w:noProof/>
          <w:sz w:val="22"/>
          <w:szCs w:val="22"/>
          <w:lang w:val="es-CO" w:eastAsia="es-CO"/>
        </w:rPr>
      </w:pPr>
      <w:hyperlink w:anchor="_Toc104227935" w:history="1">
        <w:r w:rsidR="00C57FCA" w:rsidRPr="001B6F8E">
          <w:rPr>
            <w:rStyle w:val="Hipervnculo"/>
            <w:noProof/>
          </w:rPr>
          <w:t>Tabla 7</w:t>
        </w:r>
        <w:r w:rsidR="00C57FCA" w:rsidRPr="001B6F8E">
          <w:rPr>
            <w:rStyle w:val="Hipervnculo"/>
            <w:noProof/>
          </w:rPr>
          <w:noBreakHyphen/>
          <w:t>1 – Modelo de costos ABC de SPN– Ponderadores de ingresos, costos y gastos para productos de correo del SPU y del no SPU</w:t>
        </w:r>
        <w:r w:rsidR="00C57FCA">
          <w:rPr>
            <w:noProof/>
            <w:webHidden/>
          </w:rPr>
          <w:tab/>
        </w:r>
        <w:r w:rsidR="00C57FCA">
          <w:rPr>
            <w:noProof/>
            <w:webHidden/>
          </w:rPr>
          <w:fldChar w:fldCharType="begin"/>
        </w:r>
        <w:r w:rsidR="00C57FCA">
          <w:rPr>
            <w:noProof/>
            <w:webHidden/>
          </w:rPr>
          <w:instrText xml:space="preserve"> PAGEREF _Toc104227935 \h </w:instrText>
        </w:r>
        <w:r w:rsidR="00C57FCA">
          <w:rPr>
            <w:noProof/>
            <w:webHidden/>
          </w:rPr>
        </w:r>
        <w:r w:rsidR="00C57FCA">
          <w:rPr>
            <w:noProof/>
            <w:webHidden/>
          </w:rPr>
          <w:fldChar w:fldCharType="separate"/>
        </w:r>
        <w:r w:rsidR="00C57FCA">
          <w:rPr>
            <w:noProof/>
            <w:webHidden/>
          </w:rPr>
          <w:t>55</w:t>
        </w:r>
        <w:r w:rsidR="00C57FCA">
          <w:rPr>
            <w:noProof/>
            <w:webHidden/>
          </w:rPr>
          <w:fldChar w:fldCharType="end"/>
        </w:r>
      </w:hyperlink>
    </w:p>
    <w:p w14:paraId="51ECED24" w14:textId="09673DAD" w:rsidR="00C57FCA" w:rsidRDefault="0037093A">
      <w:pPr>
        <w:pStyle w:val="Tabladeilustraciones"/>
        <w:tabs>
          <w:tab w:val="right" w:leader="dot" w:pos="9202"/>
        </w:tabs>
        <w:rPr>
          <w:rFonts w:asciiTheme="minorHAnsi" w:hAnsiTheme="minorHAnsi"/>
          <w:noProof/>
          <w:sz w:val="22"/>
          <w:szCs w:val="22"/>
          <w:lang w:val="es-CO" w:eastAsia="es-CO"/>
        </w:rPr>
      </w:pPr>
      <w:hyperlink w:anchor="_Toc104227936" w:history="1">
        <w:r w:rsidR="00C57FCA" w:rsidRPr="001B6F8E">
          <w:rPr>
            <w:rStyle w:val="Hipervnculo"/>
            <w:noProof/>
          </w:rPr>
          <w:t>Tabla 8</w:t>
        </w:r>
        <w:r w:rsidR="00C57FCA" w:rsidRPr="001B6F8E">
          <w:rPr>
            <w:rStyle w:val="Hipervnculo"/>
            <w:noProof/>
          </w:rPr>
          <w:noBreakHyphen/>
          <w:t>1 – Definición de la contraprestación del sector postal: Escenarios de política</w:t>
        </w:r>
        <w:r w:rsidR="00C57FCA">
          <w:rPr>
            <w:noProof/>
            <w:webHidden/>
          </w:rPr>
          <w:tab/>
        </w:r>
        <w:r w:rsidR="00C57FCA">
          <w:rPr>
            <w:noProof/>
            <w:webHidden/>
          </w:rPr>
          <w:fldChar w:fldCharType="begin"/>
        </w:r>
        <w:r w:rsidR="00C57FCA">
          <w:rPr>
            <w:noProof/>
            <w:webHidden/>
          </w:rPr>
          <w:instrText xml:space="preserve"> PAGEREF _Toc104227936 \h </w:instrText>
        </w:r>
        <w:r w:rsidR="00C57FCA">
          <w:rPr>
            <w:noProof/>
            <w:webHidden/>
          </w:rPr>
        </w:r>
        <w:r w:rsidR="00C57FCA">
          <w:rPr>
            <w:noProof/>
            <w:webHidden/>
          </w:rPr>
          <w:fldChar w:fldCharType="separate"/>
        </w:r>
        <w:r w:rsidR="00C57FCA">
          <w:rPr>
            <w:noProof/>
            <w:webHidden/>
          </w:rPr>
          <w:t>68</w:t>
        </w:r>
        <w:r w:rsidR="00C57FCA">
          <w:rPr>
            <w:noProof/>
            <w:webHidden/>
          </w:rPr>
          <w:fldChar w:fldCharType="end"/>
        </w:r>
      </w:hyperlink>
    </w:p>
    <w:p w14:paraId="5072E621" w14:textId="09524E54" w:rsidR="00E376BE" w:rsidRDefault="00D16D64" w:rsidP="00D16D64">
      <w:r w:rsidRPr="005503B4">
        <w:fldChar w:fldCharType="end"/>
      </w:r>
    </w:p>
    <w:p w14:paraId="4902F30F" w14:textId="77777777" w:rsidR="00E376BE" w:rsidRDefault="00E376BE">
      <w:pPr>
        <w:spacing w:before="0" w:after="120" w:line="276" w:lineRule="auto"/>
      </w:pPr>
      <w:r>
        <w:br w:type="page"/>
      </w:r>
    </w:p>
    <w:p w14:paraId="047A2B38" w14:textId="77777777" w:rsidR="00EF1C4E" w:rsidRDefault="00EF1C4E" w:rsidP="002E073B">
      <w:pPr>
        <w:pStyle w:val="Titulodescripcin"/>
        <w:rPr>
          <w:rFonts w:ascii="Arial Narrow" w:hAnsi="Arial Narrow"/>
        </w:rPr>
      </w:pPr>
    </w:p>
    <w:p w14:paraId="5E6042A8" w14:textId="77777777" w:rsidR="00EF1C4E" w:rsidRDefault="00EF1C4E" w:rsidP="002E073B">
      <w:pPr>
        <w:pStyle w:val="Titulodescripcin"/>
        <w:rPr>
          <w:rFonts w:ascii="Arial Narrow" w:hAnsi="Arial Narrow"/>
        </w:rPr>
      </w:pPr>
    </w:p>
    <w:p w14:paraId="62F37254" w14:textId="5DD8B9E4" w:rsidR="002E073B" w:rsidRPr="005503B4" w:rsidRDefault="00934720" w:rsidP="002E073B">
      <w:pPr>
        <w:pStyle w:val="Titulodescripcin"/>
        <w:rPr>
          <w:rFonts w:ascii="Arial Narrow" w:hAnsi="Arial Narrow"/>
        </w:rPr>
      </w:pPr>
      <w:bookmarkStart w:id="11" w:name="_Toc104272099"/>
      <w:r>
        <w:rPr>
          <w:rFonts w:ascii="Arial Narrow" w:hAnsi="Arial Narrow"/>
        </w:rPr>
        <w:t>Abreviaturas</w:t>
      </w:r>
      <w:bookmarkEnd w:id="11"/>
    </w:p>
    <w:tbl>
      <w:tblPr>
        <w:tblStyle w:val="Ecotabla-31113"/>
        <w:tblW w:w="17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6099"/>
        <w:gridCol w:w="2265"/>
        <w:gridCol w:w="6836"/>
      </w:tblGrid>
      <w:tr w:rsidR="00910E2A" w:rsidRPr="005503B4" w14:paraId="48B7627A" w14:textId="77777777" w:rsidTr="36F4F280">
        <w:tc>
          <w:tcPr>
            <w:tcW w:w="2265" w:type="dxa"/>
          </w:tcPr>
          <w:p w14:paraId="0337BDB3"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APP</w:t>
            </w:r>
          </w:p>
          <w:p w14:paraId="6EA2FD6B"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 xml:space="preserve">ARPU </w:t>
            </w:r>
          </w:p>
          <w:p w14:paraId="7DE0EF7A" w14:textId="77777777" w:rsidR="00910E2A" w:rsidRPr="005503B4" w:rsidRDefault="00910E2A" w:rsidP="00910E2A">
            <w:pPr>
              <w:spacing w:before="0" w:after="0" w:line="264" w:lineRule="auto"/>
              <w:rPr>
                <w:rFonts w:cs="Arial"/>
                <w:color w:val="2E74B5" w:themeColor="accent1" w:themeShade="BF"/>
                <w:sz w:val="20"/>
                <w:szCs w:val="20"/>
                <w:lang w:val="en-US"/>
              </w:rPr>
            </w:pPr>
          </w:p>
          <w:p w14:paraId="39500D23"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CAPEX</w:t>
            </w:r>
          </w:p>
          <w:p w14:paraId="2CB8A2A1" w14:textId="4F14CE42"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CRC</w:t>
            </w:r>
          </w:p>
        </w:tc>
        <w:tc>
          <w:tcPr>
            <w:tcW w:w="6099" w:type="dxa"/>
          </w:tcPr>
          <w:p w14:paraId="6C398BF2" w14:textId="77777777" w:rsidR="00910E2A" w:rsidRPr="005503B4" w:rsidRDefault="00910E2A" w:rsidP="00910E2A">
            <w:pPr>
              <w:spacing w:before="0" w:after="0" w:line="264" w:lineRule="auto"/>
              <w:rPr>
                <w:rFonts w:cs="Arial"/>
                <w:sz w:val="20"/>
                <w:szCs w:val="20"/>
              </w:rPr>
            </w:pPr>
            <w:r w:rsidRPr="005503B4">
              <w:rPr>
                <w:rFonts w:cs="Arial"/>
                <w:sz w:val="20"/>
                <w:szCs w:val="20"/>
              </w:rPr>
              <w:t>Alianza Público – Privada.</w:t>
            </w:r>
          </w:p>
          <w:p w14:paraId="74387A86" w14:textId="77777777" w:rsidR="00910E2A" w:rsidRPr="005503B4" w:rsidRDefault="00910E2A" w:rsidP="00910E2A">
            <w:pPr>
              <w:spacing w:before="0" w:after="0" w:line="264" w:lineRule="auto"/>
              <w:rPr>
                <w:rFonts w:cs="Arial"/>
                <w:sz w:val="20"/>
                <w:szCs w:val="20"/>
              </w:rPr>
            </w:pPr>
            <w:r w:rsidRPr="005503B4">
              <w:rPr>
                <w:rFonts w:cs="Arial"/>
                <w:sz w:val="20"/>
                <w:szCs w:val="20"/>
              </w:rPr>
              <w:t xml:space="preserve">ARPU, siglas en inglés para </w:t>
            </w:r>
            <w:r w:rsidRPr="005503B4">
              <w:rPr>
                <w:rFonts w:cs="Arial"/>
                <w:sz w:val="20"/>
                <w:szCs w:val="20"/>
                <w:lang w:val="es-CO"/>
              </w:rPr>
              <w:t>“</w:t>
            </w:r>
            <w:proofErr w:type="spellStart"/>
            <w:r w:rsidRPr="005503B4">
              <w:rPr>
                <w:rFonts w:cs="Arial"/>
                <w:i/>
                <w:iCs/>
                <w:sz w:val="20"/>
                <w:szCs w:val="20"/>
                <w:lang w:val="es-CO"/>
              </w:rPr>
              <w:t>Average</w:t>
            </w:r>
            <w:proofErr w:type="spellEnd"/>
            <w:r w:rsidRPr="005503B4">
              <w:rPr>
                <w:rFonts w:cs="Arial"/>
                <w:i/>
                <w:iCs/>
                <w:sz w:val="20"/>
                <w:szCs w:val="20"/>
                <w:lang w:val="es-CO"/>
              </w:rPr>
              <w:t xml:space="preserve"> </w:t>
            </w:r>
            <w:proofErr w:type="spellStart"/>
            <w:r w:rsidRPr="005503B4">
              <w:rPr>
                <w:rFonts w:cs="Arial"/>
                <w:i/>
                <w:iCs/>
                <w:sz w:val="20"/>
                <w:szCs w:val="20"/>
                <w:lang w:val="es-CO"/>
              </w:rPr>
              <w:t>Revenue</w:t>
            </w:r>
            <w:proofErr w:type="spellEnd"/>
            <w:r w:rsidRPr="005503B4">
              <w:rPr>
                <w:rFonts w:cs="Arial"/>
                <w:i/>
                <w:iCs/>
                <w:sz w:val="20"/>
                <w:szCs w:val="20"/>
                <w:lang w:val="es-CO"/>
              </w:rPr>
              <w:t xml:space="preserve"> per User</w:t>
            </w:r>
            <w:r w:rsidRPr="005503B4">
              <w:rPr>
                <w:rFonts w:cs="Arial"/>
                <w:sz w:val="20"/>
                <w:szCs w:val="20"/>
                <w:lang w:val="es-CO"/>
              </w:rPr>
              <w:t>”</w:t>
            </w:r>
            <w:r w:rsidRPr="005503B4">
              <w:rPr>
                <w:rFonts w:cs="Arial"/>
                <w:sz w:val="20"/>
                <w:szCs w:val="20"/>
              </w:rPr>
              <w:t xml:space="preserve"> o “Ingreso promedio por usuario”.</w:t>
            </w:r>
          </w:p>
          <w:p w14:paraId="35C16157" w14:textId="77777777" w:rsidR="00910E2A" w:rsidRPr="005503B4" w:rsidRDefault="00910E2A" w:rsidP="00910E2A">
            <w:pPr>
              <w:spacing w:before="0" w:after="0" w:line="264" w:lineRule="auto"/>
              <w:rPr>
                <w:rFonts w:cs="Arial"/>
                <w:sz w:val="20"/>
                <w:szCs w:val="20"/>
              </w:rPr>
            </w:pPr>
            <w:r w:rsidRPr="005503B4">
              <w:rPr>
                <w:rFonts w:cs="Arial"/>
                <w:i/>
                <w:iCs/>
                <w:sz w:val="20"/>
                <w:szCs w:val="20"/>
                <w:lang w:val="es-CO"/>
              </w:rPr>
              <w:t xml:space="preserve">Capital </w:t>
            </w:r>
            <w:proofErr w:type="spellStart"/>
            <w:r w:rsidRPr="005503B4">
              <w:rPr>
                <w:rFonts w:cs="Arial"/>
                <w:i/>
                <w:iCs/>
                <w:sz w:val="20"/>
                <w:szCs w:val="20"/>
                <w:lang w:val="es-CO"/>
              </w:rPr>
              <w:t>Expenditures</w:t>
            </w:r>
            <w:proofErr w:type="spellEnd"/>
            <w:r w:rsidRPr="005503B4">
              <w:rPr>
                <w:rFonts w:cs="Arial"/>
                <w:sz w:val="20"/>
                <w:szCs w:val="20"/>
                <w:lang w:val="es-CO"/>
              </w:rPr>
              <w:t>,</w:t>
            </w:r>
            <w:r w:rsidRPr="005503B4">
              <w:rPr>
                <w:rFonts w:cs="Arial"/>
                <w:sz w:val="20"/>
                <w:szCs w:val="20"/>
              </w:rPr>
              <w:t xml:space="preserve"> Inversiones de capital.</w:t>
            </w:r>
          </w:p>
          <w:p w14:paraId="4243C7BD" w14:textId="56C0076B" w:rsidR="00910E2A" w:rsidRPr="005503B4" w:rsidRDefault="00910E2A" w:rsidP="00910E2A">
            <w:pPr>
              <w:spacing w:before="0" w:after="0" w:line="264" w:lineRule="auto"/>
              <w:rPr>
                <w:rFonts w:cs="Arial"/>
                <w:color w:val="8EAADB" w:themeColor="accent5" w:themeTint="99"/>
                <w:sz w:val="20"/>
                <w:szCs w:val="20"/>
                <w:lang w:val="es-CO"/>
              </w:rPr>
            </w:pPr>
            <w:r w:rsidRPr="005503B4">
              <w:rPr>
                <w:rFonts w:cs="Arial"/>
                <w:sz w:val="20"/>
                <w:szCs w:val="20"/>
              </w:rPr>
              <w:t>Comisión de Regulación de Comunicaciones</w:t>
            </w:r>
          </w:p>
        </w:tc>
        <w:tc>
          <w:tcPr>
            <w:tcW w:w="2265" w:type="dxa"/>
            <w:shd w:val="clear" w:color="auto" w:fill="auto"/>
          </w:tcPr>
          <w:p w14:paraId="1B968D5C" w14:textId="6F73134F" w:rsidR="00910E2A" w:rsidRPr="005503B4" w:rsidRDefault="00910E2A" w:rsidP="00910E2A">
            <w:pPr>
              <w:spacing w:before="0" w:after="0" w:line="264" w:lineRule="auto"/>
              <w:rPr>
                <w:rFonts w:cs="Arial"/>
                <w:color w:val="8EAADB" w:themeColor="accent5" w:themeTint="99"/>
                <w:sz w:val="20"/>
                <w:szCs w:val="20"/>
                <w:lang w:val="es-CO"/>
              </w:rPr>
            </w:pPr>
          </w:p>
        </w:tc>
        <w:tc>
          <w:tcPr>
            <w:tcW w:w="6836" w:type="dxa"/>
            <w:shd w:val="clear" w:color="auto" w:fill="auto"/>
          </w:tcPr>
          <w:p w14:paraId="33907A7A" w14:textId="527ED354" w:rsidR="00910E2A" w:rsidRPr="005503B4" w:rsidRDefault="00910E2A" w:rsidP="00910E2A">
            <w:pPr>
              <w:spacing w:before="0" w:after="0" w:line="264" w:lineRule="auto"/>
              <w:rPr>
                <w:rFonts w:cs="Arial"/>
                <w:sz w:val="20"/>
                <w:szCs w:val="20"/>
              </w:rPr>
            </w:pPr>
          </w:p>
        </w:tc>
      </w:tr>
      <w:tr w:rsidR="00910E2A" w:rsidRPr="005503B4" w14:paraId="570A91EC" w14:textId="77777777" w:rsidTr="36F4F280">
        <w:tc>
          <w:tcPr>
            <w:tcW w:w="2265" w:type="dxa"/>
          </w:tcPr>
          <w:p w14:paraId="1FE97248" w14:textId="77777777" w:rsidR="00910E2A" w:rsidRPr="005503B4" w:rsidRDefault="00910E2A" w:rsidP="00910E2A">
            <w:pPr>
              <w:spacing w:before="0" w:after="0" w:line="264" w:lineRule="auto"/>
              <w:rPr>
                <w:rFonts w:cs="Arial"/>
                <w:color w:val="2E74B5" w:themeColor="accent1" w:themeShade="BF"/>
                <w:sz w:val="20"/>
                <w:szCs w:val="20"/>
              </w:rPr>
            </w:pPr>
            <w:r w:rsidRPr="005503B4">
              <w:rPr>
                <w:rFonts w:cs="Arial"/>
                <w:color w:val="2E74B5" w:themeColor="accent1" w:themeShade="BF"/>
                <w:sz w:val="20"/>
                <w:szCs w:val="20"/>
              </w:rPr>
              <w:t>DNP</w:t>
            </w:r>
          </w:p>
          <w:p w14:paraId="2D22A4EC" w14:textId="28C504D6" w:rsidR="00291742" w:rsidRPr="005503B4" w:rsidRDefault="00291742" w:rsidP="00910E2A">
            <w:pPr>
              <w:spacing w:before="0" w:after="0" w:line="264" w:lineRule="auto"/>
              <w:rPr>
                <w:rFonts w:cs="Arial"/>
                <w:color w:val="2E74B5" w:themeColor="accent1" w:themeShade="BF"/>
                <w:sz w:val="20"/>
                <w:szCs w:val="20"/>
              </w:rPr>
            </w:pPr>
            <w:r w:rsidRPr="005503B4">
              <w:rPr>
                <w:rFonts w:cs="Arial"/>
                <w:color w:val="2E74B5" w:themeColor="accent1" w:themeShade="BF"/>
                <w:sz w:val="20"/>
                <w:szCs w:val="20"/>
              </w:rPr>
              <w:t>FINTECH</w:t>
            </w:r>
          </w:p>
          <w:p w14:paraId="7294CA3E" w14:textId="77777777" w:rsidR="00291742" w:rsidRPr="005503B4" w:rsidRDefault="00291742" w:rsidP="00910E2A">
            <w:pPr>
              <w:spacing w:before="0" w:after="0" w:line="264" w:lineRule="auto"/>
              <w:rPr>
                <w:rFonts w:cs="Arial"/>
                <w:color w:val="2E74B5" w:themeColor="accent1" w:themeShade="BF"/>
                <w:sz w:val="20"/>
                <w:szCs w:val="20"/>
              </w:rPr>
            </w:pPr>
          </w:p>
          <w:p w14:paraId="450A4626" w14:textId="77777777" w:rsidR="00291742" w:rsidRPr="005503B4" w:rsidRDefault="00291742" w:rsidP="00910E2A">
            <w:pPr>
              <w:spacing w:before="0" w:after="0" w:line="264" w:lineRule="auto"/>
              <w:rPr>
                <w:rFonts w:cs="Arial"/>
                <w:color w:val="2E74B5" w:themeColor="accent1" w:themeShade="BF"/>
                <w:sz w:val="20"/>
                <w:szCs w:val="20"/>
              </w:rPr>
            </w:pPr>
          </w:p>
          <w:p w14:paraId="35152E32" w14:textId="77777777" w:rsidR="00291742" w:rsidRPr="005503B4" w:rsidRDefault="00291742" w:rsidP="00910E2A">
            <w:pPr>
              <w:spacing w:before="0" w:after="0" w:line="264" w:lineRule="auto"/>
              <w:rPr>
                <w:rFonts w:cs="Arial"/>
                <w:color w:val="2E74B5" w:themeColor="accent1" w:themeShade="BF"/>
                <w:sz w:val="20"/>
                <w:szCs w:val="20"/>
              </w:rPr>
            </w:pPr>
          </w:p>
          <w:p w14:paraId="214EC933" w14:textId="3228FD55" w:rsidR="00910E2A" w:rsidRPr="005503B4" w:rsidRDefault="005503B4" w:rsidP="00910E2A">
            <w:pPr>
              <w:spacing w:before="0" w:after="0" w:line="264" w:lineRule="auto"/>
              <w:rPr>
                <w:rFonts w:cs="Arial"/>
                <w:color w:val="2E74B5" w:themeColor="accent1" w:themeShade="BF"/>
                <w:sz w:val="20"/>
                <w:szCs w:val="20"/>
              </w:rPr>
            </w:pPr>
            <w:r w:rsidRPr="005503B4">
              <w:rPr>
                <w:rFonts w:cs="Arial"/>
                <w:color w:val="2E74B5" w:themeColor="accent1" w:themeShade="BF"/>
                <w:sz w:val="20"/>
                <w:szCs w:val="20"/>
              </w:rPr>
              <w:t>FONADE</w:t>
            </w:r>
          </w:p>
        </w:tc>
        <w:tc>
          <w:tcPr>
            <w:tcW w:w="6099" w:type="dxa"/>
          </w:tcPr>
          <w:p w14:paraId="69AC4A1A" w14:textId="77777777" w:rsidR="00910E2A" w:rsidRPr="005503B4" w:rsidRDefault="00910E2A" w:rsidP="00910E2A">
            <w:pPr>
              <w:spacing w:before="0" w:after="0" w:line="264" w:lineRule="auto"/>
              <w:rPr>
                <w:rFonts w:cs="Arial"/>
                <w:sz w:val="20"/>
                <w:szCs w:val="20"/>
                <w:lang w:val="es-CO"/>
              </w:rPr>
            </w:pPr>
            <w:r w:rsidRPr="005503B4">
              <w:rPr>
                <w:rFonts w:cs="Arial"/>
                <w:sz w:val="20"/>
                <w:szCs w:val="20"/>
                <w:lang w:val="es-CO"/>
              </w:rPr>
              <w:t>Departamento Nacional de Planeación.</w:t>
            </w:r>
          </w:p>
          <w:p w14:paraId="7E8B6C73" w14:textId="60120281" w:rsidR="00291742" w:rsidRPr="005503B4" w:rsidRDefault="78C9318F" w:rsidP="00910E2A">
            <w:pPr>
              <w:spacing w:before="0" w:after="0" w:line="264" w:lineRule="auto"/>
              <w:rPr>
                <w:rFonts w:cs="Arial"/>
                <w:sz w:val="20"/>
                <w:szCs w:val="20"/>
                <w:lang w:val="es-CO"/>
              </w:rPr>
            </w:pPr>
            <w:r w:rsidRPr="005503B4">
              <w:rPr>
                <w:rFonts w:cs="Arial"/>
                <w:sz w:val="20"/>
                <w:szCs w:val="20"/>
                <w:lang w:val="es-CO"/>
              </w:rPr>
              <w:t>Concepto que se deriva de la suma de las palabras en inglés finanzas y tecnología y que describe desarrollos tecnológicos que tienen como propósito mejorar o automatizar el uso de servicios financieros en temas relacionados con servicios de transferencia digital o electrónica de efectivo.</w:t>
            </w:r>
          </w:p>
          <w:p w14:paraId="66895F2D" w14:textId="251DAD3B" w:rsidR="00910E2A" w:rsidRPr="005503B4" w:rsidRDefault="00910E2A" w:rsidP="00910E2A">
            <w:pPr>
              <w:spacing w:before="0" w:after="0" w:line="264" w:lineRule="auto"/>
              <w:rPr>
                <w:rFonts w:cs="Arial"/>
                <w:color w:val="8EAADB" w:themeColor="accent5" w:themeTint="99"/>
                <w:sz w:val="20"/>
                <w:szCs w:val="20"/>
              </w:rPr>
            </w:pPr>
            <w:r w:rsidRPr="005503B4">
              <w:rPr>
                <w:rFonts w:cs="Arial"/>
                <w:sz w:val="20"/>
                <w:szCs w:val="20"/>
                <w:lang w:val="es-CO"/>
              </w:rPr>
              <w:t>Fondo Financiero de Proyectos de Desarrollo</w:t>
            </w:r>
            <w:r w:rsidRPr="005503B4">
              <w:rPr>
                <w:rFonts w:cs="Arial"/>
                <w:sz w:val="20"/>
                <w:szCs w:val="20"/>
              </w:rPr>
              <w:t xml:space="preserve"> </w:t>
            </w:r>
          </w:p>
        </w:tc>
        <w:tc>
          <w:tcPr>
            <w:tcW w:w="2265" w:type="dxa"/>
            <w:shd w:val="clear" w:color="auto" w:fill="auto"/>
          </w:tcPr>
          <w:p w14:paraId="23301817" w14:textId="3D5281EA" w:rsidR="00910E2A" w:rsidRPr="005503B4" w:rsidRDefault="00910E2A" w:rsidP="00910E2A">
            <w:pPr>
              <w:spacing w:before="0" w:after="0" w:line="264" w:lineRule="auto"/>
              <w:rPr>
                <w:rFonts w:cs="Arial"/>
                <w:color w:val="8EAADB" w:themeColor="accent5" w:themeTint="99"/>
                <w:sz w:val="20"/>
                <w:szCs w:val="20"/>
              </w:rPr>
            </w:pPr>
          </w:p>
        </w:tc>
        <w:tc>
          <w:tcPr>
            <w:tcW w:w="6836" w:type="dxa"/>
            <w:shd w:val="clear" w:color="auto" w:fill="auto"/>
          </w:tcPr>
          <w:p w14:paraId="60E1F1EA" w14:textId="11946A3B" w:rsidR="00910E2A" w:rsidRPr="005503B4" w:rsidRDefault="00910E2A" w:rsidP="00910E2A">
            <w:pPr>
              <w:spacing w:before="0" w:after="0" w:line="264" w:lineRule="auto"/>
              <w:rPr>
                <w:rFonts w:cs="Arial"/>
                <w:sz w:val="20"/>
                <w:szCs w:val="20"/>
              </w:rPr>
            </w:pPr>
          </w:p>
        </w:tc>
      </w:tr>
      <w:tr w:rsidR="00910E2A" w:rsidRPr="005503B4" w14:paraId="6F970A72" w14:textId="77777777" w:rsidTr="36F4F280">
        <w:tc>
          <w:tcPr>
            <w:tcW w:w="2265" w:type="dxa"/>
          </w:tcPr>
          <w:p w14:paraId="4F1E6BCB"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FONTIC</w:t>
            </w:r>
          </w:p>
          <w:p w14:paraId="5D1A1FCA" w14:textId="77777777" w:rsidR="00910E2A" w:rsidRPr="005503B4" w:rsidRDefault="00910E2A" w:rsidP="00910E2A">
            <w:pPr>
              <w:spacing w:before="0" w:after="0" w:line="264" w:lineRule="auto"/>
              <w:rPr>
                <w:rFonts w:cs="Arial"/>
                <w:color w:val="2E74B5" w:themeColor="accent1" w:themeShade="BF"/>
                <w:sz w:val="20"/>
                <w:szCs w:val="20"/>
                <w:lang w:val="en-US"/>
              </w:rPr>
            </w:pPr>
          </w:p>
          <w:p w14:paraId="70D3158D"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FUTIC</w:t>
            </w:r>
          </w:p>
          <w:p w14:paraId="6CEEAF8A" w14:textId="77777777" w:rsidR="00910E2A" w:rsidRPr="005503B4" w:rsidRDefault="00910E2A" w:rsidP="00910E2A">
            <w:pPr>
              <w:spacing w:before="0" w:after="0" w:line="264" w:lineRule="auto"/>
              <w:rPr>
                <w:color w:val="2E74B5" w:themeColor="accent1" w:themeShade="BF"/>
                <w:sz w:val="20"/>
                <w:szCs w:val="20"/>
                <w:lang w:val="en-US"/>
              </w:rPr>
            </w:pPr>
          </w:p>
          <w:p w14:paraId="63E9564A" w14:textId="1109356F" w:rsidR="0029059D" w:rsidRPr="005503B4" w:rsidRDefault="0029059D"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IPC</w:t>
            </w:r>
          </w:p>
          <w:p w14:paraId="28114E7D" w14:textId="478C1408"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OPEX</w:t>
            </w:r>
          </w:p>
        </w:tc>
        <w:tc>
          <w:tcPr>
            <w:tcW w:w="6099" w:type="dxa"/>
          </w:tcPr>
          <w:p w14:paraId="45DB50F4" w14:textId="616A1EC7" w:rsidR="00910E2A" w:rsidRPr="005503B4" w:rsidRDefault="3F9F1854" w:rsidP="36F4F280">
            <w:pPr>
              <w:spacing w:before="0" w:after="0" w:line="264" w:lineRule="auto"/>
              <w:rPr>
                <w:sz w:val="20"/>
                <w:szCs w:val="20"/>
                <w:lang w:val="es-CO"/>
              </w:rPr>
            </w:pPr>
            <w:r w:rsidRPr="005503B4">
              <w:rPr>
                <w:rFonts w:cs="Arial"/>
                <w:sz w:val="20"/>
                <w:szCs w:val="20"/>
              </w:rPr>
              <w:t xml:space="preserve">Fondo </w:t>
            </w:r>
            <w:r w:rsidRPr="005503B4">
              <w:rPr>
                <w:sz w:val="20"/>
                <w:szCs w:val="20"/>
                <w:lang w:val="es-CO"/>
              </w:rPr>
              <w:t xml:space="preserve">de las Tecnologías de la Información y las Comunicaciones de Colombia. (Nombre anterior a la expedición de la Ley </w:t>
            </w:r>
            <w:r w:rsidR="00EF15A2" w:rsidRPr="005503B4">
              <w:rPr>
                <w:sz w:val="20"/>
                <w:szCs w:val="20"/>
                <w:lang w:val="es-CO"/>
              </w:rPr>
              <w:t>1978 de</w:t>
            </w:r>
            <w:r w:rsidRPr="005503B4">
              <w:rPr>
                <w:sz w:val="20"/>
                <w:szCs w:val="20"/>
                <w:lang w:val="es-CO"/>
              </w:rPr>
              <w:t xml:space="preserve"> 2019)</w:t>
            </w:r>
          </w:p>
          <w:p w14:paraId="46D99DCB" w14:textId="0C9D5DB7" w:rsidR="00910E2A" w:rsidRPr="005503B4" w:rsidRDefault="3F9F1854" w:rsidP="00910E2A">
            <w:pPr>
              <w:spacing w:before="0" w:after="0" w:line="264" w:lineRule="auto"/>
              <w:rPr>
                <w:rFonts w:cs="Arial"/>
                <w:sz w:val="20"/>
                <w:szCs w:val="20"/>
              </w:rPr>
            </w:pPr>
            <w:r w:rsidRPr="005503B4">
              <w:rPr>
                <w:rFonts w:cs="Arial"/>
                <w:sz w:val="20"/>
                <w:szCs w:val="20"/>
              </w:rPr>
              <w:t xml:space="preserve">Fondo Único </w:t>
            </w:r>
            <w:r w:rsidRPr="005503B4">
              <w:rPr>
                <w:sz w:val="20"/>
                <w:szCs w:val="20"/>
                <w:lang w:val="es-CO"/>
              </w:rPr>
              <w:t xml:space="preserve">de las Tecnologías de la Información y las Comunicaciones de Colombia. (Nombre posterior </w:t>
            </w:r>
            <w:r w:rsidR="00A93244" w:rsidRPr="005503B4">
              <w:rPr>
                <w:sz w:val="20"/>
                <w:szCs w:val="20"/>
                <w:lang w:val="es-CO"/>
              </w:rPr>
              <w:t>a</w:t>
            </w:r>
            <w:r w:rsidRPr="005503B4">
              <w:rPr>
                <w:sz w:val="20"/>
                <w:szCs w:val="20"/>
                <w:lang w:val="es-CO"/>
              </w:rPr>
              <w:t xml:space="preserve"> la expedición de la Ley 1978 de 2019)</w:t>
            </w:r>
          </w:p>
          <w:p w14:paraId="627D91BF" w14:textId="50651BB4" w:rsidR="0029059D" w:rsidRPr="005503B4" w:rsidRDefault="0029059D" w:rsidP="00910E2A">
            <w:pPr>
              <w:spacing w:before="0" w:after="0" w:line="264" w:lineRule="auto"/>
              <w:rPr>
                <w:rFonts w:cs="Arial"/>
                <w:sz w:val="20"/>
                <w:szCs w:val="20"/>
                <w:lang w:val="es-CO"/>
              </w:rPr>
            </w:pPr>
            <w:r w:rsidRPr="005503B4">
              <w:rPr>
                <w:rFonts w:cs="Arial"/>
                <w:sz w:val="20"/>
                <w:szCs w:val="20"/>
                <w:lang w:val="es-CO"/>
              </w:rPr>
              <w:t>Índice de Precios al Consumidor que publica el DANE.</w:t>
            </w:r>
          </w:p>
          <w:p w14:paraId="3AFCEA80" w14:textId="26E96109" w:rsidR="00910E2A" w:rsidRPr="005503B4" w:rsidRDefault="00910E2A" w:rsidP="00910E2A">
            <w:pPr>
              <w:spacing w:before="0" w:after="0" w:line="264" w:lineRule="auto"/>
              <w:rPr>
                <w:rFonts w:cs="Arial"/>
                <w:color w:val="8EAADB" w:themeColor="accent5" w:themeTint="99"/>
                <w:sz w:val="20"/>
                <w:szCs w:val="20"/>
                <w:lang w:val="en-US"/>
              </w:rPr>
            </w:pPr>
            <w:proofErr w:type="spellStart"/>
            <w:r w:rsidRPr="005503B4">
              <w:rPr>
                <w:rFonts w:cs="Arial"/>
                <w:i/>
                <w:iCs/>
                <w:sz w:val="20"/>
                <w:szCs w:val="20"/>
                <w:lang w:val="es-CO"/>
              </w:rPr>
              <w:t>Operational</w:t>
            </w:r>
            <w:proofErr w:type="spellEnd"/>
            <w:r w:rsidRPr="005503B4">
              <w:rPr>
                <w:rFonts w:cs="Arial"/>
                <w:i/>
                <w:iCs/>
                <w:sz w:val="20"/>
                <w:szCs w:val="20"/>
                <w:lang w:val="es-CO"/>
              </w:rPr>
              <w:t xml:space="preserve"> </w:t>
            </w:r>
            <w:proofErr w:type="spellStart"/>
            <w:r w:rsidRPr="005503B4">
              <w:rPr>
                <w:rFonts w:cs="Arial"/>
                <w:i/>
                <w:iCs/>
                <w:sz w:val="20"/>
                <w:szCs w:val="20"/>
                <w:lang w:val="es-CO"/>
              </w:rPr>
              <w:t>Expenditures</w:t>
            </w:r>
            <w:proofErr w:type="spellEnd"/>
            <w:r w:rsidRPr="005503B4">
              <w:rPr>
                <w:rFonts w:cs="Arial"/>
                <w:sz w:val="20"/>
                <w:szCs w:val="20"/>
                <w:lang w:val="es-CO"/>
              </w:rPr>
              <w:t>, Costos Operacionales.</w:t>
            </w:r>
          </w:p>
        </w:tc>
        <w:tc>
          <w:tcPr>
            <w:tcW w:w="2265" w:type="dxa"/>
            <w:shd w:val="clear" w:color="auto" w:fill="auto"/>
          </w:tcPr>
          <w:p w14:paraId="269B2167" w14:textId="3F151D49" w:rsidR="00910E2A" w:rsidRPr="005503B4" w:rsidRDefault="00910E2A" w:rsidP="00910E2A">
            <w:pPr>
              <w:spacing w:before="0" w:after="0" w:line="264" w:lineRule="auto"/>
              <w:rPr>
                <w:rFonts w:cs="Arial"/>
                <w:color w:val="8EAADB" w:themeColor="accent5" w:themeTint="99"/>
                <w:sz w:val="20"/>
                <w:szCs w:val="20"/>
                <w:lang w:val="en-US"/>
              </w:rPr>
            </w:pPr>
          </w:p>
        </w:tc>
        <w:tc>
          <w:tcPr>
            <w:tcW w:w="6836" w:type="dxa"/>
            <w:shd w:val="clear" w:color="auto" w:fill="auto"/>
          </w:tcPr>
          <w:p w14:paraId="2D2B4231" w14:textId="1956A32F" w:rsidR="00910E2A" w:rsidRPr="005503B4" w:rsidRDefault="00910E2A" w:rsidP="00910E2A">
            <w:pPr>
              <w:spacing w:before="0" w:after="0" w:line="264" w:lineRule="auto"/>
              <w:rPr>
                <w:rFonts w:cs="Arial"/>
                <w:sz w:val="20"/>
                <w:szCs w:val="20"/>
                <w:lang w:val="es-CO"/>
              </w:rPr>
            </w:pPr>
          </w:p>
        </w:tc>
      </w:tr>
      <w:tr w:rsidR="00910E2A" w:rsidRPr="005503B4" w14:paraId="12945C85" w14:textId="77777777" w:rsidTr="36F4F280">
        <w:tc>
          <w:tcPr>
            <w:tcW w:w="2265" w:type="dxa"/>
          </w:tcPr>
          <w:p w14:paraId="5257883E"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RTVC</w:t>
            </w:r>
          </w:p>
          <w:p w14:paraId="03128DCA"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SPN</w:t>
            </w:r>
          </w:p>
          <w:p w14:paraId="79D63AFF"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SMMLV</w:t>
            </w:r>
          </w:p>
          <w:p w14:paraId="2AA246D2"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SPU</w:t>
            </w:r>
          </w:p>
          <w:p w14:paraId="2E83AC59"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SIC</w:t>
            </w:r>
          </w:p>
          <w:p w14:paraId="0C77A5CE"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color w:val="2E74B5" w:themeColor="accent1" w:themeShade="BF"/>
                <w:sz w:val="20"/>
                <w:szCs w:val="20"/>
                <w:lang w:val="en-US"/>
              </w:rPr>
              <w:t>TIC</w:t>
            </w:r>
          </w:p>
          <w:p w14:paraId="652090A6" w14:textId="77777777" w:rsidR="00910E2A" w:rsidRPr="005503B4" w:rsidRDefault="00910E2A" w:rsidP="00910E2A">
            <w:pPr>
              <w:spacing w:before="0" w:after="0" w:line="264" w:lineRule="auto"/>
              <w:rPr>
                <w:rFonts w:cs="Arial"/>
                <w:color w:val="2E74B5" w:themeColor="accent1" w:themeShade="BF"/>
                <w:sz w:val="20"/>
                <w:szCs w:val="20"/>
                <w:lang w:val="en-US"/>
              </w:rPr>
            </w:pPr>
          </w:p>
          <w:p w14:paraId="2D5A0EB7" w14:textId="77777777" w:rsidR="00910E2A" w:rsidRPr="005503B4" w:rsidRDefault="00910E2A" w:rsidP="00910E2A">
            <w:pPr>
              <w:spacing w:before="0" w:after="0" w:line="264" w:lineRule="auto"/>
              <w:rPr>
                <w:rFonts w:cs="Arial"/>
                <w:color w:val="2E74B5" w:themeColor="accent1" w:themeShade="BF"/>
                <w:sz w:val="20"/>
                <w:szCs w:val="20"/>
                <w:lang w:val="en-US"/>
              </w:rPr>
            </w:pPr>
          </w:p>
          <w:p w14:paraId="72F35739" w14:textId="77777777" w:rsidR="00910E2A" w:rsidRPr="005503B4" w:rsidRDefault="00910E2A" w:rsidP="00910E2A">
            <w:pPr>
              <w:spacing w:before="0" w:after="0" w:line="264" w:lineRule="auto"/>
              <w:rPr>
                <w:rFonts w:cs="Arial"/>
                <w:color w:val="2E74B5" w:themeColor="accent1" w:themeShade="BF"/>
                <w:sz w:val="20"/>
                <w:szCs w:val="20"/>
                <w:lang w:val="en-US"/>
              </w:rPr>
            </w:pPr>
          </w:p>
          <w:p w14:paraId="53B5E8F3" w14:textId="77777777" w:rsidR="005503B4" w:rsidRPr="005503B4" w:rsidRDefault="005503B4" w:rsidP="005503B4">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UPAEP</w:t>
            </w:r>
          </w:p>
          <w:p w14:paraId="603E2A47" w14:textId="77777777"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UPU</w:t>
            </w:r>
          </w:p>
          <w:p w14:paraId="4BE8C972" w14:textId="4AB7DE49" w:rsidR="00910E2A" w:rsidRPr="005503B4" w:rsidRDefault="00910E2A" w:rsidP="00910E2A">
            <w:pPr>
              <w:spacing w:before="0" w:after="0" w:line="264" w:lineRule="auto"/>
              <w:rPr>
                <w:rFonts w:cs="Arial"/>
                <w:color w:val="2E74B5" w:themeColor="accent1" w:themeShade="BF"/>
                <w:sz w:val="20"/>
                <w:szCs w:val="20"/>
                <w:lang w:val="en-US"/>
              </w:rPr>
            </w:pPr>
            <w:r w:rsidRPr="005503B4">
              <w:rPr>
                <w:rFonts w:cs="Arial"/>
                <w:color w:val="2E74B5" w:themeColor="accent1" w:themeShade="BF"/>
                <w:sz w:val="20"/>
                <w:szCs w:val="20"/>
                <w:lang w:val="en-US"/>
              </w:rPr>
              <w:t>V</w:t>
            </w:r>
            <w:r w:rsidR="00094C8A">
              <w:rPr>
                <w:rFonts w:cs="Arial"/>
                <w:color w:val="2E74B5" w:themeColor="accent1" w:themeShade="BF"/>
                <w:sz w:val="20"/>
                <w:szCs w:val="20"/>
                <w:lang w:val="en-US"/>
              </w:rPr>
              <w:t>D</w:t>
            </w:r>
            <w:r w:rsidRPr="005503B4">
              <w:rPr>
                <w:rFonts w:cs="Arial"/>
                <w:color w:val="2E74B5" w:themeColor="accent1" w:themeShade="BF"/>
                <w:sz w:val="20"/>
                <w:szCs w:val="20"/>
                <w:lang w:val="en-US"/>
              </w:rPr>
              <w:t>C</w:t>
            </w:r>
          </w:p>
          <w:p w14:paraId="56175F37" w14:textId="77777777" w:rsidR="00910E2A" w:rsidRPr="005503B4" w:rsidRDefault="00910E2A" w:rsidP="00910E2A">
            <w:pPr>
              <w:spacing w:before="0" w:after="0" w:line="264" w:lineRule="auto"/>
              <w:rPr>
                <w:rFonts w:cs="Arial"/>
                <w:color w:val="2E74B5" w:themeColor="accent1" w:themeShade="BF"/>
                <w:sz w:val="20"/>
                <w:szCs w:val="20"/>
                <w:lang w:val="en-US"/>
              </w:rPr>
            </w:pPr>
          </w:p>
        </w:tc>
        <w:tc>
          <w:tcPr>
            <w:tcW w:w="6099" w:type="dxa"/>
          </w:tcPr>
          <w:p w14:paraId="3C850A95" w14:textId="77777777" w:rsidR="00910E2A" w:rsidRPr="005503B4" w:rsidRDefault="00910E2A" w:rsidP="00910E2A">
            <w:pPr>
              <w:spacing w:before="0" w:after="0" w:line="264" w:lineRule="auto"/>
              <w:rPr>
                <w:rFonts w:cs="Arial"/>
                <w:sz w:val="20"/>
                <w:szCs w:val="20"/>
              </w:rPr>
            </w:pPr>
            <w:r w:rsidRPr="005503B4">
              <w:rPr>
                <w:rFonts w:cs="Arial"/>
                <w:sz w:val="20"/>
                <w:szCs w:val="20"/>
              </w:rPr>
              <w:t>Radio Televisión Nacional de Colombia.</w:t>
            </w:r>
          </w:p>
          <w:p w14:paraId="56F3CCBF" w14:textId="77777777" w:rsidR="00910E2A" w:rsidRPr="005503B4" w:rsidRDefault="00910E2A" w:rsidP="00910E2A">
            <w:pPr>
              <w:spacing w:before="0" w:after="0" w:line="264" w:lineRule="auto"/>
              <w:rPr>
                <w:rFonts w:cs="Arial"/>
                <w:sz w:val="20"/>
                <w:szCs w:val="20"/>
              </w:rPr>
            </w:pPr>
            <w:r w:rsidRPr="005503B4">
              <w:rPr>
                <w:rFonts w:cs="Arial"/>
                <w:sz w:val="20"/>
                <w:szCs w:val="20"/>
              </w:rPr>
              <w:t>Servicios Postales Nacionales.</w:t>
            </w:r>
          </w:p>
          <w:p w14:paraId="62029453" w14:textId="77777777" w:rsidR="00910E2A" w:rsidRPr="005503B4" w:rsidRDefault="00910E2A" w:rsidP="00910E2A">
            <w:pPr>
              <w:spacing w:before="0" w:after="0" w:line="264" w:lineRule="auto"/>
              <w:rPr>
                <w:rFonts w:cs="Arial"/>
                <w:sz w:val="20"/>
                <w:szCs w:val="20"/>
              </w:rPr>
            </w:pPr>
            <w:r w:rsidRPr="005503B4">
              <w:rPr>
                <w:rFonts w:cs="Arial"/>
                <w:sz w:val="20"/>
                <w:szCs w:val="20"/>
              </w:rPr>
              <w:t>Salarios Mínimos Legales Mensuales Vigentes</w:t>
            </w:r>
          </w:p>
          <w:p w14:paraId="1801254C" w14:textId="77777777" w:rsidR="00910E2A" w:rsidRPr="005503B4" w:rsidRDefault="00910E2A" w:rsidP="00910E2A">
            <w:pPr>
              <w:spacing w:before="0" w:after="0" w:line="264" w:lineRule="auto"/>
              <w:rPr>
                <w:rFonts w:cs="Arial"/>
                <w:sz w:val="20"/>
                <w:szCs w:val="20"/>
              </w:rPr>
            </w:pPr>
            <w:r w:rsidRPr="005503B4">
              <w:rPr>
                <w:rFonts w:cs="Arial"/>
                <w:sz w:val="20"/>
                <w:szCs w:val="20"/>
              </w:rPr>
              <w:t>Servicio Postal Universal</w:t>
            </w:r>
          </w:p>
          <w:p w14:paraId="7F0092B9" w14:textId="77777777" w:rsidR="00910E2A" w:rsidRPr="005503B4" w:rsidRDefault="00910E2A" w:rsidP="00910E2A">
            <w:pPr>
              <w:spacing w:before="0" w:after="0" w:line="264" w:lineRule="auto"/>
              <w:rPr>
                <w:rFonts w:cs="Arial"/>
                <w:sz w:val="20"/>
                <w:szCs w:val="20"/>
              </w:rPr>
            </w:pPr>
            <w:r w:rsidRPr="005503B4">
              <w:rPr>
                <w:rFonts w:cs="Arial"/>
                <w:sz w:val="20"/>
                <w:szCs w:val="20"/>
              </w:rPr>
              <w:t>Superintendencia de Industria y Comercio</w:t>
            </w:r>
          </w:p>
          <w:p w14:paraId="5409B34D" w14:textId="0C20DEFF" w:rsidR="00910E2A" w:rsidRPr="005503B4" w:rsidRDefault="3F9F1854" w:rsidP="00910E2A">
            <w:pPr>
              <w:spacing w:before="0" w:after="0" w:line="264" w:lineRule="auto"/>
              <w:rPr>
                <w:sz w:val="20"/>
                <w:szCs w:val="20"/>
              </w:rPr>
            </w:pPr>
            <w:r w:rsidRPr="005503B4">
              <w:rPr>
                <w:sz w:val="20"/>
                <w:szCs w:val="20"/>
              </w:rPr>
              <w:t>Tecnologías de la Información y las Comunicaciones. Conjunto de recursos, herramientas, equipos, programas informáticos, aplicaciones, redes y medios que permiten la compilación, procesamiento, almacenamiento, transmisión de información como voz, datos, texto, video e imágenes.</w:t>
            </w:r>
          </w:p>
          <w:p w14:paraId="133060A0" w14:textId="77777777" w:rsidR="00910E2A" w:rsidRPr="005503B4" w:rsidRDefault="00910E2A" w:rsidP="00910E2A">
            <w:pPr>
              <w:spacing w:before="0" w:after="0" w:line="264" w:lineRule="auto"/>
              <w:rPr>
                <w:rFonts w:cs="Arial"/>
                <w:sz w:val="20"/>
                <w:szCs w:val="20"/>
                <w:lang w:val="es-CO"/>
              </w:rPr>
            </w:pPr>
            <w:r w:rsidRPr="005503B4">
              <w:rPr>
                <w:rFonts w:cs="Arial"/>
                <w:sz w:val="20"/>
                <w:szCs w:val="20"/>
                <w:lang w:val="es-CO"/>
              </w:rPr>
              <w:t>Unión Postal de las Américas, España y Portugal.</w:t>
            </w:r>
          </w:p>
          <w:p w14:paraId="41F790D3" w14:textId="77777777" w:rsidR="00910E2A" w:rsidRPr="005503B4" w:rsidRDefault="00910E2A" w:rsidP="00910E2A">
            <w:pPr>
              <w:spacing w:before="0" w:after="0" w:line="264" w:lineRule="auto"/>
              <w:rPr>
                <w:rFonts w:cs="Arial"/>
                <w:sz w:val="20"/>
                <w:szCs w:val="20"/>
                <w:lang w:val="es-CO"/>
              </w:rPr>
            </w:pPr>
            <w:r w:rsidRPr="005503B4">
              <w:rPr>
                <w:rFonts w:cs="Arial"/>
                <w:sz w:val="20"/>
                <w:szCs w:val="20"/>
                <w:lang w:val="es-CO"/>
              </w:rPr>
              <w:t>Unión Postal Universal</w:t>
            </w:r>
          </w:p>
          <w:p w14:paraId="517BB90E" w14:textId="7F91741C" w:rsidR="00910E2A" w:rsidRPr="005503B4" w:rsidRDefault="00910E2A" w:rsidP="00910E2A">
            <w:pPr>
              <w:spacing w:before="0" w:after="0" w:line="264" w:lineRule="auto"/>
              <w:rPr>
                <w:rFonts w:cs="Arial"/>
                <w:sz w:val="20"/>
                <w:szCs w:val="20"/>
                <w:lang w:val="es-CO"/>
              </w:rPr>
            </w:pPr>
            <w:r w:rsidRPr="005503B4">
              <w:rPr>
                <w:rFonts w:cs="Arial"/>
                <w:sz w:val="20"/>
                <w:szCs w:val="20"/>
                <w:lang w:val="es-CO"/>
              </w:rPr>
              <w:t xml:space="preserve">Viceministerio de Conectividad </w:t>
            </w:r>
          </w:p>
          <w:p w14:paraId="59ACB1D2" w14:textId="77777777" w:rsidR="00910E2A" w:rsidRPr="005503B4" w:rsidRDefault="00910E2A" w:rsidP="00910E2A">
            <w:pPr>
              <w:spacing w:before="0" w:after="0" w:line="264" w:lineRule="auto"/>
              <w:rPr>
                <w:rFonts w:cs="Arial"/>
                <w:color w:val="8EAADB" w:themeColor="accent5" w:themeTint="99"/>
                <w:sz w:val="20"/>
                <w:szCs w:val="20"/>
                <w:lang w:val="es-CO"/>
              </w:rPr>
            </w:pPr>
          </w:p>
        </w:tc>
        <w:tc>
          <w:tcPr>
            <w:tcW w:w="2265" w:type="dxa"/>
            <w:shd w:val="clear" w:color="auto" w:fill="auto"/>
          </w:tcPr>
          <w:p w14:paraId="258C6480" w14:textId="13BD0938" w:rsidR="00910E2A" w:rsidRPr="005503B4" w:rsidRDefault="00910E2A" w:rsidP="00910E2A">
            <w:pPr>
              <w:spacing w:before="0" w:after="0" w:line="264" w:lineRule="auto"/>
              <w:rPr>
                <w:rFonts w:cs="Arial"/>
                <w:color w:val="8EAADB" w:themeColor="accent5" w:themeTint="99"/>
                <w:sz w:val="20"/>
                <w:szCs w:val="20"/>
                <w:lang w:val="es-CO"/>
              </w:rPr>
            </w:pPr>
          </w:p>
        </w:tc>
        <w:tc>
          <w:tcPr>
            <w:tcW w:w="6836" w:type="dxa"/>
            <w:shd w:val="clear" w:color="auto" w:fill="auto"/>
          </w:tcPr>
          <w:p w14:paraId="5C7BC07D" w14:textId="29513C13" w:rsidR="00910E2A" w:rsidRPr="005503B4" w:rsidRDefault="00910E2A" w:rsidP="00910E2A">
            <w:pPr>
              <w:spacing w:before="0" w:after="0" w:line="264" w:lineRule="auto"/>
              <w:rPr>
                <w:rFonts w:cs="Arial"/>
                <w:sz w:val="20"/>
                <w:szCs w:val="20"/>
                <w:lang w:val="es-CO"/>
              </w:rPr>
            </w:pPr>
          </w:p>
        </w:tc>
      </w:tr>
    </w:tbl>
    <w:p w14:paraId="66AC118E" w14:textId="3ADC41F2" w:rsidR="002E073B" w:rsidRPr="005503B4" w:rsidRDefault="002E073B" w:rsidP="009E2380"/>
    <w:p w14:paraId="570704FD" w14:textId="3187E280" w:rsidR="00760BF7" w:rsidRPr="005503B4" w:rsidRDefault="002E073B" w:rsidP="002E073B">
      <w:pPr>
        <w:spacing w:before="0" w:after="120" w:line="276" w:lineRule="auto"/>
        <w:sectPr w:rsidR="00760BF7" w:rsidRPr="005503B4" w:rsidSect="00A50542">
          <w:headerReference w:type="default" r:id="rId14"/>
          <w:footerReference w:type="default" r:id="rId15"/>
          <w:type w:val="continuous"/>
          <w:pgSz w:w="12240" w:h="15840"/>
          <w:pgMar w:top="2268" w:right="1327" w:bottom="1191" w:left="1701" w:header="851" w:footer="941" w:gutter="0"/>
          <w:pgNumType w:fmt="lowerRoman" w:start="1"/>
          <w:cols w:space="708"/>
          <w:docGrid w:linePitch="360"/>
        </w:sectPr>
      </w:pPr>
      <w:r w:rsidRPr="005503B4">
        <w:br w:type="page"/>
      </w:r>
    </w:p>
    <w:bookmarkStart w:id="12" w:name="_Toc527570072"/>
    <w:bookmarkStart w:id="13" w:name="_Toc38282561"/>
    <w:bookmarkStart w:id="14" w:name="_Toc101727592"/>
    <w:bookmarkStart w:id="15" w:name="_Toc101865346"/>
    <w:bookmarkStart w:id="16" w:name="_Toc102393242"/>
    <w:bookmarkStart w:id="17" w:name="_Toc104272100"/>
    <w:bookmarkStart w:id="18" w:name="_Toc101727593"/>
    <w:p w14:paraId="0349CA7A" w14:textId="2C8B1117" w:rsidR="00B449D9" w:rsidRPr="00094C8A" w:rsidRDefault="00B449D9" w:rsidP="00B449D9">
      <w:pPr>
        <w:pStyle w:val="Titulodescripcin"/>
        <w:rPr>
          <w:rFonts w:ascii="Arial Narrow" w:hAnsi="Arial Narrow"/>
          <w:sz w:val="32"/>
          <w:szCs w:val="32"/>
        </w:rPr>
      </w:pPr>
      <w:r w:rsidRPr="00094C8A">
        <w:rPr>
          <w:rFonts w:ascii="Arial Narrow" w:hAnsi="Arial Narrow"/>
          <w:noProof/>
          <w:sz w:val="32"/>
          <w:szCs w:val="32"/>
          <w:lang w:val="es-CO" w:eastAsia="es-CO"/>
        </w:rPr>
        <w:lastRenderedPageBreak/>
        <mc:AlternateContent>
          <mc:Choice Requires="wps">
            <w:drawing>
              <wp:anchor distT="0" distB="0" distL="114300" distR="114300" simplePos="0" relativeHeight="251665920" behindDoc="0" locked="0" layoutInCell="1" allowOverlap="1" wp14:anchorId="0A3B85D1" wp14:editId="2889537B">
                <wp:simplePos x="0" y="0"/>
                <wp:positionH relativeFrom="column">
                  <wp:posOffset>-1080135</wp:posOffset>
                </wp:positionH>
                <wp:positionV relativeFrom="paragraph">
                  <wp:posOffset>28575</wp:posOffset>
                </wp:positionV>
                <wp:extent cx="228600" cy="660400"/>
                <wp:effectExtent l="0" t="0" r="0" b="0"/>
                <wp:wrapNone/>
                <wp:docPr id="501" name="Rectángulo 501"/>
                <wp:cNvGraphicFramePr/>
                <a:graphic xmlns:a="http://schemas.openxmlformats.org/drawingml/2006/main">
                  <a:graphicData uri="http://schemas.microsoft.com/office/word/2010/wordprocessingShape">
                    <wps:wsp>
                      <wps:cNvSpPr/>
                      <wps:spPr>
                        <a:xfrm>
                          <a:off x="0" y="0"/>
                          <a:ext cx="228600" cy="660400"/>
                        </a:xfrm>
                        <a:prstGeom prst="rect">
                          <a:avLst/>
                        </a:prstGeom>
                        <a:solidFill>
                          <a:srgbClr val="5FA4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dgm="http://schemas.openxmlformats.org/drawingml/2006/diagram"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F93ADBC">
              <v:rect id="Rectángulo 501" style="position:absolute;margin-left:-85.05pt;margin-top:2.25pt;width:18pt;height:52pt;z-index:251665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fa4e3" stroked="f" strokeweight="1pt" w14:anchorId="3D7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"/>
            </w:pict>
          </mc:Fallback>
        </mc:AlternateContent>
      </w:r>
      <w:bookmarkEnd w:id="12"/>
      <w:bookmarkEnd w:id="13"/>
      <w:r w:rsidRPr="00094C8A">
        <w:rPr>
          <w:rFonts w:ascii="Arial Narrow" w:hAnsi="Arial Narrow"/>
          <w:sz w:val="32"/>
          <w:szCs w:val="32"/>
        </w:rPr>
        <w:t>La</w:t>
      </w:r>
      <w:r w:rsidR="00094C8A" w:rsidRPr="00094C8A">
        <w:rPr>
          <w:rFonts w:ascii="Arial Narrow" w:hAnsi="Arial Narrow"/>
          <w:sz w:val="32"/>
          <w:szCs w:val="32"/>
        </w:rPr>
        <w:t xml:space="preserve"> </w:t>
      </w:r>
      <w:r w:rsidRPr="00094C8A">
        <w:rPr>
          <w:rFonts w:ascii="Arial Narrow" w:hAnsi="Arial Narrow"/>
          <w:sz w:val="32"/>
          <w:szCs w:val="32"/>
        </w:rPr>
        <w:t xml:space="preserve">contraprestación periódica a </w:t>
      </w:r>
      <w:r w:rsidR="00094C8A" w:rsidRPr="00094C8A">
        <w:rPr>
          <w:rFonts w:ascii="Arial Narrow" w:hAnsi="Arial Narrow"/>
          <w:sz w:val="32"/>
          <w:szCs w:val="32"/>
        </w:rPr>
        <w:t>favor del F</w:t>
      </w:r>
      <w:r w:rsidR="00630C91">
        <w:rPr>
          <w:rFonts w:ascii="Arial Narrow" w:hAnsi="Arial Narrow"/>
          <w:sz w:val="32"/>
          <w:szCs w:val="32"/>
        </w:rPr>
        <w:t>ondo</w:t>
      </w:r>
      <w:r w:rsidR="00094C8A" w:rsidRPr="00094C8A">
        <w:rPr>
          <w:rFonts w:ascii="Arial Narrow" w:hAnsi="Arial Narrow"/>
          <w:sz w:val="32"/>
          <w:szCs w:val="32"/>
        </w:rPr>
        <w:t xml:space="preserve"> Ú</w:t>
      </w:r>
      <w:r w:rsidR="00630C91">
        <w:rPr>
          <w:rFonts w:ascii="Arial Narrow" w:hAnsi="Arial Narrow"/>
          <w:sz w:val="32"/>
          <w:szCs w:val="32"/>
        </w:rPr>
        <w:t>nico de</w:t>
      </w:r>
      <w:r w:rsidR="00094C8A" w:rsidRPr="00094C8A">
        <w:rPr>
          <w:rFonts w:ascii="Arial Narrow" w:hAnsi="Arial Narrow"/>
          <w:sz w:val="32"/>
          <w:szCs w:val="32"/>
        </w:rPr>
        <w:t xml:space="preserve"> TIC - FUT</w:t>
      </w:r>
      <w:r w:rsidRPr="00094C8A">
        <w:rPr>
          <w:rFonts w:ascii="Arial Narrow" w:hAnsi="Arial Narrow"/>
          <w:sz w:val="32"/>
          <w:szCs w:val="32"/>
        </w:rPr>
        <w:t xml:space="preserve">IC </w:t>
      </w:r>
      <w:r w:rsidR="00630C91">
        <w:rPr>
          <w:rFonts w:ascii="Arial Narrow" w:hAnsi="Arial Narrow"/>
          <w:sz w:val="32"/>
          <w:szCs w:val="32"/>
        </w:rPr>
        <w:t xml:space="preserve">- </w:t>
      </w:r>
      <w:r w:rsidRPr="00094C8A">
        <w:rPr>
          <w:rFonts w:ascii="Arial Narrow" w:hAnsi="Arial Narrow"/>
          <w:sz w:val="32"/>
          <w:szCs w:val="32"/>
        </w:rPr>
        <w:t>por parte de lo</w:t>
      </w:r>
      <w:r w:rsidR="00094C8A" w:rsidRPr="00094C8A">
        <w:rPr>
          <w:rFonts w:ascii="Arial Narrow" w:hAnsi="Arial Narrow"/>
          <w:sz w:val="32"/>
          <w:szCs w:val="32"/>
        </w:rPr>
        <w:t>s operadores de mensajería expresa y del servicio postal de pago e</w:t>
      </w:r>
      <w:r w:rsidRPr="00094C8A">
        <w:rPr>
          <w:rFonts w:ascii="Arial Narrow" w:hAnsi="Arial Narrow"/>
          <w:sz w:val="32"/>
          <w:szCs w:val="32"/>
        </w:rPr>
        <w:t>n Colombia: Objetivos y aspectos metodológicos.</w:t>
      </w:r>
      <w:bookmarkEnd w:id="14"/>
      <w:bookmarkEnd w:id="15"/>
      <w:bookmarkEnd w:id="16"/>
      <w:bookmarkEnd w:id="17"/>
    </w:p>
    <w:p w14:paraId="54B0E0B0" w14:textId="77777777" w:rsidR="00F262C2" w:rsidRPr="00094C8A" w:rsidRDefault="00F262C2" w:rsidP="00F262C2">
      <w:pPr>
        <w:pStyle w:val="Ttulo2"/>
      </w:pPr>
      <w:bookmarkStart w:id="19" w:name="_Toc101865347"/>
      <w:bookmarkStart w:id="20" w:name="_Toc102393243"/>
      <w:bookmarkStart w:id="21" w:name="_Toc104272101"/>
      <w:bookmarkEnd w:id="18"/>
      <w:r w:rsidRPr="00F235EF">
        <w:t>Introducción</w:t>
      </w:r>
      <w:r w:rsidRPr="00094C8A">
        <w:t xml:space="preserve"> y alcance.</w:t>
      </w:r>
      <w:bookmarkEnd w:id="19"/>
      <w:bookmarkEnd w:id="20"/>
      <w:bookmarkEnd w:id="21"/>
    </w:p>
    <w:p w14:paraId="20A89B81" w14:textId="4648A5F6" w:rsidR="00F262C2" w:rsidRPr="005503B4" w:rsidRDefault="00F262C2" w:rsidP="00F262C2">
      <w:r w:rsidRPr="005503B4">
        <w:t xml:space="preserve">La Ley 1369 de 2009, en adelante, </w:t>
      </w:r>
      <w:r w:rsidR="00630C91">
        <w:t xml:space="preserve">la </w:t>
      </w:r>
      <w:r w:rsidRPr="005503B4">
        <w:t xml:space="preserve">Ley Postal o la Ley, en su artículo 14, define dos </w:t>
      </w:r>
      <w:r>
        <w:t>contraprestaciones</w:t>
      </w:r>
      <w:r w:rsidRPr="005503B4">
        <w:t xml:space="preserve"> que deben pagar los operadores postales al Fondo Único de las Tecnologías de la Información y las Comunicaciones, en adelante, FUTIC, Fondo TIC o el Fondo. En tal sentido, la Ley prevé en primer lugar, que los operadores</w:t>
      </w:r>
      <w:r>
        <w:t xml:space="preserve"> de Mensajería Expresa y los del Servicio Postal de Pago</w:t>
      </w:r>
      <w:r w:rsidRPr="005503B4">
        <w:t xml:space="preserve"> deben realizar un pago</w:t>
      </w:r>
      <w:r>
        <w:t xml:space="preserve"> cada diez años </w:t>
      </w:r>
      <w:r w:rsidRPr="005503B4">
        <w:t>de 100 SMMLV, pagaderos al momento de</w:t>
      </w:r>
      <w:r>
        <w:t>l otorgamiento de</w:t>
      </w:r>
      <w:r w:rsidRPr="005503B4">
        <w:t xml:space="preserve"> la habilitación o </w:t>
      </w:r>
      <w:r>
        <w:t>la prórroga para prestar los mencionados servicios</w:t>
      </w:r>
      <w:r w:rsidR="00630C91">
        <w:t>.</w:t>
      </w:r>
      <w:r w:rsidRPr="005503B4">
        <w:t xml:space="preserve"> </w:t>
      </w:r>
      <w:r w:rsidR="00630C91">
        <w:t>E</w:t>
      </w:r>
      <w:r w:rsidRPr="005503B4">
        <w:t>n segundo lugar, en el artículo en cita, se establece que operadores de mensajería expresa y</w:t>
      </w:r>
      <w:r>
        <w:t xml:space="preserve"> los</w:t>
      </w:r>
      <w:r w:rsidRPr="005503B4">
        <w:t xml:space="preserve"> operadores</w:t>
      </w:r>
      <w:r>
        <w:t xml:space="preserve"> del Servicio</w:t>
      </w:r>
      <w:r w:rsidRPr="005503B4">
        <w:t xml:space="preserve"> </w:t>
      </w:r>
      <w:r>
        <w:t>P</w:t>
      </w:r>
      <w:r w:rsidRPr="005503B4">
        <w:t xml:space="preserve">ostal de </w:t>
      </w:r>
      <w:r>
        <w:t>P</w:t>
      </w:r>
      <w:r w:rsidRPr="005503B4">
        <w:t xml:space="preserve">ago, deberán pagar una </w:t>
      </w:r>
      <w:r>
        <w:t xml:space="preserve">contraprestación </w:t>
      </w:r>
      <w:r w:rsidRPr="005503B4">
        <w:t xml:space="preserve">periódica, por trimestres vencidos, la cual no puede exceder el tres por cien (3%) de sus ingresos brutos. Así mismo, en dicha </w:t>
      </w:r>
      <w:r>
        <w:t>Ley</w:t>
      </w:r>
      <w:r w:rsidRPr="005503B4">
        <w:t xml:space="preserve"> se señala que el Ministerio de las Tecnologías de la Información y las Comunicaciones de Colombia, en adelante el MinTIC o el Ministerio, debe revisar y definir, cada dos años, el </w:t>
      </w:r>
      <w:r>
        <w:t>valor</w:t>
      </w:r>
      <w:r w:rsidRPr="005503B4">
        <w:t xml:space="preserve"> de la contraprestaci</w:t>
      </w:r>
      <w:r>
        <w:t>ón</w:t>
      </w:r>
      <w:r w:rsidRPr="005503B4">
        <w:t xml:space="preserve"> </w:t>
      </w:r>
      <w:r>
        <w:t xml:space="preserve">periódica </w:t>
      </w:r>
      <w:r w:rsidRPr="005503B4">
        <w:t>derivada</w:t>
      </w:r>
      <w:r>
        <w:t xml:space="preserve"> de la prestación de servicios postales.</w:t>
      </w:r>
    </w:p>
    <w:p w14:paraId="7F6255FD" w14:textId="77777777" w:rsidR="00F262C2" w:rsidRPr="005503B4" w:rsidRDefault="00F262C2" w:rsidP="00F262C2">
      <w:r w:rsidRPr="005503B4">
        <w:t>En efecto, la Ley plantea:</w:t>
      </w:r>
    </w:p>
    <w:p w14:paraId="7A89B89A" w14:textId="7760BFE2" w:rsidR="00F262C2" w:rsidRPr="005503B4" w:rsidRDefault="00F262C2" w:rsidP="00F262C2">
      <w:pPr>
        <w:pStyle w:val="Citatextuallarga"/>
      </w:pPr>
      <w:r w:rsidRPr="005503B4">
        <w:t xml:space="preserve">“(…) Todos los operadores pagarán la contraprestación periódica estipulada en el artículo 4 de (…) la Ley al Fondo (…). El valor de la contraprestación periódica a cargo de todos los operadores postales se fijará como un mismo porcentaje sobre sus ingresos brutos por concepto de la prestación de servicios postales, </w:t>
      </w:r>
      <w:r w:rsidRPr="005503B4">
        <w:rPr>
          <w:b/>
          <w:bCs/>
        </w:rPr>
        <w:t>sin tener en cuenta los ingresos provenientes de recursos públicos para financiar el Servicio Postal Universal y las Franquicias</w:t>
      </w:r>
      <w:r w:rsidRPr="005503B4">
        <w:t xml:space="preserve">. Dicha contraprestación se fijará </w:t>
      </w:r>
      <w:r w:rsidRPr="005503B4">
        <w:rPr>
          <w:b/>
          <w:bCs/>
        </w:rPr>
        <w:t xml:space="preserve">por períodos de dos (2) años </w:t>
      </w:r>
      <w:r w:rsidRPr="005503B4">
        <w:t>y no podrá exceder del 3,0% de los ingresos brutos”. (El resaltado es nuestro y se encuentra fuera de contexto).</w:t>
      </w:r>
      <w:r w:rsidR="00630C91">
        <w:t xml:space="preserve"> </w:t>
      </w:r>
      <w:sdt>
        <w:sdtPr>
          <w:id w:val="1120736526"/>
          <w:citation/>
        </w:sdtPr>
        <w:sdtEndPr/>
        <w:sdtContent>
          <w:r w:rsidR="00630C91">
            <w:fldChar w:fldCharType="begin"/>
          </w:r>
          <w:r w:rsidR="00630C91">
            <w:instrText xml:space="preserve"> CITATION Ley09 \l 9226 </w:instrText>
          </w:r>
          <w:r w:rsidR="00630C91">
            <w:fldChar w:fldCharType="separate"/>
          </w:r>
          <w:r w:rsidR="00630C91">
            <w:rPr>
              <w:noProof/>
            </w:rPr>
            <w:t>(Ley 1369, 2009)</w:t>
          </w:r>
          <w:r w:rsidR="00630C91">
            <w:fldChar w:fldCharType="end"/>
          </w:r>
        </w:sdtContent>
      </w:sdt>
      <w:r w:rsidR="00630C91">
        <w:t>.</w:t>
      </w:r>
    </w:p>
    <w:p w14:paraId="107BE927" w14:textId="77777777" w:rsidR="00F262C2" w:rsidRPr="00F235EF" w:rsidRDefault="00F262C2" w:rsidP="00F262C2">
      <w:pPr>
        <w:pStyle w:val="Ttulo2"/>
      </w:pPr>
      <w:bookmarkStart w:id="22" w:name="_Ref101457381"/>
      <w:bookmarkStart w:id="23" w:name="_Toc101727594"/>
      <w:bookmarkStart w:id="24" w:name="_Toc101865348"/>
      <w:bookmarkStart w:id="25" w:name="_Toc102393244"/>
      <w:bookmarkStart w:id="26" w:name="_Toc104272102"/>
      <w:r w:rsidRPr="00F235EF">
        <w:t>Objetivo central del documento.</w:t>
      </w:r>
      <w:bookmarkEnd w:id="22"/>
      <w:bookmarkEnd w:id="23"/>
      <w:bookmarkEnd w:id="24"/>
      <w:bookmarkEnd w:id="25"/>
      <w:bookmarkEnd w:id="26"/>
    </w:p>
    <w:p w14:paraId="7CAC44B9" w14:textId="3DF98F90" w:rsidR="00F262C2" w:rsidRPr="005503B4" w:rsidRDefault="00F262C2" w:rsidP="00F262C2">
      <w:r w:rsidRPr="005503B4">
        <w:t xml:space="preserve">Teniendo en cuenta lo anterior, este documento está dirigido a </w:t>
      </w:r>
      <w:r>
        <w:t>sustentar</w:t>
      </w:r>
      <w:r w:rsidRPr="005503B4">
        <w:t xml:space="preserve"> el </w:t>
      </w:r>
      <w:r>
        <w:t>porcentaje</w:t>
      </w:r>
      <w:r w:rsidRPr="005503B4">
        <w:t xml:space="preserve"> trimestral de la contraprestación</w:t>
      </w:r>
      <w:r>
        <w:t xml:space="preserve"> aplicable</w:t>
      </w:r>
      <w:r w:rsidRPr="005503B4">
        <w:t xml:space="preserve"> para el período de dos (2) años de que habla la Ley Postal, en este caso para el comprendido entre el 1º de julio del año</w:t>
      </w:r>
      <w:r>
        <w:t xml:space="preserve"> 2020</w:t>
      </w:r>
      <w:r w:rsidRPr="005503B4">
        <w:t xml:space="preserve"> y el 30 de junio de 2024.</w:t>
      </w:r>
      <w:r>
        <w:t xml:space="preserve"> </w:t>
      </w:r>
      <w:r w:rsidRPr="005503B4">
        <w:t xml:space="preserve">Cabe indicar que la última actualización de la contraprestación periódica tuvo lugar en el año 2020, con la expedición del Decreto 887 del 25 de junio del mismo año, mediante el cual </w:t>
      </w:r>
      <w:r>
        <w:t>se</w:t>
      </w:r>
      <w:r w:rsidRPr="005503B4">
        <w:t xml:space="preserve"> redujo del 3% al 2,5%</w:t>
      </w:r>
      <w:r>
        <w:t xml:space="preserve">, </w:t>
      </w:r>
      <w:r w:rsidRPr="005503B4">
        <w:t>decisión</w:t>
      </w:r>
      <w:r>
        <w:t xml:space="preserve"> que fue </w:t>
      </w:r>
      <w:r w:rsidRPr="005503B4">
        <w:t>soport</w:t>
      </w:r>
      <w:r>
        <w:t>ada</w:t>
      </w:r>
      <w:r w:rsidRPr="005503B4">
        <w:t xml:space="preserve"> en </w:t>
      </w:r>
      <w:r>
        <w:t>el</w:t>
      </w:r>
      <w:r w:rsidRPr="005503B4">
        <w:t xml:space="preserve"> resultado de los estudios </w:t>
      </w:r>
      <w:r>
        <w:t>adelantados</w:t>
      </w:r>
      <w:r w:rsidRPr="005503B4">
        <w:t xml:space="preserve"> por el MinTIC, los cuales se encuentran contenidos en el </w:t>
      </w:r>
      <w:r w:rsidRPr="005503B4">
        <w:lastRenderedPageBreak/>
        <w:t xml:space="preserve">documento que publicó el Ministerio para análisis y comentarios de los agentes del sector en el mes de junio de 2020. </w:t>
      </w:r>
      <w:sdt>
        <w:sdtPr>
          <w:id w:val="312067949"/>
          <w:placeholder>
            <w:docPart w:val="037534CEE78A4392B0EE63179171347D"/>
          </w:placeholder>
          <w:citation/>
        </w:sdtPr>
        <w:sdtEndPr/>
        <w:sdtContent>
          <w:r w:rsidRPr="005503B4">
            <w:fldChar w:fldCharType="begin"/>
          </w:r>
          <w:r w:rsidRPr="005503B4">
            <w:rPr>
              <w:lang w:val="es-CO"/>
            </w:rPr>
            <w:instrText xml:space="preserve"> CITATION Min203 \l 9226 </w:instrText>
          </w:r>
          <w:r w:rsidRPr="005503B4">
            <w:fldChar w:fldCharType="separate"/>
          </w:r>
          <w:r w:rsidR="00C57FCA" w:rsidRPr="00C57FCA">
            <w:rPr>
              <w:noProof/>
              <w:lang w:val="es-CO"/>
            </w:rPr>
            <w:t>(MinTIC, 2020)</w:t>
          </w:r>
          <w:r w:rsidRPr="005503B4">
            <w:fldChar w:fldCharType="end"/>
          </w:r>
        </w:sdtContent>
      </w:sdt>
      <w:r w:rsidR="00630C91">
        <w:t xml:space="preserve">. </w:t>
      </w:r>
      <w:sdt>
        <w:sdtPr>
          <w:id w:val="-1085909613"/>
          <w:citation/>
        </w:sdtPr>
        <w:sdtEndPr/>
        <w:sdtContent>
          <w:r w:rsidR="0097051D">
            <w:fldChar w:fldCharType="begin"/>
          </w:r>
          <w:r w:rsidR="0097051D">
            <w:rPr>
              <w:lang w:val="es-CO"/>
            </w:rPr>
            <w:instrText xml:space="preserve"> CITATION Dec20 \l 9226 </w:instrText>
          </w:r>
          <w:r w:rsidR="0097051D">
            <w:fldChar w:fldCharType="separate"/>
          </w:r>
          <w:r w:rsidR="0097051D" w:rsidRPr="0097051D">
            <w:rPr>
              <w:noProof/>
              <w:lang w:val="es-CO"/>
            </w:rPr>
            <w:t>(Decreto 887, 2020)</w:t>
          </w:r>
          <w:r w:rsidR="0097051D">
            <w:fldChar w:fldCharType="end"/>
          </w:r>
        </w:sdtContent>
      </w:sdt>
      <w:r w:rsidR="0097051D">
        <w:t>.</w:t>
      </w:r>
    </w:p>
    <w:p w14:paraId="77D558F3" w14:textId="77777777" w:rsidR="00F262C2" w:rsidRPr="00F235EF" w:rsidRDefault="00F262C2" w:rsidP="00F262C2">
      <w:pPr>
        <w:pStyle w:val="Ttulo2"/>
      </w:pPr>
      <w:bookmarkStart w:id="27" w:name="_Toc101727595"/>
      <w:bookmarkStart w:id="28" w:name="_Toc101865349"/>
      <w:bookmarkStart w:id="29" w:name="_Toc102393245"/>
      <w:bookmarkStart w:id="30" w:name="_Toc104272103"/>
      <w:r w:rsidRPr="00F235EF">
        <w:t>Metodología del estudio.</w:t>
      </w:r>
      <w:bookmarkEnd w:id="27"/>
      <w:bookmarkEnd w:id="28"/>
      <w:bookmarkEnd w:id="29"/>
      <w:bookmarkEnd w:id="30"/>
    </w:p>
    <w:p w14:paraId="4EC26A46" w14:textId="10C5AF2C" w:rsidR="00F262C2" w:rsidRPr="005503B4" w:rsidRDefault="00F262C2" w:rsidP="00F262C2">
      <w:r w:rsidRPr="005503B4">
        <w:t xml:space="preserve">Teniendo en cuenta el objetivo propuesto, se analiza la situación actual del sector en materia de generación de ingresos, </w:t>
      </w:r>
      <w:r>
        <w:t>especialmente luego</w:t>
      </w:r>
      <w:r w:rsidRPr="005503B4">
        <w:t xml:space="preserve"> de las medidas que adoptó el Gobierno Nacional para hacer frente al impacto causado por la pandemia generada por el COVID-19, </w:t>
      </w:r>
      <w:r>
        <w:t xml:space="preserve">principalmente </w:t>
      </w:r>
      <w:r w:rsidRPr="005503B4">
        <w:t>contenidas en el Decreto Legislativo 806 de 2020, en el que</w:t>
      </w:r>
      <w:r>
        <w:t xml:space="preserve"> se</w:t>
      </w:r>
      <w:r w:rsidRPr="005503B4">
        <w:t xml:space="preserve"> exige el uso de las Tecnologías de la Información y las Comunicaciones, en adelante las TIC, en los trámites asociados al desarrollo de procesos judiciales y en la atención de los usuarios del servicio de justicia y por el cual</w:t>
      </w:r>
      <w:r>
        <w:t xml:space="preserve"> se</w:t>
      </w:r>
      <w:r w:rsidRPr="005503B4">
        <w:t xml:space="preserve"> actualiza la digitalización de expedientes y trámites judiciales, </w:t>
      </w:r>
      <w:r>
        <w:t>impactando</w:t>
      </w:r>
      <w:r w:rsidRPr="005503B4">
        <w:t xml:space="preserve"> significativamente el número de envíos cursados a través de</w:t>
      </w:r>
      <w:r>
        <w:t>l servicio de</w:t>
      </w:r>
      <w:r w:rsidRPr="005503B4">
        <w:t xml:space="preserve"> franquicia postal que cursa a través de</w:t>
      </w:r>
      <w:r>
        <w:t xml:space="preserve"> las redes de </w:t>
      </w:r>
      <w:bookmarkStart w:id="31" w:name="_Hlk104207543"/>
      <w:r w:rsidRPr="005503B4">
        <w:t>Servicios Postales Nacionales</w:t>
      </w:r>
      <w:r>
        <w:t xml:space="preserve"> S.A.S.,</w:t>
      </w:r>
      <w:r w:rsidRPr="005503B4">
        <w:t xml:space="preserve"> en adelante SPN o SPN-472, empresa que en su calidad de Operador Postal Oficial</w:t>
      </w:r>
      <w:r w:rsidR="00493C3D">
        <w:t xml:space="preserve">, en adelante, el </w:t>
      </w:r>
      <w:r w:rsidRPr="005503B4">
        <w:t>OPO</w:t>
      </w:r>
      <w:r w:rsidR="00493C3D">
        <w:t xml:space="preserve"> o el Operador Designado</w:t>
      </w:r>
      <w:bookmarkEnd w:id="31"/>
      <w:r w:rsidRPr="005503B4">
        <w:t xml:space="preserve">, tiene por mandato de la Ley 1369 </w:t>
      </w:r>
      <w:r>
        <w:t xml:space="preserve">la exclusividad para prestar el servicio de </w:t>
      </w:r>
      <w:r w:rsidRPr="005503B4">
        <w:t>franquicia.</w:t>
      </w:r>
    </w:p>
    <w:p w14:paraId="5C8B92F2" w14:textId="36846FA9" w:rsidR="00F262C2" w:rsidRPr="005503B4" w:rsidRDefault="0097051D" w:rsidP="00F262C2">
      <w:r>
        <w:t>De igual manera</w:t>
      </w:r>
      <w:r w:rsidR="00F262C2" w:rsidRPr="005503B4">
        <w:t>, tal y como ocurrió en 2020 con la revisión de</w:t>
      </w:r>
      <w:r w:rsidR="00F262C2">
        <w:t>l valor de la</w:t>
      </w:r>
      <w:r w:rsidR="00F262C2" w:rsidRPr="005503B4">
        <w:t xml:space="preserve"> contraprestación, el estudio realiza el seguimiento de los productos que conforman los mercados de </w:t>
      </w:r>
      <w:r>
        <w:t>los</w:t>
      </w:r>
      <w:r w:rsidR="00F262C2" w:rsidRPr="005503B4">
        <w:t xml:space="preserve"> servicios postales</w:t>
      </w:r>
      <w:r w:rsidR="00F262C2">
        <w:t>, donde</w:t>
      </w:r>
      <w:r w:rsidR="00F262C2" w:rsidRPr="005503B4">
        <w:t>, el mercado de los servicios masivos será el primero a</w:t>
      </w:r>
      <w:r w:rsidR="00F262C2">
        <w:t xml:space="preserve"> ser</w:t>
      </w:r>
      <w:r w:rsidR="00F262C2" w:rsidRPr="005503B4">
        <w:t xml:space="preserve"> analiza</w:t>
      </w:r>
      <w:r w:rsidR="00F262C2">
        <w:t>do</w:t>
      </w:r>
      <w:r w:rsidR="00F262C2" w:rsidRPr="005503B4">
        <w:t xml:space="preserve"> ante el posible marchitamiento que su operación enfrentaba en ese entonces. Se enc</w:t>
      </w:r>
      <w:r>
        <w:t>uentra</w:t>
      </w:r>
      <w:r w:rsidR="00F262C2" w:rsidRPr="005503B4">
        <w:t xml:space="preserve"> que los mercados masivos experimenta</w:t>
      </w:r>
      <w:r>
        <w:t>n</w:t>
      </w:r>
      <w:r w:rsidR="00F262C2" w:rsidRPr="005503B4">
        <w:t xml:space="preserve"> fuertes </w:t>
      </w:r>
      <w:r>
        <w:t>contraccione</w:t>
      </w:r>
      <w:r w:rsidR="00F262C2" w:rsidRPr="005503B4">
        <w:t xml:space="preserve">s, como resultado de la sustitución de facturas físicas por electrónicas, como parte de la profundización que </w:t>
      </w:r>
      <w:r>
        <w:t>tiene</w:t>
      </w:r>
      <w:r w:rsidR="00F262C2" w:rsidRPr="005503B4">
        <w:t xml:space="preserve"> lugar </w:t>
      </w:r>
      <w:r>
        <w:t>con</w:t>
      </w:r>
      <w:r w:rsidR="00F262C2" w:rsidRPr="005503B4">
        <w:t xml:space="preserve"> la penetración de Internet, la utilización masiva del correo electrónico y la producción de facturas electrónicas por parte de las empresas, con autorización expresa de la Superintendencia de Industria y Comercio, en adelante SIC</w:t>
      </w:r>
      <w:r w:rsidR="00F262C2">
        <w:t>,</w:t>
      </w:r>
      <w:r w:rsidR="00F262C2" w:rsidRPr="005503B4">
        <w:t xml:space="preserve"> y de otras entidades de inspección, vigilancia y control, </w:t>
      </w:r>
      <w:r w:rsidR="000E152C">
        <w:t xml:space="preserve">de acuerdo </w:t>
      </w:r>
      <w:r w:rsidR="00F262C2" w:rsidRPr="005503B4">
        <w:t>con la normativ</w:t>
      </w:r>
      <w:r w:rsidR="00F262C2">
        <w:t>a</w:t>
      </w:r>
      <w:r w:rsidR="00F262C2" w:rsidRPr="005503B4">
        <w:t xml:space="preserve"> expedida por la </w:t>
      </w:r>
      <w:r w:rsidR="000E152C">
        <w:t>DIAN</w:t>
      </w:r>
      <w:r>
        <w:t>,</w:t>
      </w:r>
      <w:r w:rsidR="00F262C2" w:rsidRPr="005503B4">
        <w:t xml:space="preserve"> en atención a la </w:t>
      </w:r>
      <w:r>
        <w:t>adop</w:t>
      </w:r>
      <w:r w:rsidR="00F262C2" w:rsidRPr="005503B4">
        <w:t>ción del sistema RADIAN.</w:t>
      </w:r>
    </w:p>
    <w:p w14:paraId="71913EFA" w14:textId="46567FF0" w:rsidR="00F262C2" w:rsidRPr="005503B4" w:rsidRDefault="00F262C2" w:rsidP="00F262C2">
      <w:r w:rsidRPr="005503B4">
        <w:t xml:space="preserve">Otro tema clave en la definición de la contraprestación a cargo de los operadores postales, </w:t>
      </w:r>
      <w:r>
        <w:t xml:space="preserve">se relaciona </w:t>
      </w:r>
      <w:r w:rsidRPr="005503B4">
        <w:t xml:space="preserve">con </w:t>
      </w:r>
      <w:r>
        <w:t>el desarrollo</w:t>
      </w:r>
      <w:r w:rsidRPr="005503B4">
        <w:t xml:space="preserve"> del mercado de </w:t>
      </w:r>
      <w:r w:rsidR="00D56D0B">
        <w:t>envíos</w:t>
      </w:r>
      <w:r w:rsidR="00D56D0B" w:rsidRPr="005503B4">
        <w:t xml:space="preserve"> </w:t>
      </w:r>
      <w:r w:rsidRPr="005503B4">
        <w:t xml:space="preserve">individuales, tanto de correo como de mensajería expresa, y el impulso que ha experimentado la utilización del correo electrónico y de otros medios virtuales. </w:t>
      </w:r>
    </w:p>
    <w:p w14:paraId="6C2A00B1" w14:textId="1C78BA0C" w:rsidR="00F262C2" w:rsidRPr="005503B4" w:rsidRDefault="00F262C2" w:rsidP="00F262C2">
      <w:r w:rsidRPr="005503B4">
        <w:t xml:space="preserve">Asimismo, se analiza el efecto compensatorio que tendría sobre el mercado de </w:t>
      </w:r>
      <w:r w:rsidR="00D56D0B">
        <w:t>envíos</w:t>
      </w:r>
      <w:r w:rsidR="00D56D0B" w:rsidRPr="005503B4">
        <w:t xml:space="preserve"> </w:t>
      </w:r>
      <w:r w:rsidRPr="005503B4">
        <w:t xml:space="preserve">individuales el desarrollo vigoroso del mercado de envíos de pequeños paquetes, como resultado de la consolidación del comercio electrónico y del mercado subyacente de paquetes que ha impulsado nuevos productos de mayor valor agregado para </w:t>
      </w:r>
      <w:r>
        <w:t>el</w:t>
      </w:r>
      <w:r w:rsidRPr="005503B4">
        <w:t xml:space="preserve"> operador de correo y</w:t>
      </w:r>
      <w:r>
        <w:t xml:space="preserve"> los de</w:t>
      </w:r>
      <w:r w:rsidRPr="005503B4">
        <w:t xml:space="preserve"> mensajería expresa en el país, aspecto destacado por </w:t>
      </w:r>
      <w:proofErr w:type="spellStart"/>
      <w:r w:rsidRPr="005503B4">
        <w:lastRenderedPageBreak/>
        <w:t>BlackSip</w:t>
      </w:r>
      <w:proofErr w:type="spellEnd"/>
      <w:r w:rsidRPr="005503B4">
        <w:t xml:space="preserve"> en su reporte de Colombia, en el que se plantea que </w:t>
      </w:r>
      <w:r w:rsidRPr="005503B4">
        <w:rPr>
          <w:i/>
          <w:iCs/>
        </w:rPr>
        <w:t xml:space="preserve">“(…) es el país con mejores perspectivas de crecimiento para los próximo años. Se espera que para 2021 las ventas de </w:t>
      </w:r>
      <w:proofErr w:type="spellStart"/>
      <w:r w:rsidRPr="005503B4">
        <w:rPr>
          <w:i/>
          <w:iCs/>
        </w:rPr>
        <w:t>retail</w:t>
      </w:r>
      <w:proofErr w:type="spellEnd"/>
      <w:r w:rsidRPr="005503B4">
        <w:rPr>
          <w:i/>
          <w:iCs/>
        </w:rPr>
        <w:t xml:space="preserve"> en e</w:t>
      </w:r>
      <w:r>
        <w:rPr>
          <w:i/>
          <w:iCs/>
        </w:rPr>
        <w:t>-</w:t>
      </w:r>
      <w:proofErr w:type="spellStart"/>
      <w:r w:rsidRPr="005503B4">
        <w:rPr>
          <w:i/>
          <w:iCs/>
        </w:rPr>
        <w:t>commerce</w:t>
      </w:r>
      <w:proofErr w:type="spellEnd"/>
      <w:r w:rsidRPr="005503B4">
        <w:rPr>
          <w:i/>
          <w:iCs/>
        </w:rPr>
        <w:t xml:space="preserve"> en Colombia superen los 10.000 millones de dólares</w:t>
      </w:r>
      <w:r w:rsidR="0055654E">
        <w:rPr>
          <w:i/>
          <w:iCs/>
        </w:rPr>
        <w:t>;</w:t>
      </w:r>
      <w:r w:rsidRPr="005503B4">
        <w:rPr>
          <w:i/>
          <w:iCs/>
        </w:rPr>
        <w:t xml:space="preserve"> con esto se pronostica que</w:t>
      </w:r>
      <w:r w:rsidRPr="005503B4">
        <w:t xml:space="preserve"> </w:t>
      </w:r>
      <w:r w:rsidRPr="005503B4">
        <w:rPr>
          <w:i/>
        </w:rPr>
        <w:t>el tamaño de mercadeo de Colombia ya sea superior al de Argentina y esté muy cercano al de México, un país con una población casi 3 veces más grande que Colombia</w:t>
      </w:r>
      <w:r w:rsidRPr="005503B4">
        <w:t xml:space="preserve">”. </w:t>
      </w:r>
      <w:sdt>
        <w:sdtPr>
          <w:id w:val="1974251704"/>
          <w:citation/>
        </w:sdtPr>
        <w:sdtEndPr/>
        <w:sdtContent>
          <w:r w:rsidRPr="005503B4">
            <w:rPr>
              <w:lang w:val="es-CO"/>
            </w:rPr>
            <w:fldChar w:fldCharType="begin"/>
          </w:r>
          <w:r w:rsidRPr="005503B4">
            <w:rPr>
              <w:lang w:val="es-CO"/>
            </w:rPr>
            <w:instrText xml:space="preserve"> CITATION Bla22 \l 9226 </w:instrText>
          </w:r>
          <w:r w:rsidRPr="005503B4">
            <w:fldChar w:fldCharType="separate"/>
          </w:r>
          <w:r w:rsidR="00C57FCA" w:rsidRPr="00C57FCA">
            <w:rPr>
              <w:noProof/>
              <w:lang w:val="es-CO"/>
            </w:rPr>
            <w:t>(BlackSip, 2022)</w:t>
          </w:r>
          <w:r w:rsidRPr="005503B4">
            <w:fldChar w:fldCharType="end"/>
          </w:r>
        </w:sdtContent>
      </w:sdt>
      <w:r w:rsidRPr="005503B4">
        <w:t>Al respecto, la situación de salud pública generada por la pandemia del COVID-19, aumentó de manera significativa el comercio electrónico y, como consecuencia, la demanda de servicios postales, especialmente de mensajería expresa.</w:t>
      </w:r>
    </w:p>
    <w:p w14:paraId="22697A84" w14:textId="6CE39C48" w:rsidR="00F262C2" w:rsidRDefault="00F262C2" w:rsidP="00F262C2">
      <w:r w:rsidRPr="005503B4">
        <w:t xml:space="preserve">Otro frente que </w:t>
      </w:r>
      <w:r>
        <w:t>hace parte</w:t>
      </w:r>
      <w:r w:rsidRPr="005503B4">
        <w:t xml:space="preserve"> del presente estudio tiene que ver con la evolución del mercado del servicio de giros postales, que a mediados del año 2020 enfrentaba nuevos niveles de competencia por parte del sector bancario y, en especial, de las aplicaciones financieras electrónicas tipo Fintech, productos que se presentaban como una amenaza para el sector postal  de giros y, particularmente, con un posible impacto en las cuotas de mercado y en las finanzas de los operadores</w:t>
      </w:r>
      <w:r>
        <w:t xml:space="preserve"> habilitados por MinTIC</w:t>
      </w:r>
      <w:r w:rsidRPr="005503B4">
        <w:t>.</w:t>
      </w:r>
    </w:p>
    <w:p w14:paraId="72EF6426" w14:textId="6C68AFCD" w:rsidR="00934720" w:rsidRPr="005503B4" w:rsidRDefault="00934720" w:rsidP="00F262C2">
      <w:r>
        <w:t xml:space="preserve">El modelo de proyección postal que se actualizó para realizar el cálculo de la contraprestación </w:t>
      </w:r>
      <w:r w:rsidR="00221DB5">
        <w:t xml:space="preserve">periódica </w:t>
      </w:r>
      <w:r>
        <w:t>para el período 2022 – 2024</w:t>
      </w:r>
      <w:r w:rsidR="00221DB5">
        <w:t>,</w:t>
      </w:r>
      <w:r>
        <w:t xml:space="preserve"> introduce las tendencias históricas observadas entre los años 2014 y 2021 y, a partir de ellas, realiza la proyección de los diferentes mercados, servicios y segmentos del mercado para el período 2022 – 202</w:t>
      </w:r>
      <w:r w:rsidR="00221DB5">
        <w:t>7</w:t>
      </w:r>
      <w:r>
        <w:t xml:space="preserve">. </w:t>
      </w:r>
      <w:r w:rsidR="00221DB5">
        <w:t>Sin emb</w:t>
      </w:r>
      <w:r w:rsidR="0055654E">
        <w:t>ar</w:t>
      </w:r>
      <w:r w:rsidR="00221DB5">
        <w:t>go,</w:t>
      </w:r>
      <w:r>
        <w:t xml:space="preserve"> se presentan en las gráficas y tablas del estudio las proyecciones para el período 2022 – 2024, </w:t>
      </w:r>
      <w:r w:rsidR="00221DB5">
        <w:t>en razón a que es este el periodo objeto de análisis.</w:t>
      </w:r>
      <w:r>
        <w:t xml:space="preserve"> </w:t>
      </w:r>
    </w:p>
    <w:p w14:paraId="438DE94D" w14:textId="77777777" w:rsidR="00F262C2" w:rsidRPr="005503B4" w:rsidRDefault="00F262C2" w:rsidP="00F262C2">
      <w:pPr>
        <w:pStyle w:val="Ttulo3"/>
      </w:pPr>
      <w:bookmarkStart w:id="32" w:name="_Toc102393246"/>
      <w:bookmarkStart w:id="33" w:name="_Toc104272104"/>
      <w:proofErr w:type="gramStart"/>
      <w:r w:rsidRPr="005503B4">
        <w:t>Actividades a realizar</w:t>
      </w:r>
      <w:bookmarkEnd w:id="32"/>
      <w:bookmarkEnd w:id="33"/>
      <w:proofErr w:type="gramEnd"/>
    </w:p>
    <w:p w14:paraId="76BE48E5" w14:textId="77777777" w:rsidR="000D4915" w:rsidRDefault="00F262C2" w:rsidP="00F262C2">
      <w:r w:rsidRPr="005503B4">
        <w:t>Con base en lo ante</w:t>
      </w:r>
      <w:r w:rsidR="000E152C">
        <w:t>s</w:t>
      </w:r>
      <w:r>
        <w:t xml:space="preserve"> expuesto</w:t>
      </w:r>
      <w:r w:rsidRPr="005503B4">
        <w:t>,</w:t>
      </w:r>
      <w:r>
        <w:t xml:space="preserve"> se concluye </w:t>
      </w:r>
      <w:r w:rsidRPr="005503B4">
        <w:t>que el Ministerio debe actualizar su modelo</w:t>
      </w:r>
      <w:r>
        <w:t xml:space="preserve"> de análisis, teniendo en cuenta lo presentado con mayor </w:t>
      </w:r>
      <w:r w:rsidRPr="005503B4">
        <w:t xml:space="preserve">detalle en la sección 1.3.3, </w:t>
      </w:r>
      <w:r>
        <w:t xml:space="preserve">con relación a </w:t>
      </w:r>
      <w:r w:rsidRPr="005503B4">
        <w:t>las cifras presentadas en valores monetarios</w:t>
      </w:r>
      <w:r>
        <w:t>, los cuales están expresados</w:t>
      </w:r>
      <w:r w:rsidRPr="005503B4">
        <w:t xml:space="preserve"> en términos reales o constantes, a efectos de eliminar la inflación y hacerlas comparables en el tiempo.</w:t>
      </w:r>
      <w:r w:rsidR="000E152C">
        <w:t xml:space="preserve"> </w:t>
      </w:r>
    </w:p>
    <w:p w14:paraId="3A38ED92" w14:textId="01CED497" w:rsidR="00F262C2" w:rsidRPr="005503B4" w:rsidRDefault="000E152C" w:rsidP="00F262C2">
      <w:r>
        <w:t>Asimismo</w:t>
      </w:r>
      <w:r w:rsidR="00F262C2" w:rsidRPr="005503B4">
        <w:t>, la propuesta de la contraprestación</w:t>
      </w:r>
      <w:r w:rsidR="00F262C2">
        <w:t xml:space="preserve"> se adelanta realizando </w:t>
      </w:r>
      <w:r w:rsidR="00F262C2" w:rsidRPr="005503B4">
        <w:t>actividades dirigidas a obtener varios objetivos específicos, a saber:</w:t>
      </w:r>
    </w:p>
    <w:p w14:paraId="34FEBA2E" w14:textId="724B4DF4" w:rsidR="00F262C2" w:rsidRPr="008915C5" w:rsidRDefault="00F262C2" w:rsidP="001537A4">
      <w:pPr>
        <w:pStyle w:val="Prrafodelista"/>
        <w:ind w:left="284" w:hanging="284"/>
      </w:pPr>
      <w:r w:rsidRPr="005503B4">
        <w:rPr>
          <w:u w:val="single"/>
        </w:rPr>
        <w:t>An</w:t>
      </w:r>
      <w:r>
        <w:rPr>
          <w:u w:val="single"/>
        </w:rPr>
        <w:t>a</w:t>
      </w:r>
      <w:r w:rsidRPr="005503B4">
        <w:rPr>
          <w:u w:val="single"/>
        </w:rPr>
        <w:t>li</w:t>
      </w:r>
      <w:r>
        <w:rPr>
          <w:u w:val="single"/>
        </w:rPr>
        <w:t>zar</w:t>
      </w:r>
      <w:r w:rsidRPr="005503B4">
        <w:rPr>
          <w:u w:val="single"/>
        </w:rPr>
        <w:t xml:space="preserve"> la información</w:t>
      </w:r>
      <w:r>
        <w:rPr>
          <w:u w:val="single"/>
        </w:rPr>
        <w:t xml:space="preserve"> del sector</w:t>
      </w:r>
      <w:r w:rsidRPr="005503B4">
        <w:rPr>
          <w:u w:val="single"/>
        </w:rPr>
        <w:t xml:space="preserve"> postal del período 2011 – 2021</w:t>
      </w:r>
      <w:r w:rsidRPr="008915C5">
        <w:t xml:space="preserve">, con el objeto de comprender las tendencias históricas que se observan para los diversos productos del sector. A este respecto, los envíos y las cifras de ingresos, a efectos de </w:t>
      </w:r>
      <w:r w:rsidR="000E152C">
        <w:t>presentación</w:t>
      </w:r>
      <w:r w:rsidRPr="008915C5">
        <w:t>, se analizan en varias categorías, clasificadas por tipo de envío, así:</w:t>
      </w:r>
    </w:p>
    <w:p w14:paraId="2B393CC5" w14:textId="77777777" w:rsidR="00F262C2" w:rsidRPr="005503B4" w:rsidRDefault="00F262C2" w:rsidP="000E152C">
      <w:pPr>
        <w:pStyle w:val="Prrafodelista"/>
        <w:numPr>
          <w:ilvl w:val="0"/>
          <w:numId w:val="27"/>
        </w:numPr>
        <w:spacing w:before="120" w:line="264" w:lineRule="auto"/>
        <w:ind w:left="709" w:hanging="425"/>
        <w:rPr>
          <w:rFonts w:eastAsiaTheme="minorEastAsia"/>
        </w:rPr>
      </w:pPr>
      <w:r w:rsidRPr="0055654E">
        <w:rPr>
          <w:u w:val="single"/>
        </w:rPr>
        <w:t>Envíos individuales</w:t>
      </w:r>
      <w:r w:rsidRPr="005503B4">
        <w:t xml:space="preserve">, estos a su vez, subdivididos en dos grupos: </w:t>
      </w:r>
    </w:p>
    <w:p w14:paraId="4DDD2509" w14:textId="77777777" w:rsidR="00F262C2" w:rsidRPr="005503B4" w:rsidRDefault="00F262C2" w:rsidP="0055654E">
      <w:pPr>
        <w:pStyle w:val="Prrafodelista"/>
        <w:numPr>
          <w:ilvl w:val="2"/>
          <w:numId w:val="27"/>
        </w:numPr>
        <w:spacing w:before="120" w:line="264" w:lineRule="auto"/>
        <w:ind w:left="851" w:right="-569" w:hanging="284"/>
        <w:rPr>
          <w:rFonts w:eastAsiaTheme="minorEastAsia"/>
        </w:rPr>
      </w:pPr>
      <w:r w:rsidRPr="005503B4">
        <w:t xml:space="preserve">Envíos de menos de 2 kilogramos (envíos expresos pequeños) y </w:t>
      </w:r>
    </w:p>
    <w:p w14:paraId="37E2B172" w14:textId="165F0567" w:rsidR="00F262C2" w:rsidRPr="00E01367" w:rsidRDefault="00F262C2" w:rsidP="0055654E">
      <w:pPr>
        <w:pStyle w:val="Prrafodelista"/>
        <w:numPr>
          <w:ilvl w:val="2"/>
          <w:numId w:val="27"/>
        </w:numPr>
        <w:spacing w:before="120" w:line="264" w:lineRule="auto"/>
        <w:ind w:left="851" w:right="-569" w:hanging="284"/>
      </w:pPr>
      <w:r w:rsidRPr="00E01367">
        <w:lastRenderedPageBreak/>
        <w:t xml:space="preserve">Envíos de mensajería expresa entre 2 y 5 kilogramos. A estos últimos se les identifica con las siglas M/E 2-5 K. </w:t>
      </w:r>
    </w:p>
    <w:p w14:paraId="0EBE40D4" w14:textId="77777777" w:rsidR="00F262C2" w:rsidRPr="005503B4" w:rsidRDefault="00F262C2" w:rsidP="000E152C">
      <w:pPr>
        <w:pStyle w:val="Prrafodelista"/>
        <w:numPr>
          <w:ilvl w:val="0"/>
          <w:numId w:val="27"/>
        </w:numPr>
        <w:spacing w:before="120" w:line="264" w:lineRule="auto"/>
        <w:ind w:left="709" w:hanging="425"/>
        <w:rPr>
          <w:u w:val="single"/>
          <w:lang w:val="es-CO"/>
        </w:rPr>
      </w:pPr>
      <w:r w:rsidRPr="005503B4">
        <w:rPr>
          <w:u w:val="single"/>
          <w:lang w:val="es-CO"/>
        </w:rPr>
        <w:t>Envíos masivos.</w:t>
      </w:r>
    </w:p>
    <w:p w14:paraId="33C9B366" w14:textId="77777777" w:rsidR="00F262C2" w:rsidRPr="005503B4" w:rsidRDefault="00F262C2" w:rsidP="00F262C2">
      <w:pPr>
        <w:ind w:left="709"/>
        <w:rPr>
          <w:sz w:val="22"/>
          <w:szCs w:val="22"/>
          <w:lang w:val="es-ES"/>
        </w:rPr>
      </w:pPr>
      <w:r w:rsidRPr="005503B4">
        <w:rPr>
          <w:sz w:val="22"/>
          <w:szCs w:val="22"/>
          <w:lang w:val="es-ES"/>
        </w:rPr>
        <w:t>Es preciso mencionar que los datos iniciales con los que se procesan las cifras, así como las proyecciones, involucran dimensiones adicionales como (i) el ámbito del servicio y (</w:t>
      </w:r>
      <w:proofErr w:type="spellStart"/>
      <w:r w:rsidRPr="005503B4">
        <w:rPr>
          <w:sz w:val="22"/>
          <w:szCs w:val="22"/>
          <w:lang w:val="es-ES"/>
        </w:rPr>
        <w:t>ii</w:t>
      </w:r>
      <w:proofErr w:type="spellEnd"/>
      <w:r w:rsidRPr="005503B4">
        <w:rPr>
          <w:sz w:val="22"/>
          <w:szCs w:val="22"/>
          <w:lang w:val="es-ES"/>
        </w:rPr>
        <w:t>) tipo de servicio, entre otros.</w:t>
      </w:r>
    </w:p>
    <w:p w14:paraId="5BF4143D" w14:textId="77777777" w:rsidR="00F262C2" w:rsidRPr="005503B4" w:rsidRDefault="00F262C2" w:rsidP="000D4915">
      <w:pPr>
        <w:pStyle w:val="Prrafodelista"/>
        <w:spacing w:before="120" w:line="264" w:lineRule="auto"/>
        <w:ind w:left="284" w:hanging="284"/>
      </w:pPr>
      <w:r w:rsidRPr="005503B4">
        <w:rPr>
          <w:u w:val="single"/>
        </w:rPr>
        <w:t>Proyección de los ingresos del mercado postal</w:t>
      </w:r>
      <w:r w:rsidRPr="005503B4">
        <w:t xml:space="preserve"> para los tres servicios que conforman el sector postal en Colombia: Correo, Mensajería Expresa y Giros Postales, nacionales e internacionales. La proyección se realizará para los productos y ámbitos que conforman cada uno de los segmentos del mercado. </w:t>
      </w:r>
    </w:p>
    <w:p w14:paraId="3DB94D3D" w14:textId="241C7599" w:rsidR="00F262C2" w:rsidRPr="005503B4" w:rsidRDefault="00F262C2" w:rsidP="000D4915">
      <w:pPr>
        <w:pStyle w:val="Prrafodelista"/>
        <w:spacing w:before="120" w:line="264" w:lineRule="auto"/>
        <w:ind w:left="284" w:hanging="284"/>
      </w:pPr>
      <w:r w:rsidRPr="005503B4">
        <w:rPr>
          <w:u w:val="single"/>
        </w:rPr>
        <w:t>Proyección de la contraprestaci</w:t>
      </w:r>
      <w:r>
        <w:rPr>
          <w:u w:val="single"/>
        </w:rPr>
        <w:t>ón</w:t>
      </w:r>
      <w:r w:rsidRPr="005503B4">
        <w:rPr>
          <w:u w:val="single"/>
        </w:rPr>
        <w:t xml:space="preserve"> postal a favor del FUTIC</w:t>
      </w:r>
      <w:r w:rsidRPr="005503B4">
        <w:t xml:space="preserve"> provenientes de los operadores postales entre 2021 y 2024, discriminados para los subsectores </w:t>
      </w:r>
      <w:r w:rsidR="001110FB">
        <w:t xml:space="preserve">de mensajería expresa y servicios postales de pago </w:t>
      </w:r>
      <w:r w:rsidRPr="005503B4">
        <w:t>del mercado.</w:t>
      </w:r>
    </w:p>
    <w:p w14:paraId="08D4F847" w14:textId="77777777" w:rsidR="00F262C2" w:rsidRPr="005503B4" w:rsidRDefault="00F262C2" w:rsidP="000D4915">
      <w:pPr>
        <w:pStyle w:val="Prrafodelista"/>
        <w:spacing w:before="120" w:line="264" w:lineRule="auto"/>
        <w:ind w:left="284" w:hanging="284"/>
      </w:pPr>
      <w:r w:rsidRPr="005503B4">
        <w:rPr>
          <w:u w:val="single"/>
        </w:rPr>
        <w:t>Estimación de los envíos e ingresos de las franquicias postal y telegráfica</w:t>
      </w:r>
      <w:r w:rsidRPr="005503B4">
        <w:t xml:space="preserve"> para el período 2022-2024.</w:t>
      </w:r>
    </w:p>
    <w:p w14:paraId="6D456A79" w14:textId="77777777" w:rsidR="00F262C2" w:rsidRPr="005503B4" w:rsidRDefault="00F262C2" w:rsidP="000D4915">
      <w:pPr>
        <w:pStyle w:val="Prrafodelista"/>
        <w:spacing w:before="120" w:line="264" w:lineRule="auto"/>
        <w:ind w:left="284" w:hanging="284"/>
      </w:pPr>
      <w:r w:rsidRPr="005503B4">
        <w:rPr>
          <w:u w:val="single"/>
        </w:rPr>
        <w:t xml:space="preserve">Estimación del déficit </w:t>
      </w:r>
      <w:r>
        <w:rPr>
          <w:u w:val="single"/>
        </w:rPr>
        <w:t xml:space="preserve">por la prestación </w:t>
      </w:r>
      <w:r w:rsidRPr="005503B4">
        <w:rPr>
          <w:u w:val="single"/>
        </w:rPr>
        <w:t>del Servicio Postal Universal - SPU</w:t>
      </w:r>
      <w:r w:rsidRPr="005503B4">
        <w:t>, y de los pagos que por este concepto deberá realizar el FUTIC a Servicios Postales Nacionales</w:t>
      </w:r>
      <w:r>
        <w:t xml:space="preserve"> S.A.S</w:t>
      </w:r>
      <w:r w:rsidRPr="005503B4">
        <w:t>.</w:t>
      </w:r>
    </w:p>
    <w:p w14:paraId="1BCE2968" w14:textId="77777777" w:rsidR="006F3DB2" w:rsidRDefault="00F262C2" w:rsidP="00E67FD8">
      <w:pPr>
        <w:pStyle w:val="Prrafodelista"/>
        <w:spacing w:before="120" w:line="264" w:lineRule="auto"/>
        <w:ind w:left="284" w:hanging="284"/>
      </w:pPr>
      <w:r w:rsidRPr="006F3DB2">
        <w:rPr>
          <w:u w:val="single"/>
        </w:rPr>
        <w:t>Cálculo de los flujos de caja del FUTIC</w:t>
      </w:r>
      <w:r w:rsidRPr="006F3DB2">
        <w:t>, realizado con base en los gastos, costos, inversiones y transferencias que éste debe realizar durante los próximos dos años a SPN.</w:t>
      </w:r>
    </w:p>
    <w:p w14:paraId="305F6233" w14:textId="2EE979DF" w:rsidR="00F262C2" w:rsidRPr="006F3DB2" w:rsidRDefault="00F262C2" w:rsidP="006F3DB2">
      <w:pPr>
        <w:pStyle w:val="Prrafodelista"/>
        <w:spacing w:before="120" w:line="264" w:lineRule="auto"/>
        <w:ind w:left="284" w:hanging="284"/>
      </w:pPr>
      <w:r w:rsidRPr="006F3DB2">
        <w:rPr>
          <w:u w:val="single"/>
        </w:rPr>
        <w:t>Estimación de los costos operacionales requeridos por el FUTIC</w:t>
      </w:r>
      <w:r w:rsidRPr="005503B4">
        <w:t xml:space="preserve"> </w:t>
      </w:r>
      <w:r w:rsidRPr="006F3DB2">
        <w:t>para administrar desde el Ministerio las actividades postales de la entidad para el período 202</w:t>
      </w:r>
      <w:r w:rsidR="00E01367">
        <w:t>2</w:t>
      </w:r>
      <w:r w:rsidRPr="006F3DB2">
        <w:t xml:space="preserve"> – 202</w:t>
      </w:r>
      <w:r w:rsidR="00E01367">
        <w:t>4</w:t>
      </w:r>
      <w:r w:rsidRPr="006F3DB2">
        <w:t>.</w:t>
      </w:r>
      <w:r w:rsidR="00A77212" w:rsidRPr="006F3DB2">
        <w:t xml:space="preserve">  Se incluyen aquí</w:t>
      </w:r>
      <w:r w:rsidR="006F3DB2">
        <w:t xml:space="preserve"> </w:t>
      </w:r>
      <w:r w:rsidR="006F3DB2" w:rsidRPr="006F3DB2">
        <w:t>(i) Los gastos en que incurra el MinTIC para adelantar la vigilancia y control de los operadores postales, control se realiza en la actualidad de manera tercerizada a través del Consorcio Red Postal de Colombia, (</w:t>
      </w:r>
      <w:proofErr w:type="spellStart"/>
      <w:r w:rsidR="006F3DB2" w:rsidRPr="006F3DB2">
        <w:t>ii</w:t>
      </w:r>
      <w:proofErr w:type="spellEnd"/>
      <w:r w:rsidR="006F3DB2" w:rsidRPr="006F3DB2">
        <w:t>) las contribuciones que realiza Colombia a entidades postales internacionales, como la UPU y la UPAEP y (</w:t>
      </w:r>
      <w:proofErr w:type="spellStart"/>
      <w:r w:rsidR="006F3DB2" w:rsidRPr="006F3DB2">
        <w:t>iii</w:t>
      </w:r>
      <w:proofErr w:type="spellEnd"/>
      <w:r w:rsidR="006F3DB2" w:rsidRPr="006F3DB2">
        <w:t>) los pagos a personal, contratistas, inversiones postales, entre otros.</w:t>
      </w:r>
    </w:p>
    <w:p w14:paraId="564702B6" w14:textId="77777777" w:rsidR="00F262C2" w:rsidRPr="005503B4" w:rsidRDefault="00F262C2" w:rsidP="000D4915">
      <w:pPr>
        <w:pStyle w:val="Prrafodelista"/>
        <w:spacing w:before="120" w:line="264" w:lineRule="auto"/>
        <w:ind w:left="284" w:hanging="284"/>
      </w:pPr>
      <w:r w:rsidRPr="0055654E">
        <w:rPr>
          <w:u w:val="single"/>
        </w:rPr>
        <w:t>Actualización del modelo de valoración económica y financiera</w:t>
      </w:r>
      <w:r w:rsidRPr="005503B4">
        <w:t xml:space="preserve"> utilizado por el MinTIC para determinar la contraprestación que los servicios postales generan a favor del del FUTIC. </w:t>
      </w:r>
    </w:p>
    <w:p w14:paraId="7D3FE531" w14:textId="77777777" w:rsidR="00F262C2" w:rsidRPr="005503B4" w:rsidRDefault="00F262C2" w:rsidP="000D4915">
      <w:pPr>
        <w:pStyle w:val="Prrafodelista"/>
        <w:spacing w:before="120" w:line="264" w:lineRule="auto"/>
        <w:ind w:left="284" w:hanging="284"/>
      </w:pPr>
      <w:r w:rsidRPr="005503B4">
        <w:rPr>
          <w:u w:val="single"/>
        </w:rPr>
        <w:t xml:space="preserve">Estimación de la </w:t>
      </w:r>
      <w:r>
        <w:rPr>
          <w:u w:val="single"/>
        </w:rPr>
        <w:t>contraprestación</w:t>
      </w:r>
      <w:r w:rsidRPr="005503B4">
        <w:rPr>
          <w:u w:val="single"/>
        </w:rPr>
        <w:t xml:space="preserve"> periódica</w:t>
      </w:r>
      <w:r w:rsidRPr="005503B4">
        <w:t xml:space="preserve"> que deberán pagar los operadores postales en los próximos dos años, buscando como criterio que el Fondo mantenga</w:t>
      </w:r>
      <w:r>
        <w:t xml:space="preserve"> el</w:t>
      </w:r>
      <w:r w:rsidRPr="005503B4">
        <w:t xml:space="preserve"> equilibrio financiero en dicho período. </w:t>
      </w:r>
    </w:p>
    <w:p w14:paraId="17488A48" w14:textId="77777777" w:rsidR="00F262C2" w:rsidRPr="005503B4" w:rsidRDefault="00F262C2" w:rsidP="000D4915">
      <w:pPr>
        <w:pStyle w:val="Prrafodelista"/>
        <w:spacing w:before="120" w:line="264" w:lineRule="auto"/>
        <w:ind w:left="284" w:hanging="284"/>
      </w:pPr>
      <w:r>
        <w:t xml:space="preserve">Entregar </w:t>
      </w:r>
      <w:r>
        <w:rPr>
          <w:u w:val="single"/>
        </w:rPr>
        <w:t xml:space="preserve">el </w:t>
      </w:r>
      <w:r w:rsidRPr="001537A4">
        <w:rPr>
          <w:u w:val="single"/>
        </w:rPr>
        <w:t>valor de la contraprestació</w:t>
      </w:r>
      <w:r w:rsidRPr="005503B4">
        <w:rPr>
          <w:u w:val="single"/>
        </w:rPr>
        <w:t xml:space="preserve">n periódica </w:t>
      </w:r>
      <w:r w:rsidRPr="005503B4">
        <w:t>a cargo de los operadores para los próximos dos años, identifi</w:t>
      </w:r>
      <w:r>
        <w:t>cando</w:t>
      </w:r>
      <w:r w:rsidRPr="005503B4">
        <w:t xml:space="preserve"> diferentes alternativas de política sobre los parámetros fundamentales en la operación y estabilidad </w:t>
      </w:r>
      <w:r>
        <w:t>en el</w:t>
      </w:r>
      <w:r w:rsidRPr="005503B4">
        <w:t xml:space="preserve"> corto, mediano y largo plazo del Fondo.</w:t>
      </w:r>
    </w:p>
    <w:p w14:paraId="54ED9AD6" w14:textId="77777777" w:rsidR="00F262C2" w:rsidRPr="008915C5" w:rsidRDefault="00F262C2" w:rsidP="00F262C2">
      <w:pPr>
        <w:pStyle w:val="Ttulo3"/>
        <w:rPr>
          <w:b/>
          <w:bCs/>
        </w:rPr>
      </w:pPr>
      <w:bookmarkStart w:id="34" w:name="_Toc101727596"/>
      <w:bookmarkStart w:id="35" w:name="_Toc101865350"/>
      <w:bookmarkStart w:id="36" w:name="_Toc102393247"/>
      <w:bookmarkStart w:id="37" w:name="_Toc104272105"/>
      <w:r w:rsidRPr="008915C5">
        <w:rPr>
          <w:b/>
          <w:bCs/>
        </w:rPr>
        <w:lastRenderedPageBreak/>
        <w:t>Fuentes de la información postal.</w:t>
      </w:r>
      <w:bookmarkEnd w:id="34"/>
      <w:bookmarkEnd w:id="35"/>
      <w:bookmarkEnd w:id="36"/>
      <w:bookmarkEnd w:id="37"/>
    </w:p>
    <w:p w14:paraId="3A59E3CD" w14:textId="77777777" w:rsidR="00F262C2" w:rsidRPr="005503B4" w:rsidRDefault="00F262C2" w:rsidP="00F262C2">
      <w:pPr>
        <w:pStyle w:val="Vietasflecha"/>
      </w:pPr>
      <w:r w:rsidRPr="005503B4">
        <w:t xml:space="preserve">Información postal por segmentos de mercado. </w:t>
      </w:r>
    </w:p>
    <w:p w14:paraId="25850412" w14:textId="77777777" w:rsidR="00F262C2" w:rsidRPr="008E2E97" w:rsidRDefault="00F262C2" w:rsidP="00F262C2">
      <w:pPr>
        <w:pStyle w:val="Prrafodelista"/>
        <w:ind w:left="851" w:hanging="425"/>
      </w:pPr>
      <w:r w:rsidRPr="005503B4">
        <w:t xml:space="preserve">La información postal base se obtuvo utilizando </w:t>
      </w:r>
      <w:r>
        <w:t>la información contenida en los</w:t>
      </w:r>
      <w:r w:rsidRPr="005503B4">
        <w:t xml:space="preserve"> </w:t>
      </w:r>
      <w:r w:rsidRPr="005503B4">
        <w:rPr>
          <w:b/>
          <w:bCs/>
        </w:rPr>
        <w:t>Bolet</w:t>
      </w:r>
      <w:r>
        <w:rPr>
          <w:b/>
          <w:bCs/>
        </w:rPr>
        <w:t>ines</w:t>
      </w:r>
      <w:r w:rsidRPr="005503B4">
        <w:rPr>
          <w:b/>
          <w:bCs/>
        </w:rPr>
        <w:t xml:space="preserve"> Trimestral</w:t>
      </w:r>
      <w:r>
        <w:rPr>
          <w:b/>
          <w:bCs/>
        </w:rPr>
        <w:t>es del sector</w:t>
      </w:r>
      <w:r w:rsidRPr="005503B4">
        <w:rPr>
          <w:b/>
          <w:bCs/>
        </w:rPr>
        <w:t xml:space="preserve"> Postal</w:t>
      </w:r>
      <w:r w:rsidRPr="005503B4">
        <w:t xml:space="preserve"> que publica el Ministerio en su página WEB</w:t>
      </w:r>
      <w:r w:rsidRPr="005503B4">
        <w:rPr>
          <w:rStyle w:val="Refdenotaalpie"/>
        </w:rPr>
        <w:footnoteReference w:id="2"/>
      </w:r>
      <w:r w:rsidRPr="005503B4">
        <w:t xml:space="preserve"> con corte al cuarto trimestre de 2021.</w:t>
      </w:r>
    </w:p>
    <w:p w14:paraId="7AF9DCC9" w14:textId="77777777" w:rsidR="00F262C2" w:rsidRPr="005503B4" w:rsidRDefault="00F262C2" w:rsidP="00F262C2">
      <w:pPr>
        <w:pStyle w:val="Prrafodelista"/>
        <w:ind w:left="851" w:hanging="425"/>
      </w:pPr>
      <w:r w:rsidRPr="005503B4">
        <w:t xml:space="preserve">Las cifras de </w:t>
      </w:r>
      <w:r w:rsidRPr="005503B4">
        <w:rPr>
          <w:b/>
          <w:bCs/>
        </w:rPr>
        <w:t>SPN</w:t>
      </w:r>
      <w:r w:rsidRPr="005503B4">
        <w:t xml:space="preserve"> a partir del año 2016, tanto de</w:t>
      </w:r>
      <w:r>
        <w:t>l número de</w:t>
      </w:r>
      <w:r w:rsidRPr="005503B4">
        <w:t xml:space="preserve"> envíos como de ingresos, se ha tomado de la información que periódicamente reporta </w:t>
      </w:r>
      <w:r>
        <w:t>la</w:t>
      </w:r>
      <w:r w:rsidRPr="005503B4">
        <w:t xml:space="preserve"> empresa al Ministerio. Se utiliza para este efecto el estado de resultados proporcionado al MinTIC, del cual se obtiene la información anual contable de SPN para el período 2016 – 2021. Asimismo, se utilizan las matrices de tráfico anual que suministró la compañía al Ministerio, en la que se detalla información por servicios de envíos, ingresos, productos y ámbitos, así como el desglose entre correo perteneciente al SPU y aquel que no clasifica como tal.</w:t>
      </w:r>
    </w:p>
    <w:p w14:paraId="5E97F857" w14:textId="77777777" w:rsidR="00F262C2" w:rsidRPr="005503B4" w:rsidRDefault="00F262C2" w:rsidP="00F262C2">
      <w:pPr>
        <w:pStyle w:val="Prrafodelista"/>
        <w:ind w:left="851" w:hanging="425"/>
      </w:pPr>
      <w:r w:rsidRPr="005503B4">
        <w:rPr>
          <w:b/>
          <w:bCs/>
        </w:rPr>
        <w:t>Confidencialidad de la información no pública</w:t>
      </w:r>
      <w:r w:rsidRPr="005503B4">
        <w:t>: La información que no se publica en las páginas WEB del Ministerio, de los operadores y de otras entidades relacionadas con el sector postal tiene carácter reservado, razón por la cual no se publican los pasos metodológicos ni las cifras intermedias detalladas.</w:t>
      </w:r>
    </w:p>
    <w:p w14:paraId="071EFC0C" w14:textId="77777777" w:rsidR="00F262C2" w:rsidRPr="008915C5" w:rsidRDefault="00F262C2" w:rsidP="00F262C2">
      <w:pPr>
        <w:pStyle w:val="Ttulo3"/>
        <w:rPr>
          <w:b/>
          <w:bCs/>
        </w:rPr>
      </w:pPr>
      <w:bookmarkStart w:id="38" w:name="_Toc101727597"/>
      <w:bookmarkStart w:id="39" w:name="_Toc101865351"/>
      <w:bookmarkStart w:id="40" w:name="_Ref102059262"/>
      <w:bookmarkStart w:id="41" w:name="_Toc102393248"/>
      <w:bookmarkStart w:id="42" w:name="_Toc104272106"/>
      <w:r w:rsidRPr="008915C5">
        <w:rPr>
          <w:b/>
          <w:bCs/>
        </w:rPr>
        <w:t>Tratamiento de las cifras en valores monetarios</w:t>
      </w:r>
      <w:bookmarkEnd w:id="38"/>
      <w:bookmarkEnd w:id="39"/>
      <w:bookmarkEnd w:id="40"/>
      <w:bookmarkEnd w:id="41"/>
      <w:bookmarkEnd w:id="42"/>
    </w:p>
    <w:p w14:paraId="4AB8150D" w14:textId="476DB7AC" w:rsidR="00F262C2" w:rsidRPr="005503B4" w:rsidRDefault="00F262C2" w:rsidP="00B129BA">
      <w:r w:rsidRPr="005503B4">
        <w:t xml:space="preserve">Es del caso precisar que la información monetaria se presenta en pesos constantes o reales </w:t>
      </w:r>
      <w:r>
        <w:t>con corte a</w:t>
      </w:r>
      <w:r w:rsidRPr="005503B4">
        <w:t xml:space="preserve"> diciembre de 2021. Para el proceso de conversión de valores nominales, esto es, aquellos que incluyen la inflación en sus cifras, a valores constantes, proceso que estadísticamente se conoce como </w:t>
      </w:r>
      <w:proofErr w:type="spellStart"/>
      <w:r w:rsidRPr="005503B4">
        <w:t>deflactación</w:t>
      </w:r>
      <w:proofErr w:type="spellEnd"/>
      <w:r w:rsidRPr="005503B4">
        <w:t xml:space="preserve"> de cifras económicas, se ha utilizado el Índice de Precios al Consumidor - IPC, publicado por el DANE, con año base 2018</w:t>
      </w:r>
      <w:r>
        <w:t>,</w:t>
      </w:r>
      <w:r w:rsidRPr="005503B4">
        <w:t xml:space="preserve"> </w:t>
      </w:r>
      <w:r>
        <w:t>a</w:t>
      </w:r>
      <w:r w:rsidRPr="005503B4">
        <w:t xml:space="preserve"> efectos de presentar las cifras económicas monetarias con la información más reciente, es decir</w:t>
      </w:r>
      <w:r w:rsidR="00B129BA">
        <w:t>,</w:t>
      </w:r>
      <w:r w:rsidRPr="005503B4">
        <w:t xml:space="preserve"> a corte 31 de diciembre de 2021, se ha </w:t>
      </w:r>
      <w:proofErr w:type="spellStart"/>
      <w:r w:rsidRPr="00E01367">
        <w:t>r</w:t>
      </w:r>
      <w:r w:rsidRPr="00934720">
        <w:t>eexpresado</w:t>
      </w:r>
      <w:proofErr w:type="spellEnd"/>
      <w:r w:rsidRPr="005503B4">
        <w:t xml:space="preserve"> la base del índice para que presente información a pesos del año 2021, cifra que es más cercana a la percepción del lector</w:t>
      </w:r>
      <w:r w:rsidRPr="005503B4">
        <w:rPr>
          <w:rStyle w:val="Refdenotaalpie"/>
        </w:rPr>
        <w:footnoteReference w:id="3"/>
      </w:r>
      <w:r w:rsidRPr="005503B4">
        <w:t>.</w:t>
      </w:r>
    </w:p>
    <w:p w14:paraId="130C7283" w14:textId="77777777" w:rsidR="00F262C2" w:rsidRPr="008915C5" w:rsidRDefault="00F262C2" w:rsidP="00F262C2">
      <w:pPr>
        <w:pStyle w:val="Ttulo2"/>
      </w:pPr>
      <w:bookmarkStart w:id="43" w:name="_Toc101727598"/>
      <w:bookmarkStart w:id="44" w:name="_Toc101865352"/>
      <w:bookmarkStart w:id="45" w:name="_Toc102393249"/>
      <w:bookmarkStart w:id="46" w:name="_Toc104272107"/>
      <w:r w:rsidRPr="008915C5">
        <w:t>Estructura del documento.</w:t>
      </w:r>
      <w:bookmarkEnd w:id="43"/>
      <w:bookmarkEnd w:id="44"/>
      <w:bookmarkEnd w:id="45"/>
      <w:bookmarkEnd w:id="46"/>
      <w:r w:rsidRPr="008915C5">
        <w:t xml:space="preserve"> </w:t>
      </w:r>
    </w:p>
    <w:p w14:paraId="74112FB8" w14:textId="0346746D" w:rsidR="00F262C2" w:rsidRPr="005503B4" w:rsidRDefault="00F262C2" w:rsidP="00F262C2">
      <w:pPr>
        <w:spacing w:before="0" w:after="120" w:line="276" w:lineRule="auto"/>
      </w:pPr>
      <w:r w:rsidRPr="005503B4">
        <w:t xml:space="preserve">Teniendo en cuenta </w:t>
      </w:r>
      <w:r>
        <w:t>los</w:t>
      </w:r>
      <w:r w:rsidRPr="005503B4">
        <w:t xml:space="preserve"> objetivos, </w:t>
      </w:r>
      <w:r w:rsidR="00826864">
        <w:t xml:space="preserve">adicional a este primer capítulo introductorio, </w:t>
      </w:r>
      <w:r w:rsidRPr="005503B4">
        <w:t xml:space="preserve">en el capítulo </w:t>
      </w:r>
      <w:r w:rsidRPr="005503B4">
        <w:fldChar w:fldCharType="begin"/>
      </w:r>
      <w:r w:rsidRPr="005503B4">
        <w:instrText xml:space="preserve"> REF _Ref100959767 \r \h </w:instrText>
      </w:r>
      <w:r>
        <w:instrText xml:space="preserve"> \* MERGEFORMAT </w:instrText>
      </w:r>
      <w:r w:rsidRPr="005503B4">
        <w:fldChar w:fldCharType="separate"/>
      </w:r>
      <w:r w:rsidR="00C57FCA">
        <w:t>2</w:t>
      </w:r>
      <w:r w:rsidRPr="005503B4">
        <w:fldChar w:fldCharType="end"/>
      </w:r>
      <w:r w:rsidRPr="005503B4">
        <w:t xml:space="preserve"> se presenta como marco de referencia, un detalle del tamaño, estructura, evolución y principales segmentos del </w:t>
      </w:r>
      <w:r w:rsidRPr="005503B4">
        <w:lastRenderedPageBreak/>
        <w:t>mercado de los servicios postales en Colombia</w:t>
      </w:r>
      <w:r>
        <w:t>.</w:t>
      </w:r>
      <w:r w:rsidR="00384795">
        <w:t xml:space="preserve"> </w:t>
      </w:r>
      <w:r w:rsidRPr="005503B4">
        <w:t xml:space="preserve">A su turno, en el Capítulo </w:t>
      </w:r>
      <w:r w:rsidRPr="005503B4">
        <w:fldChar w:fldCharType="begin"/>
      </w:r>
      <w:r w:rsidRPr="005503B4">
        <w:instrText xml:space="preserve"> REF _Ref101519164 \r \h </w:instrText>
      </w:r>
      <w:r>
        <w:instrText xml:space="preserve"> \* MERGEFORMAT </w:instrText>
      </w:r>
      <w:r w:rsidRPr="005503B4">
        <w:fldChar w:fldCharType="separate"/>
      </w:r>
      <w:r w:rsidR="00C57FCA">
        <w:t>3</w:t>
      </w:r>
      <w:r w:rsidRPr="005503B4">
        <w:fldChar w:fldCharType="end"/>
      </w:r>
      <w:r w:rsidRPr="005503B4">
        <w:t xml:space="preserve"> se presenta el marco legal que determina la contraprestaci</w:t>
      </w:r>
      <w:r>
        <w:t>ón</w:t>
      </w:r>
      <w:r w:rsidRPr="005503B4">
        <w:t xml:space="preserve"> de los operadores postales al FUTIC. Igualmente, contiene la estructura y evolución de los </w:t>
      </w:r>
      <w:r>
        <w:t>valores</w:t>
      </w:r>
      <w:r w:rsidRPr="005503B4">
        <w:t xml:space="preserve"> aportados al Fondo entre el 2011 y el 2021 y la estructura de la contraprestaci</w:t>
      </w:r>
      <w:r>
        <w:t>ón</w:t>
      </w:r>
      <w:r w:rsidRPr="005503B4">
        <w:t xml:space="preserve"> por segmentos de mercado.</w:t>
      </w:r>
    </w:p>
    <w:p w14:paraId="52608CCB" w14:textId="572C19F9" w:rsidR="00F262C2" w:rsidRPr="005503B4" w:rsidRDefault="00F262C2" w:rsidP="00F262C2">
      <w:r w:rsidRPr="005503B4">
        <w:t xml:space="preserve">De otro lado, en el Capítulo </w:t>
      </w:r>
      <w:r w:rsidRPr="005503B4">
        <w:fldChar w:fldCharType="begin"/>
      </w:r>
      <w:r w:rsidRPr="005503B4">
        <w:instrText xml:space="preserve"> REF _Ref39479067 \r \h </w:instrText>
      </w:r>
      <w:r>
        <w:instrText xml:space="preserve"> \* MERGEFORMAT </w:instrText>
      </w:r>
      <w:r w:rsidRPr="005503B4">
        <w:fldChar w:fldCharType="separate"/>
      </w:r>
      <w:r w:rsidR="00C57FCA">
        <w:t>4</w:t>
      </w:r>
      <w:r w:rsidRPr="005503B4">
        <w:fldChar w:fldCharType="end"/>
      </w:r>
      <w:r w:rsidRPr="005503B4">
        <w:t xml:space="preserve"> se presentan las principales definiciones, productos, usos y criterios, asociados al concepto del Servicio Postal Universal, en adelante SPU, así como las directrices que define la Ley 1369 de 2009 en esta materia. Se presenta, asimismo, la evolución del valor del déficit</w:t>
      </w:r>
      <w:r>
        <w:t xml:space="preserve"> que genera la prestación</w:t>
      </w:r>
      <w:r w:rsidRPr="005503B4">
        <w:t xml:space="preserve"> del SPU en que ha incurrido el OPO en los</w:t>
      </w:r>
      <w:r>
        <w:t xml:space="preserve"> últimos</w:t>
      </w:r>
      <w:r w:rsidRPr="005503B4">
        <w:t xml:space="preserve"> 10 años</w:t>
      </w:r>
      <w:r>
        <w:t>.</w:t>
      </w:r>
    </w:p>
    <w:p w14:paraId="5D0637C3" w14:textId="358F08DC" w:rsidR="00F262C2" w:rsidRPr="005503B4" w:rsidRDefault="00F262C2" w:rsidP="00F262C2">
      <w:r w:rsidRPr="005503B4">
        <w:t xml:space="preserve">A continuación, el Capítulo </w:t>
      </w:r>
      <w:r w:rsidRPr="005503B4">
        <w:fldChar w:fldCharType="begin"/>
      </w:r>
      <w:r w:rsidRPr="005503B4">
        <w:instrText xml:space="preserve"> REF _Ref39474673 \r \h </w:instrText>
      </w:r>
      <w:r>
        <w:instrText xml:space="preserve"> \* MERGEFORMAT </w:instrText>
      </w:r>
      <w:r w:rsidRPr="005503B4">
        <w:fldChar w:fldCharType="separate"/>
      </w:r>
      <w:r w:rsidR="00C57FCA">
        <w:t>5</w:t>
      </w:r>
      <w:r w:rsidRPr="005503B4">
        <w:fldChar w:fldCharType="end"/>
      </w:r>
      <w:r w:rsidRPr="005503B4">
        <w:t xml:space="preserve"> está dirigido a analizar la evolución, estructura, segmentos y productos del mercado de mensajería expresa, profundizando en la evolución de los segmentos </w:t>
      </w:r>
      <w:proofErr w:type="gramStart"/>
      <w:r w:rsidRPr="005503B4">
        <w:t>del mismo</w:t>
      </w:r>
      <w:proofErr w:type="gramEnd"/>
      <w:r>
        <w:t xml:space="preserve">. </w:t>
      </w:r>
      <w:r w:rsidRPr="005503B4">
        <w:t xml:space="preserve">Adicionalmente, </w:t>
      </w:r>
      <w:r>
        <w:t xml:space="preserve">en el </w:t>
      </w:r>
      <w:r w:rsidRPr="005503B4">
        <w:t>capítulo</w:t>
      </w:r>
      <w:r>
        <w:t xml:space="preserve"> se</w:t>
      </w:r>
      <w:r w:rsidRPr="005503B4">
        <w:t xml:space="preserve"> presenta</w:t>
      </w:r>
      <w:r w:rsidR="00B129BA">
        <w:t>n</w:t>
      </w:r>
      <w:r w:rsidRPr="005503B4">
        <w:t xml:space="preserve"> los resultados de la proyección del mercado de </w:t>
      </w:r>
      <w:r>
        <w:t>M</w:t>
      </w:r>
      <w:r w:rsidRPr="005503B4">
        <w:t xml:space="preserve">ensajería </w:t>
      </w:r>
      <w:r>
        <w:t>E</w:t>
      </w:r>
      <w:r w:rsidRPr="005503B4">
        <w:t xml:space="preserve">xpresa para los próximos años, tanto en materia de envíos como de ingresos, de acuerdo con las tendencias históricas analizadas en el Capítulo </w:t>
      </w:r>
      <w:r w:rsidRPr="005503B4">
        <w:fldChar w:fldCharType="begin"/>
      </w:r>
      <w:r w:rsidRPr="005503B4">
        <w:instrText xml:space="preserve"> REF _Ref100959767 \r \h </w:instrText>
      </w:r>
      <w:r>
        <w:instrText xml:space="preserve"> \* MERGEFORMAT </w:instrText>
      </w:r>
      <w:r w:rsidRPr="005503B4">
        <w:fldChar w:fldCharType="separate"/>
      </w:r>
      <w:r w:rsidR="00C57FCA">
        <w:t>2</w:t>
      </w:r>
      <w:r w:rsidRPr="005503B4">
        <w:fldChar w:fldCharType="end"/>
      </w:r>
      <w:r>
        <w:t xml:space="preserve"> y</w:t>
      </w:r>
      <w:r w:rsidR="00B129BA">
        <w:t>,</w:t>
      </w:r>
      <w:r>
        <w:t xml:space="preserve"> finalmente</w:t>
      </w:r>
      <w:r w:rsidR="00B129BA">
        <w:t>,</w:t>
      </w:r>
      <w:r>
        <w:t xml:space="preserve"> se estimará el recaudo esperado que </w:t>
      </w:r>
      <w:proofErr w:type="spellStart"/>
      <w:r>
        <w:t>contraprestarán</w:t>
      </w:r>
      <w:proofErr w:type="spellEnd"/>
      <w:r>
        <w:t xml:space="preserve"> los Operadores Postales al Fondo;</w:t>
      </w:r>
      <w:r w:rsidRPr="005503B4">
        <w:t xml:space="preserve"> así mismo</w:t>
      </w:r>
      <w:r>
        <w:t>,</w:t>
      </w:r>
      <w:r w:rsidRPr="005503B4">
        <w:t xml:space="preserve"> en dicho aparte se realizar</w:t>
      </w:r>
      <w:r>
        <w:t>á</w:t>
      </w:r>
      <w:r w:rsidRPr="005503B4">
        <w:t xml:space="preserve"> la estimación de la contraprestaci</w:t>
      </w:r>
      <w:r w:rsidR="00B129BA">
        <w:t>ón</w:t>
      </w:r>
      <w:r w:rsidRPr="005503B4">
        <w:t xml:space="preserve"> que  pagar</w:t>
      </w:r>
      <w:r>
        <w:t xml:space="preserve">án </w:t>
      </w:r>
      <w:r w:rsidRPr="005503B4">
        <w:t>estos operadores al Fondo</w:t>
      </w:r>
      <w:r>
        <w:t>.</w:t>
      </w:r>
      <w:r w:rsidRPr="005503B4">
        <w:t>.</w:t>
      </w:r>
    </w:p>
    <w:p w14:paraId="529622E2" w14:textId="74F9D130" w:rsidR="00F262C2" w:rsidRPr="005503B4" w:rsidRDefault="00F262C2" w:rsidP="00F262C2">
      <w:pPr>
        <w:rPr>
          <w:lang w:val="es-CO"/>
        </w:rPr>
      </w:pPr>
      <w:r w:rsidRPr="005503B4">
        <w:t>De la misma manera, el Capítulo</w:t>
      </w:r>
      <w:r w:rsidRPr="005503B4">
        <w:rPr>
          <w:lang w:val="es-CO"/>
        </w:rPr>
        <w:t xml:space="preserve"> </w:t>
      </w:r>
      <w:r w:rsidRPr="005503B4">
        <w:rPr>
          <w:lang w:val="es-CO"/>
        </w:rPr>
        <w:fldChar w:fldCharType="begin"/>
      </w:r>
      <w:r w:rsidRPr="005503B4">
        <w:rPr>
          <w:lang w:val="es-CO"/>
        </w:rPr>
        <w:instrText xml:space="preserve"> REF _Ref101041585 \r \h </w:instrText>
      </w:r>
      <w:r>
        <w:rPr>
          <w:lang w:val="es-CO"/>
        </w:rPr>
        <w:instrText xml:space="preserve"> \* MERGEFORMAT </w:instrText>
      </w:r>
      <w:r w:rsidRPr="005503B4">
        <w:rPr>
          <w:lang w:val="es-CO"/>
        </w:rPr>
      </w:r>
      <w:r w:rsidRPr="005503B4">
        <w:rPr>
          <w:lang w:val="es-CO"/>
        </w:rPr>
        <w:fldChar w:fldCharType="separate"/>
      </w:r>
      <w:r w:rsidR="00C57FCA">
        <w:rPr>
          <w:lang w:val="es-CO"/>
        </w:rPr>
        <w:t>6</w:t>
      </w:r>
      <w:r w:rsidRPr="005503B4">
        <w:rPr>
          <w:lang w:val="es-CO"/>
        </w:rPr>
        <w:fldChar w:fldCharType="end"/>
      </w:r>
      <w:r w:rsidRPr="005503B4">
        <w:rPr>
          <w:lang w:val="es-CO"/>
        </w:rPr>
        <w:t xml:space="preserve"> se concentrará en el mercado de</w:t>
      </w:r>
      <w:r>
        <w:rPr>
          <w:lang w:val="es-CO"/>
        </w:rPr>
        <w:t>l</w:t>
      </w:r>
      <w:r w:rsidRPr="005503B4">
        <w:rPr>
          <w:lang w:val="es-CO"/>
        </w:rPr>
        <w:t xml:space="preserve"> </w:t>
      </w:r>
      <w:r>
        <w:rPr>
          <w:lang w:val="es-CO"/>
        </w:rPr>
        <w:t>S</w:t>
      </w:r>
      <w:r w:rsidRPr="005503B4">
        <w:rPr>
          <w:lang w:val="es-CO"/>
        </w:rPr>
        <w:t xml:space="preserve">ervicio </w:t>
      </w:r>
      <w:r>
        <w:rPr>
          <w:lang w:val="es-CO"/>
        </w:rPr>
        <w:t>P</w:t>
      </w:r>
      <w:r w:rsidRPr="005503B4">
        <w:rPr>
          <w:lang w:val="es-CO"/>
        </w:rPr>
        <w:t xml:space="preserve">ostales de </w:t>
      </w:r>
      <w:r>
        <w:rPr>
          <w:lang w:val="es-CO"/>
        </w:rPr>
        <w:t>P</w:t>
      </w:r>
      <w:r w:rsidRPr="005503B4">
        <w:rPr>
          <w:lang w:val="es-CO"/>
        </w:rPr>
        <w:t>ago, presentando  una descripción de la estructura, evolución y tendencias del mercado entre los años de 2014 y 2021</w:t>
      </w:r>
      <w:r>
        <w:rPr>
          <w:lang w:val="es-CO"/>
        </w:rPr>
        <w:t>, así como</w:t>
      </w:r>
      <w:r w:rsidRPr="005503B4">
        <w:rPr>
          <w:lang w:val="es-CO"/>
        </w:rPr>
        <w:t xml:space="preserve"> el impacto que han tenido los giros bancarios y la consolidación de los  servicios </w:t>
      </w:r>
      <w:proofErr w:type="spellStart"/>
      <w:r w:rsidRPr="005503B4">
        <w:rPr>
          <w:lang w:val="es-CO"/>
        </w:rPr>
        <w:t>FinTech</w:t>
      </w:r>
      <w:proofErr w:type="spellEnd"/>
      <w:r w:rsidRPr="005503B4">
        <w:rPr>
          <w:lang w:val="es-CO"/>
        </w:rPr>
        <w:t xml:space="preserve">, que </w:t>
      </w:r>
      <w:r>
        <w:rPr>
          <w:lang w:val="es-CO"/>
        </w:rPr>
        <w:t>compiten en el</w:t>
      </w:r>
      <w:r w:rsidRPr="005503B4">
        <w:rPr>
          <w:lang w:val="es-CO"/>
        </w:rPr>
        <w:t xml:space="preserve"> mercado</w:t>
      </w:r>
      <w:r>
        <w:rPr>
          <w:lang w:val="es-CO"/>
        </w:rPr>
        <w:t xml:space="preserve"> con</w:t>
      </w:r>
      <w:r w:rsidRPr="005503B4">
        <w:rPr>
          <w:lang w:val="es-CO"/>
        </w:rPr>
        <w:t xml:space="preserve">  los operadores de</w:t>
      </w:r>
      <w:r>
        <w:rPr>
          <w:lang w:val="es-CO"/>
        </w:rPr>
        <w:t>l Servicio de</w:t>
      </w:r>
      <w:r w:rsidRPr="005503B4">
        <w:rPr>
          <w:lang w:val="es-CO"/>
        </w:rPr>
        <w:t xml:space="preserve"> </w:t>
      </w:r>
      <w:r>
        <w:rPr>
          <w:lang w:val="es-CO"/>
        </w:rPr>
        <w:t>G</w:t>
      </w:r>
      <w:r w:rsidRPr="005503B4">
        <w:rPr>
          <w:lang w:val="es-CO"/>
        </w:rPr>
        <w:t xml:space="preserve">iros </w:t>
      </w:r>
      <w:r>
        <w:rPr>
          <w:lang w:val="es-CO"/>
        </w:rPr>
        <w:t>P</w:t>
      </w:r>
      <w:r w:rsidRPr="005503B4">
        <w:rPr>
          <w:lang w:val="es-CO"/>
        </w:rPr>
        <w:t>ostales, especialmente</w:t>
      </w:r>
      <w:r>
        <w:rPr>
          <w:lang w:val="es-CO"/>
        </w:rPr>
        <w:t>,</w:t>
      </w:r>
      <w:r w:rsidRPr="005503B4">
        <w:rPr>
          <w:lang w:val="es-CO"/>
        </w:rPr>
        <w:t xml:space="preserve"> en los pasados dos años, </w:t>
      </w:r>
      <w:r>
        <w:rPr>
          <w:lang w:val="es-CO"/>
        </w:rPr>
        <w:t>coincidiendo además</w:t>
      </w:r>
      <w:r w:rsidRPr="005503B4">
        <w:rPr>
          <w:lang w:val="es-CO"/>
        </w:rPr>
        <w:t xml:space="preserve"> con los problemas de salud pública a nivel mundial y las medidas dirigidas a combatir la pandemia del COVID-19. </w:t>
      </w:r>
      <w:r>
        <w:rPr>
          <w:lang w:val="es-CO"/>
        </w:rPr>
        <w:t>Finalmente</w:t>
      </w:r>
      <w:r w:rsidRPr="005503B4">
        <w:rPr>
          <w:lang w:val="es-CO"/>
        </w:rPr>
        <w:t>, el capítulo contiene la estimación de la contraprestaci</w:t>
      </w:r>
      <w:r>
        <w:rPr>
          <w:lang w:val="es-CO"/>
        </w:rPr>
        <w:t>ón</w:t>
      </w:r>
      <w:r w:rsidRPr="005503B4">
        <w:rPr>
          <w:lang w:val="es-CO"/>
        </w:rPr>
        <w:t xml:space="preserve"> pagarán los operadores de giros postales en los próximos años al FUTIC.</w:t>
      </w:r>
    </w:p>
    <w:p w14:paraId="64C51948" w14:textId="4D702D48" w:rsidR="00F262C2" w:rsidRPr="005503B4" w:rsidRDefault="00F262C2" w:rsidP="00F262C2">
      <w:r w:rsidRPr="005503B4">
        <w:t xml:space="preserve">A continuación, en el Capítulo </w:t>
      </w:r>
      <w:r w:rsidRPr="005503B4">
        <w:fldChar w:fldCharType="begin"/>
      </w:r>
      <w:r w:rsidRPr="005503B4">
        <w:instrText xml:space="preserve"> REF _Ref101548022 \r \h </w:instrText>
      </w:r>
      <w:r>
        <w:instrText xml:space="preserve"> \* MERGEFORMAT </w:instrText>
      </w:r>
      <w:r w:rsidRPr="005503B4">
        <w:fldChar w:fldCharType="separate"/>
      </w:r>
      <w:r w:rsidR="00C57FCA">
        <w:t>7</w:t>
      </w:r>
      <w:r w:rsidRPr="005503B4">
        <w:fldChar w:fldCharType="end"/>
      </w:r>
      <w:r w:rsidRPr="005503B4">
        <w:t xml:space="preserve"> se presentará la proyección del déficit</w:t>
      </w:r>
      <w:r>
        <w:t xml:space="preserve"> generado por la prestación</w:t>
      </w:r>
      <w:r w:rsidRPr="005503B4">
        <w:t xml:space="preserve"> del SPU para el período 2022 – 2024, </w:t>
      </w:r>
      <w:r>
        <w:t xml:space="preserve">tomando como insumo fundamental </w:t>
      </w:r>
      <w:r w:rsidRPr="005503B4">
        <w:t xml:space="preserve">la metodología de costos que </w:t>
      </w:r>
      <w:r>
        <w:t>se encuentra aprobada.</w:t>
      </w:r>
      <w:r w:rsidRPr="005503B4">
        <w:t xml:space="preserve"> </w:t>
      </w:r>
      <w:r>
        <w:t>D</w:t>
      </w:r>
      <w:r w:rsidRPr="005503B4">
        <w:t>e la misma manera, en este capítulo se realiza la proyección de los envíos</w:t>
      </w:r>
      <w:r>
        <w:t xml:space="preserve"> que cursan con cargo a la</w:t>
      </w:r>
      <w:r w:rsidRPr="005503B4">
        <w:t xml:space="preserve"> franquicia postal, así como la proyección de </w:t>
      </w:r>
      <w:r w:rsidR="002978E3">
        <w:t xml:space="preserve">ingresos, </w:t>
      </w:r>
      <w:r w:rsidRPr="005503B4">
        <w:t xml:space="preserve">gastos y costos </w:t>
      </w:r>
      <w:r w:rsidR="002978E3">
        <w:t xml:space="preserve">de los estados financieros de SPN </w:t>
      </w:r>
      <w:r w:rsidRPr="005503B4">
        <w:t xml:space="preserve">y su </w:t>
      </w:r>
      <w:r w:rsidR="002978E3">
        <w:t>asignación a los ingresos y gastos del</w:t>
      </w:r>
      <w:r w:rsidRPr="005503B4">
        <w:t xml:space="preserve"> SPU.</w:t>
      </w:r>
    </w:p>
    <w:p w14:paraId="7867CF8C" w14:textId="25841D1B" w:rsidR="00F262C2" w:rsidRDefault="00F262C2" w:rsidP="00F262C2">
      <w:r w:rsidRPr="005503B4">
        <w:t xml:space="preserve">Finalmente, con base en los anteriores insumos, en el Capítulo </w:t>
      </w:r>
      <w:r w:rsidRPr="005503B4">
        <w:fldChar w:fldCharType="begin"/>
      </w:r>
      <w:r w:rsidRPr="005503B4">
        <w:instrText xml:space="preserve"> REF _Ref41479518 \r \h </w:instrText>
      </w:r>
      <w:r>
        <w:instrText xml:space="preserve"> \* MERGEFORMAT </w:instrText>
      </w:r>
      <w:r w:rsidRPr="005503B4">
        <w:fldChar w:fldCharType="separate"/>
      </w:r>
      <w:r w:rsidR="00C57FCA">
        <w:t>8</w:t>
      </w:r>
      <w:r w:rsidRPr="005503B4">
        <w:fldChar w:fldCharType="end"/>
      </w:r>
      <w:r w:rsidRPr="005503B4">
        <w:t xml:space="preserve"> se </w:t>
      </w:r>
      <w:r>
        <w:t>definirá</w:t>
      </w:r>
      <w:r w:rsidRPr="005503B4">
        <w:t xml:space="preserve"> </w:t>
      </w:r>
      <w:r>
        <w:t xml:space="preserve">la </w:t>
      </w:r>
      <w:r w:rsidRPr="005503B4">
        <w:t xml:space="preserve">contraprestación que pagarán los operadores </w:t>
      </w:r>
      <w:r>
        <w:t>de Mensajería Expresa y los del Servicio Postal de Pago</w:t>
      </w:r>
      <w:r w:rsidRPr="005503B4">
        <w:t xml:space="preserve">, de acuerdo con lo contemplado en el artículo 14 de la Ley 1369 de 2009, para el período comprendido entre julio 1º de 2022 y junio 30 de 2024. </w:t>
      </w:r>
    </w:p>
    <w:p w14:paraId="41921962" w14:textId="77777777" w:rsidR="00F262C2" w:rsidRPr="005503B4" w:rsidRDefault="00F262C2" w:rsidP="00F262C2">
      <w:pPr>
        <w:pStyle w:val="Ttulo1"/>
        <w:rPr>
          <w:rFonts w:ascii="Arial Narrow" w:hAnsi="Arial Narrow"/>
        </w:rPr>
      </w:pPr>
      <w:bookmarkStart w:id="47" w:name="_Toc527570073"/>
      <w:bookmarkStart w:id="48" w:name="_Toc102393250"/>
      <w:bookmarkStart w:id="49" w:name="_Toc104272108"/>
      <w:bookmarkStart w:id="50" w:name="_Ref100959767"/>
      <w:bookmarkStart w:id="51" w:name="_Ref39152849"/>
      <w:bookmarkStart w:id="52" w:name="_Ref28549657"/>
      <w:bookmarkEnd w:id="47"/>
      <w:bookmarkEnd w:id="48"/>
      <w:bookmarkEnd w:id="49"/>
    </w:p>
    <w:p w14:paraId="1CE49141" w14:textId="77777777" w:rsidR="00F262C2" w:rsidRPr="005503B4" w:rsidRDefault="00F262C2" w:rsidP="00F262C2">
      <w:pPr>
        <w:pStyle w:val="Titulodescripcin"/>
        <w:rPr>
          <w:rFonts w:ascii="Arial Narrow" w:hAnsi="Arial Narrow"/>
        </w:rPr>
      </w:pPr>
      <w:bookmarkStart w:id="53" w:name="_Toc102393251"/>
      <w:bookmarkStart w:id="54" w:name="_Toc104272109"/>
      <w:bookmarkEnd w:id="50"/>
      <w:r w:rsidRPr="005503B4">
        <w:rPr>
          <w:rFonts w:ascii="Arial Narrow" w:hAnsi="Arial Narrow"/>
        </w:rPr>
        <w:t>El mercado postal colombiano: Tamaño, estructura, segmentos y tendencias históricas.</w:t>
      </w:r>
      <w:bookmarkEnd w:id="53"/>
      <w:bookmarkEnd w:id="54"/>
    </w:p>
    <w:p w14:paraId="693493D6" w14:textId="77777777" w:rsidR="00F262C2" w:rsidRPr="005503B4" w:rsidRDefault="00F262C2" w:rsidP="00F262C2">
      <w:r w:rsidRPr="005503B4">
        <w:t>Ese capítulo del documento busca presentar, como marco de referencia para el estudio, un detalle del tamaño, estructura, evolución y principales segmentos del mercado postal en Colombia. Se pretende generar para el lector, un repaso de la estructura y actores de</w:t>
      </w:r>
      <w:r>
        <w:t>l sector</w:t>
      </w:r>
      <w:r w:rsidRPr="005503B4">
        <w:t>, de manera que se tenga una claridad de la magnitud de las cifras del sector</w:t>
      </w:r>
      <w:r>
        <w:t>, así como</w:t>
      </w:r>
      <w:r w:rsidRPr="005503B4">
        <w:t xml:space="preserve">, de los segmentos de mercado que </w:t>
      </w:r>
      <w:proofErr w:type="spellStart"/>
      <w:r w:rsidRPr="005503B4">
        <w:t>contr</w:t>
      </w:r>
      <w:r>
        <w:t>aprestan</w:t>
      </w:r>
      <w:proofErr w:type="spellEnd"/>
      <w:r w:rsidRPr="005503B4">
        <w:t xml:space="preserve"> al Fondo TIC, la evolución y perspectivas de </w:t>
      </w:r>
      <w:proofErr w:type="gramStart"/>
      <w:r w:rsidRPr="005503B4">
        <w:t>los mismos</w:t>
      </w:r>
      <w:proofErr w:type="gramEnd"/>
      <w:r>
        <w:t>.</w:t>
      </w:r>
    </w:p>
    <w:p w14:paraId="2118781F" w14:textId="77777777" w:rsidR="00F262C2" w:rsidRPr="005503B4" w:rsidRDefault="00F262C2" w:rsidP="00F262C2">
      <w:r w:rsidRPr="005503B4">
        <w:t xml:space="preserve">De igual manera, el capítulo está dirigido a presentar la importancia de cada uno de los mercados de los tres servicios que conforman </w:t>
      </w:r>
      <w:r>
        <w:t xml:space="preserve">el sector </w:t>
      </w:r>
      <w:r w:rsidRPr="005503B4">
        <w:t>postal colombian</w:t>
      </w:r>
      <w:r>
        <w:t>o</w:t>
      </w:r>
      <w:r w:rsidRPr="005503B4">
        <w:t xml:space="preserve">, su capacidad de generación de ingresos y, en consecuencia, el potencial que tienen los mismos de </w:t>
      </w:r>
      <w:r>
        <w:t>aportar</w:t>
      </w:r>
      <w:r w:rsidRPr="005503B4">
        <w:t xml:space="preserve"> a las finanzas del Fondo en el corto, mediano y largo plazo.</w:t>
      </w:r>
    </w:p>
    <w:p w14:paraId="42C50F02" w14:textId="77777777" w:rsidR="00F262C2" w:rsidRPr="005503B4" w:rsidRDefault="00F262C2" w:rsidP="00F262C2">
      <w:r w:rsidRPr="005503B4">
        <w:t xml:space="preserve">Finalmente, se presenta el análisis de la evolución de los segmentos y de los productos que se ofrecen en los mercados de los tres servicios que componen el sector postal, </w:t>
      </w:r>
      <w:r>
        <w:t>su</w:t>
      </w:r>
      <w:r w:rsidRPr="005503B4">
        <w:t xml:space="preserve"> desarrollo, crecimiento, tamaño y </w:t>
      </w:r>
      <w:r>
        <w:t xml:space="preserve">las </w:t>
      </w:r>
      <w:r w:rsidRPr="005503B4">
        <w:t>tendencias de sus principales productos, así como su situación de mercado hacia finales de</w:t>
      </w:r>
      <w:r>
        <w:t>l año</w:t>
      </w:r>
      <w:r w:rsidRPr="005503B4">
        <w:t xml:space="preserve"> 2021. </w:t>
      </w:r>
    </w:p>
    <w:p w14:paraId="1CDDA016" w14:textId="77777777" w:rsidR="00F262C2" w:rsidRPr="00A22E6B" w:rsidRDefault="00F262C2" w:rsidP="00F262C2">
      <w:pPr>
        <w:pStyle w:val="Ttulo2"/>
        <w:rPr>
          <w:b/>
          <w:bCs/>
        </w:rPr>
      </w:pPr>
      <w:bookmarkStart w:id="55" w:name="_Toc102393253"/>
      <w:bookmarkStart w:id="56" w:name="_Toc104272110"/>
      <w:r w:rsidRPr="00A22E6B">
        <w:rPr>
          <w:b/>
          <w:bCs/>
        </w:rPr>
        <w:t>El mercado postal: Tamaño, evolución, estructura y actores.</w:t>
      </w:r>
      <w:bookmarkEnd w:id="55"/>
      <w:bookmarkEnd w:id="56"/>
    </w:p>
    <w:p w14:paraId="7D533618" w14:textId="1EBD550F" w:rsidR="00F262C2" w:rsidRDefault="00F262C2" w:rsidP="00F262C2">
      <w:r w:rsidRPr="005503B4">
        <w:t xml:space="preserve">Como se presenta en la </w:t>
      </w:r>
      <w:r w:rsidRPr="005503B4">
        <w:fldChar w:fldCharType="begin"/>
      </w:r>
      <w:r w:rsidRPr="005503B4">
        <w:instrText xml:space="preserve"> REF _Ref100951674 \h </w:instrText>
      </w:r>
      <w:r>
        <w:instrText xml:space="preserve"> \* MERGEFORMAT </w:instrText>
      </w:r>
      <w:r w:rsidRPr="005503B4">
        <w:fldChar w:fldCharType="separate"/>
      </w:r>
      <w:r w:rsidR="00C57FCA" w:rsidRPr="005503B4">
        <w:t xml:space="preserve">Gráfica </w:t>
      </w:r>
      <w:r w:rsidR="00C57FCA">
        <w:rPr>
          <w:noProof/>
        </w:rPr>
        <w:t>2</w:t>
      </w:r>
      <w:r w:rsidR="00C57FCA" w:rsidRPr="005503B4">
        <w:rPr>
          <w:noProof/>
        </w:rPr>
        <w:noBreakHyphen/>
      </w:r>
      <w:r w:rsidR="00C57FCA">
        <w:rPr>
          <w:noProof/>
        </w:rPr>
        <w:t>1</w:t>
      </w:r>
      <w:r w:rsidRPr="005503B4">
        <w:fldChar w:fldCharType="end"/>
      </w:r>
      <w:r w:rsidRPr="005503B4">
        <w:t>, el mercado postal generó, a diciembre de 2021, ingresos del orden de los $2,3 billones, presentando una tasa de crecimiento significativa entre 2017 y 2021 del orden del 7,36%, explicada fundamentalmente en el crecimiento histórico de los giros postales,</w:t>
      </w:r>
      <w:r>
        <w:t xml:space="preserve"> el aumento de envíos</w:t>
      </w:r>
      <w:r w:rsidRPr="005503B4">
        <w:t xml:space="preserve"> de paquetes de menor tamaño y aquellos</w:t>
      </w:r>
      <w:r>
        <w:t xml:space="preserve"> paquetes</w:t>
      </w:r>
      <w:r w:rsidRPr="005503B4">
        <w:t xml:space="preserve"> entre 2 y 5 kilo</w:t>
      </w:r>
      <w:r w:rsidR="00EA4784">
        <w:t>gramo</w:t>
      </w:r>
      <w:r w:rsidRPr="005503B4">
        <w:t xml:space="preserve">s de mensajería expresa, </w:t>
      </w:r>
      <w:r>
        <w:t>situación que</w:t>
      </w:r>
      <w:r w:rsidRPr="005503B4">
        <w:t xml:space="preserve">  compens</w:t>
      </w:r>
      <w:r>
        <w:t>ó</w:t>
      </w:r>
      <w:r w:rsidRPr="005503B4">
        <w:t xml:space="preserve"> el  declive </w:t>
      </w:r>
      <w:r>
        <w:t>de</w:t>
      </w:r>
      <w:r w:rsidRPr="005503B4">
        <w:t xml:space="preserve"> los productos expresos de mensajería masiva, el lento crecimiento de</w:t>
      </w:r>
      <w:r>
        <w:t xml:space="preserve"> envío</w:t>
      </w:r>
      <w:r w:rsidR="00FD5798">
        <w:t>s</w:t>
      </w:r>
      <w:r>
        <w:t xml:space="preserve"> </w:t>
      </w:r>
      <w:r w:rsidRPr="005503B4">
        <w:t xml:space="preserve">individuales de mensajería expresa </w:t>
      </w:r>
      <w:r w:rsidR="00FD5798">
        <w:t>con peso inferior a los 2 kilogramos</w:t>
      </w:r>
      <w:r w:rsidR="00826864">
        <w:t xml:space="preserve"> </w:t>
      </w:r>
      <w:r w:rsidRPr="005503B4">
        <w:t>y la caída en los productos de correo</w:t>
      </w:r>
      <w:r>
        <w:t>.</w:t>
      </w:r>
    </w:p>
    <w:p w14:paraId="52A475FF" w14:textId="260BA014" w:rsidR="00D1483B" w:rsidRPr="00D1483B" w:rsidRDefault="00D1483B" w:rsidP="00F262C2">
      <w:r w:rsidRPr="005503B4">
        <w:rPr>
          <w:lang w:val="es-CO" w:eastAsia="es-ES"/>
        </w:rPr>
        <w:t xml:space="preserve">Como se puede apreciar en la </w:t>
      </w:r>
      <w:r w:rsidR="001110FB">
        <w:rPr>
          <w:lang w:val="es-CO" w:eastAsia="es-ES"/>
        </w:rPr>
        <w:fldChar w:fldCharType="begin"/>
      </w:r>
      <w:r w:rsidR="001110FB">
        <w:rPr>
          <w:lang w:val="es-CO" w:eastAsia="es-ES"/>
        </w:rPr>
        <w:instrText xml:space="preserve"> REF _Ref103978591 \h </w:instrText>
      </w:r>
      <w:r w:rsidR="001110FB">
        <w:rPr>
          <w:lang w:val="es-CO" w:eastAsia="es-ES"/>
        </w:rPr>
      </w:r>
      <w:r w:rsidR="001110FB">
        <w:rPr>
          <w:lang w:val="es-CO" w:eastAsia="es-ES"/>
        </w:rPr>
        <w:fldChar w:fldCharType="separate"/>
      </w:r>
      <w:r w:rsidR="00C57FCA" w:rsidRPr="005503B4">
        <w:t xml:space="preserve">Gráfica </w:t>
      </w:r>
      <w:r w:rsidR="00C57FCA">
        <w:rPr>
          <w:noProof/>
        </w:rPr>
        <w:t>2</w:t>
      </w:r>
      <w:r w:rsidR="00C57FCA" w:rsidRPr="005503B4">
        <w:noBreakHyphen/>
      </w:r>
      <w:r w:rsidR="00C57FCA">
        <w:rPr>
          <w:noProof/>
        </w:rPr>
        <w:t>2</w:t>
      </w:r>
      <w:r w:rsidR="001110FB">
        <w:rPr>
          <w:lang w:val="es-CO" w:eastAsia="es-ES"/>
        </w:rPr>
        <w:fldChar w:fldCharType="end"/>
      </w:r>
      <w:r w:rsidR="001110FB">
        <w:rPr>
          <w:lang w:val="es-CO" w:eastAsia="es-ES"/>
        </w:rPr>
        <w:t xml:space="preserve"> </w:t>
      </w:r>
      <w:r w:rsidRPr="005503B4">
        <w:rPr>
          <w:lang w:val="es-CO" w:eastAsia="es-ES"/>
        </w:rPr>
        <w:t>que se presenta a continuación, el mercado de mayor tamaño en la estructura de</w:t>
      </w:r>
      <w:r>
        <w:rPr>
          <w:lang w:val="es-CO" w:eastAsia="es-ES"/>
        </w:rPr>
        <w:t>l sector</w:t>
      </w:r>
      <w:r w:rsidRPr="005503B4">
        <w:rPr>
          <w:lang w:val="es-CO" w:eastAsia="es-ES"/>
        </w:rPr>
        <w:t xml:space="preserve"> postal, lo constituye el conformado por los operadores de mensajería expresa, que generaron, en su conjunto ingresos del orden de los $1,</w:t>
      </w:r>
      <w:r w:rsidR="00D02918">
        <w:rPr>
          <w:lang w:val="es-CO" w:eastAsia="es-ES"/>
        </w:rPr>
        <w:t>5</w:t>
      </w:r>
      <w:r w:rsidRPr="005503B4">
        <w:rPr>
          <w:lang w:val="es-CO" w:eastAsia="es-ES"/>
        </w:rPr>
        <w:t xml:space="preserve"> </w:t>
      </w:r>
      <w:r>
        <w:rPr>
          <w:lang w:val="es-CO" w:eastAsia="es-ES"/>
        </w:rPr>
        <w:t xml:space="preserve">durante la vigencia </w:t>
      </w:r>
      <w:r w:rsidRPr="005503B4">
        <w:rPr>
          <w:lang w:val="es-CO" w:eastAsia="es-ES"/>
        </w:rPr>
        <w:t xml:space="preserve">2021, representando </w:t>
      </w:r>
      <w:r w:rsidRPr="005503B4">
        <w:rPr>
          <w:lang w:val="es-CO" w:eastAsia="es-ES"/>
        </w:rPr>
        <w:lastRenderedPageBreak/>
        <w:t>cerca del 64% de los ingresos totales de</w:t>
      </w:r>
      <w:r>
        <w:rPr>
          <w:lang w:val="es-CO" w:eastAsia="es-ES"/>
        </w:rPr>
        <w:t>l sector</w:t>
      </w:r>
      <w:r w:rsidR="00D02918">
        <w:rPr>
          <w:lang w:val="es-CO" w:eastAsia="es-ES"/>
        </w:rPr>
        <w:t xml:space="preserve"> y con 273,7 millones de envíos movilizados en el año, según el Boletín Postal del MinTIC del cuarto trimestre del año</w:t>
      </w:r>
      <w:r>
        <w:rPr>
          <w:lang w:val="es-CO" w:eastAsia="es-ES"/>
        </w:rPr>
        <w:t>.</w:t>
      </w:r>
      <w:r w:rsidRPr="005503B4">
        <w:rPr>
          <w:lang w:val="es-CO" w:eastAsia="es-ES"/>
        </w:rPr>
        <w:t xml:space="preserve"> </w:t>
      </w:r>
    </w:p>
    <w:p w14:paraId="7C4F2935" w14:textId="4356B08E" w:rsidR="00F262C2" w:rsidRPr="005503B4" w:rsidRDefault="00F262C2" w:rsidP="00F262C2">
      <w:pPr>
        <w:pStyle w:val="TITcuadro"/>
        <w:rPr>
          <w:sz w:val="18"/>
        </w:rPr>
      </w:pPr>
      <w:bookmarkStart w:id="57" w:name="_Ref100951674"/>
      <w:bookmarkStart w:id="58" w:name="_Toc104228709"/>
      <w:r w:rsidRPr="005503B4">
        <w:t xml:space="preserve">Gráfica </w:t>
      </w:r>
      <w:r w:rsidRPr="005503B4">
        <w:fldChar w:fldCharType="begin"/>
      </w:r>
      <w:r w:rsidRPr="005503B4">
        <w:instrText>STYLEREF 1 \s</w:instrText>
      </w:r>
      <w:r w:rsidRPr="005503B4">
        <w:fldChar w:fldCharType="separate"/>
      </w:r>
      <w:r w:rsidR="00C57FCA">
        <w:rPr>
          <w:noProof/>
        </w:rPr>
        <w:t>2</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1</w:t>
      </w:r>
      <w:r w:rsidRPr="005503B4">
        <w:fldChar w:fldCharType="end"/>
      </w:r>
      <w:bookmarkEnd w:id="57"/>
      <w:r w:rsidRPr="005503B4">
        <w:t xml:space="preserve"> - Ingresos reales del mercado postal</w:t>
      </w:r>
      <w:r w:rsidRPr="005503B4">
        <w:rPr>
          <w:vertAlign w:val="superscript"/>
        </w:rPr>
        <w:t>1</w:t>
      </w:r>
      <w:r w:rsidRPr="005503B4">
        <w:t xml:space="preserve"> </w:t>
      </w:r>
      <w:r w:rsidR="005003F7">
        <w:t>(</w:t>
      </w:r>
      <w:r w:rsidRPr="005503B4">
        <w:t xml:space="preserve">Millones de </w:t>
      </w:r>
      <w:r w:rsidR="002D3349">
        <w:t>pesos</w:t>
      </w:r>
      <w:r w:rsidRPr="005503B4">
        <w:t xml:space="preserve"> reales </w:t>
      </w:r>
      <w:r w:rsidR="005003F7">
        <w:t>de 2021)</w:t>
      </w:r>
      <w:bookmarkEnd w:id="58"/>
    </w:p>
    <w:p w14:paraId="03ECC514" w14:textId="77777777" w:rsidR="00F262C2" w:rsidRPr="005503B4" w:rsidRDefault="00F262C2" w:rsidP="00F262C2">
      <w:pPr>
        <w:pStyle w:val="Grfica"/>
        <w:rPr>
          <w:sz w:val="18"/>
        </w:rPr>
      </w:pPr>
      <w:r w:rsidRPr="005503B4">
        <w:rPr>
          <w:noProof/>
          <w:lang w:eastAsia="es-CO"/>
        </w:rPr>
        <w:drawing>
          <wp:inline distT="0" distB="0" distL="0" distR="0" wp14:anchorId="5547AA1F" wp14:editId="3DEDAEA3">
            <wp:extent cx="5849620" cy="2914650"/>
            <wp:effectExtent l="0" t="0" r="17780" b="0"/>
            <wp:docPr id="3" name="Gráfico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513641" w14:textId="77777777" w:rsidR="00F262C2" w:rsidRPr="005503B4" w:rsidRDefault="00F262C2" w:rsidP="00F262C2">
      <w:pPr>
        <w:pStyle w:val="FuentedeGrfica"/>
        <w:jc w:val="left"/>
      </w:pPr>
      <w:r w:rsidRPr="005503B4">
        <w:t>FUENTE: MinTIC. Boletín Postal al cuarto trimestre del 2021 para los datos de mensajería expresa y servicios postales de pago. Estados financieros de SPN para la información de correo. Banco de la República (IPC) para el deflactor de los ingresos postales.</w:t>
      </w:r>
    </w:p>
    <w:p w14:paraId="20E58EBD" w14:textId="77777777" w:rsidR="00F262C2" w:rsidRPr="005503B4" w:rsidRDefault="00F262C2" w:rsidP="00F262C2">
      <w:pPr>
        <w:rPr>
          <w:lang w:val="es-CO" w:eastAsia="es-ES"/>
        </w:rPr>
      </w:pPr>
      <w:r w:rsidRPr="005503B4">
        <w:rPr>
          <w:lang w:val="es-CO" w:eastAsia="es-ES"/>
        </w:rPr>
        <w:t>Dentro de un número plural elevado de actores, de 183 empresas que reportaron al Ministerio, se destacan en el mercado siete por su tamaño y generación de ingresos: Servientrega, Envía (</w:t>
      </w:r>
      <w:proofErr w:type="spellStart"/>
      <w:r w:rsidRPr="005503B4">
        <w:rPr>
          <w:lang w:val="es-CO" w:eastAsia="es-ES"/>
        </w:rPr>
        <w:t>Colvanes</w:t>
      </w:r>
      <w:proofErr w:type="spellEnd"/>
      <w:r w:rsidRPr="005503B4">
        <w:rPr>
          <w:lang w:val="es-CO" w:eastAsia="es-ES"/>
        </w:rPr>
        <w:t>), DHL (especialmente en el segmento internacional), Inter Rapidísimo, Coordinadora Mercantil, UPS Servicios Expresos y Deprisa.</w:t>
      </w:r>
    </w:p>
    <w:p w14:paraId="21A199D1" w14:textId="22FB7FE8" w:rsidR="00F262C2" w:rsidRPr="005503B4" w:rsidRDefault="00F262C2" w:rsidP="00F262C2">
      <w:pPr>
        <w:rPr>
          <w:lang w:val="es-CO" w:eastAsia="es-ES"/>
        </w:rPr>
      </w:pPr>
      <w:r w:rsidRPr="005503B4">
        <w:rPr>
          <w:lang w:val="es-CO" w:eastAsia="es-ES"/>
        </w:rPr>
        <w:t>El segundo segmento de</w:t>
      </w:r>
      <w:r>
        <w:rPr>
          <w:lang w:val="es-CO" w:eastAsia="es-ES"/>
        </w:rPr>
        <w:t>l sector</w:t>
      </w:r>
      <w:r w:rsidRPr="005503B4">
        <w:rPr>
          <w:lang w:val="es-CO" w:eastAsia="es-ES"/>
        </w:rPr>
        <w:t xml:space="preserve"> lo constituye el de giros postales, nacionales e internacionales de efectivo, que generó ingresos</w:t>
      </w:r>
      <w:r>
        <w:rPr>
          <w:lang w:val="es-CO" w:eastAsia="es-ES"/>
        </w:rPr>
        <w:t xml:space="preserve"> </w:t>
      </w:r>
      <w:r w:rsidRPr="005503B4">
        <w:rPr>
          <w:lang w:val="es-CO" w:eastAsia="es-ES"/>
        </w:rPr>
        <w:t xml:space="preserve">del orden de los $718,4 mil millones </w:t>
      </w:r>
      <w:r>
        <w:rPr>
          <w:lang w:val="es-CO" w:eastAsia="es-ES"/>
        </w:rPr>
        <w:t>durante el año</w:t>
      </w:r>
      <w:r w:rsidRPr="005503B4">
        <w:rPr>
          <w:lang w:val="es-CO" w:eastAsia="es-ES"/>
        </w:rPr>
        <w:t xml:space="preserve"> 2021 </w:t>
      </w:r>
      <w:r>
        <w:rPr>
          <w:lang w:val="es-CO" w:eastAsia="es-ES"/>
        </w:rPr>
        <w:t>para</w:t>
      </w:r>
      <w:r w:rsidRPr="005503B4">
        <w:rPr>
          <w:lang w:val="es-CO" w:eastAsia="es-ES"/>
        </w:rPr>
        <w:t xml:space="preserve"> los actores del mercado, los cuales representan el 31,5% de los ingresos del mercado; el total de montos movilizados por la red alcanzó la suma de $22 billones anuales. El mercado se encentraba conformado por cinco actores: Efecty, </w:t>
      </w:r>
      <w:proofErr w:type="spellStart"/>
      <w:r w:rsidRPr="005503B4">
        <w:rPr>
          <w:lang w:val="es-CO" w:eastAsia="es-ES"/>
        </w:rPr>
        <w:t>Supergiros</w:t>
      </w:r>
      <w:proofErr w:type="spellEnd"/>
      <w:r w:rsidRPr="005503B4">
        <w:rPr>
          <w:lang w:val="es-CO" w:eastAsia="es-ES"/>
        </w:rPr>
        <w:t>, Matrix (</w:t>
      </w:r>
      <w:proofErr w:type="spellStart"/>
      <w:r w:rsidRPr="005503B4">
        <w:rPr>
          <w:lang w:val="es-CO" w:eastAsia="es-ES"/>
        </w:rPr>
        <w:t>Sured</w:t>
      </w:r>
      <w:proofErr w:type="spellEnd"/>
      <w:r w:rsidRPr="005503B4">
        <w:rPr>
          <w:lang w:val="es-CO" w:eastAsia="es-ES"/>
        </w:rPr>
        <w:t xml:space="preserve">), </w:t>
      </w:r>
      <w:proofErr w:type="spellStart"/>
      <w:r w:rsidRPr="005503B4">
        <w:rPr>
          <w:lang w:val="es-CO" w:eastAsia="es-ES"/>
        </w:rPr>
        <w:t>Moviired</w:t>
      </w:r>
      <w:proofErr w:type="spellEnd"/>
      <w:r w:rsidRPr="005503B4">
        <w:rPr>
          <w:lang w:val="es-CO" w:eastAsia="es-ES"/>
        </w:rPr>
        <w:t xml:space="preserve"> y SPN.</w:t>
      </w:r>
    </w:p>
    <w:p w14:paraId="4F96A065" w14:textId="77777777" w:rsidR="00F262C2" w:rsidRDefault="00F262C2" w:rsidP="00F262C2">
      <w:pPr>
        <w:rPr>
          <w:lang w:val="es-CO" w:eastAsia="es-ES"/>
        </w:rPr>
      </w:pPr>
      <w:r w:rsidRPr="005503B4">
        <w:rPr>
          <w:lang w:val="es-CO" w:eastAsia="es-ES"/>
        </w:rPr>
        <w:t>Finalmente, el tercer segmento</w:t>
      </w:r>
      <w:r>
        <w:rPr>
          <w:lang w:val="es-CO" w:eastAsia="es-ES"/>
        </w:rPr>
        <w:t xml:space="preserve"> presente </w:t>
      </w:r>
      <w:r w:rsidRPr="005503B4">
        <w:rPr>
          <w:lang w:val="es-CO" w:eastAsia="es-ES"/>
        </w:rPr>
        <w:t xml:space="preserve">es el mercado del servicio de correo que presta </w:t>
      </w:r>
      <w:r>
        <w:rPr>
          <w:lang w:val="es-CO" w:eastAsia="es-ES"/>
        </w:rPr>
        <w:t xml:space="preserve">de manera exclusiva, </w:t>
      </w:r>
      <w:r w:rsidRPr="005503B4">
        <w:rPr>
          <w:lang w:val="es-CO" w:eastAsia="es-ES"/>
        </w:rPr>
        <w:t>Servicios Postales Nacionales S.A.S. - SPN, representa</w:t>
      </w:r>
      <w:r>
        <w:rPr>
          <w:lang w:val="es-CO" w:eastAsia="es-ES"/>
        </w:rPr>
        <w:t>ndo</w:t>
      </w:r>
      <w:r w:rsidRPr="005503B4">
        <w:rPr>
          <w:lang w:val="es-CO" w:eastAsia="es-ES"/>
        </w:rPr>
        <w:t xml:space="preserve"> el 4,9% de los ingresos del mercado </w:t>
      </w:r>
      <w:r w:rsidRPr="005503B4">
        <w:rPr>
          <w:lang w:val="es-CO" w:eastAsia="es-ES"/>
        </w:rPr>
        <w:lastRenderedPageBreak/>
        <w:t>postal en Colombia</w:t>
      </w:r>
      <w:r>
        <w:rPr>
          <w:lang w:val="es-CO" w:eastAsia="es-ES"/>
        </w:rPr>
        <w:t xml:space="preserve">, aquí es </w:t>
      </w:r>
      <w:r w:rsidRPr="005503B4">
        <w:rPr>
          <w:lang w:val="es-CO" w:eastAsia="es-ES"/>
        </w:rPr>
        <w:t>conveniente mencionar que SPN</w:t>
      </w:r>
      <w:r>
        <w:rPr>
          <w:lang w:val="es-CO" w:eastAsia="es-ES"/>
        </w:rPr>
        <w:t>,</w:t>
      </w:r>
      <w:r w:rsidRPr="005503B4">
        <w:rPr>
          <w:lang w:val="es-CO" w:eastAsia="es-ES"/>
        </w:rPr>
        <w:t xml:space="preserve"> tuvo </w:t>
      </w:r>
      <w:r>
        <w:rPr>
          <w:lang w:val="es-CO" w:eastAsia="es-ES"/>
        </w:rPr>
        <w:t xml:space="preserve">hasta el año 2014 la exclusividad para prestar el servicio de </w:t>
      </w:r>
      <w:r w:rsidRPr="005503B4">
        <w:rPr>
          <w:lang w:val="es-CO" w:eastAsia="es-ES"/>
        </w:rPr>
        <w:t>giros postales nacionales e internacionales</w:t>
      </w:r>
      <w:r>
        <w:rPr>
          <w:lang w:val="es-CO" w:eastAsia="es-ES"/>
        </w:rPr>
        <w:t>.</w:t>
      </w:r>
      <w:r w:rsidRPr="005503B4">
        <w:rPr>
          <w:lang w:val="es-CO" w:eastAsia="es-ES"/>
        </w:rPr>
        <w:t xml:space="preserve"> </w:t>
      </w:r>
    </w:p>
    <w:p w14:paraId="609428BE" w14:textId="63DA9C9B" w:rsidR="00F262C2" w:rsidRPr="005503B4" w:rsidRDefault="00F262C2" w:rsidP="00F262C2">
      <w:pPr>
        <w:pStyle w:val="TITcuadro"/>
      </w:pPr>
      <w:bookmarkStart w:id="59" w:name="_Ref103978591"/>
      <w:bookmarkStart w:id="60" w:name="_Toc104228710"/>
      <w:r w:rsidRPr="005503B4">
        <w:t xml:space="preserve">Gráfica </w:t>
      </w:r>
      <w:r w:rsidRPr="005503B4">
        <w:fldChar w:fldCharType="begin"/>
      </w:r>
      <w:r w:rsidRPr="005503B4">
        <w:instrText>STYLEREF 1 \s</w:instrText>
      </w:r>
      <w:r w:rsidRPr="005503B4">
        <w:fldChar w:fldCharType="separate"/>
      </w:r>
      <w:r w:rsidR="00C57FCA">
        <w:rPr>
          <w:noProof/>
        </w:rPr>
        <w:t>2</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2</w:t>
      </w:r>
      <w:r w:rsidRPr="005503B4">
        <w:fldChar w:fldCharType="end"/>
      </w:r>
      <w:bookmarkEnd w:id="59"/>
      <w:r w:rsidRPr="005503B4">
        <w:t xml:space="preserve"> - Estructura de los ingresos del mercado postal - 2021</w:t>
      </w:r>
      <w:bookmarkEnd w:id="60"/>
    </w:p>
    <w:p w14:paraId="2EEBEA00" w14:textId="77777777" w:rsidR="00F262C2" w:rsidRPr="005503B4" w:rsidRDefault="00F262C2" w:rsidP="00F262C2">
      <w:pPr>
        <w:pStyle w:val="Grfica"/>
      </w:pPr>
      <w:r w:rsidRPr="005503B4">
        <w:rPr>
          <w:noProof/>
          <w:lang w:eastAsia="es-CO"/>
        </w:rPr>
        <w:drawing>
          <wp:inline distT="0" distB="0" distL="0" distR="0" wp14:anchorId="409E6AFE" wp14:editId="62516A65">
            <wp:extent cx="3684895" cy="2258704"/>
            <wp:effectExtent l="0" t="0" r="11430" b="8255"/>
            <wp:docPr id="26" name="Gráfico 26">
              <a:extLst xmlns:a="http://schemas.openxmlformats.org/drawingml/2006/main">
                <a:ext uri="{FF2B5EF4-FFF2-40B4-BE49-F238E27FC236}">
                  <a16:creationId xmlns:a16="http://schemas.microsoft.com/office/drawing/2014/main" id="{6F606EE8-9C8D-4780-B816-6696217E9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7CC7D6" w14:textId="77777777" w:rsidR="00F262C2" w:rsidRPr="005503B4" w:rsidRDefault="00F262C2" w:rsidP="00F262C2">
      <w:pPr>
        <w:pStyle w:val="FuentedeGrfica"/>
        <w:ind w:left="851" w:right="281" w:hanging="709"/>
      </w:pPr>
      <w:r w:rsidRPr="005503B4">
        <w:t>FUENTE: MinTIC. Boletín Postal. Cuarto trimestre del 2021 para los datos de mensajería expresa y giros postales. Estados financieros de SPN para la información de correo. Banco de la República (IPC) para el deflactor de los ingresos postales</w:t>
      </w:r>
    </w:p>
    <w:p w14:paraId="6D0B1B4E" w14:textId="77777777" w:rsidR="00F262C2" w:rsidRPr="00A22E6B" w:rsidRDefault="00F262C2" w:rsidP="00F262C2">
      <w:pPr>
        <w:pStyle w:val="Ttulo2"/>
        <w:rPr>
          <w:b/>
          <w:bCs/>
        </w:rPr>
      </w:pPr>
      <w:bookmarkStart w:id="61" w:name="_Ref102393145"/>
      <w:bookmarkStart w:id="62" w:name="_Toc102393254"/>
      <w:bookmarkStart w:id="63" w:name="_Toc104272111"/>
      <w:r>
        <w:rPr>
          <w:b/>
          <w:bCs/>
        </w:rPr>
        <w:t>E</w:t>
      </w:r>
      <w:r w:rsidRPr="00A22E6B">
        <w:rPr>
          <w:b/>
          <w:bCs/>
        </w:rPr>
        <w:t>l mercado postal en Colombia: Segmentos del mercado.</w:t>
      </w:r>
      <w:bookmarkEnd w:id="61"/>
      <w:bookmarkEnd w:id="62"/>
      <w:bookmarkEnd w:id="63"/>
    </w:p>
    <w:p w14:paraId="5E2372E0" w14:textId="77777777" w:rsidR="00F262C2" w:rsidRPr="005503B4" w:rsidRDefault="00F262C2" w:rsidP="00F262C2">
      <w:pPr>
        <w:pStyle w:val="Ttulo3"/>
      </w:pPr>
      <w:bookmarkStart w:id="64" w:name="_Ref100959714"/>
      <w:bookmarkStart w:id="65" w:name="_Ref100959715"/>
      <w:bookmarkStart w:id="66" w:name="_Toc102393255"/>
      <w:bookmarkStart w:id="67" w:name="_Toc104272112"/>
      <w:r w:rsidRPr="005503B4">
        <w:t>Tamaño y estructura del mercado de envíos de objetos postales.</w:t>
      </w:r>
      <w:bookmarkEnd w:id="64"/>
      <w:bookmarkEnd w:id="65"/>
      <w:bookmarkEnd w:id="66"/>
      <w:bookmarkEnd w:id="67"/>
    </w:p>
    <w:p w14:paraId="10FAD8D0" w14:textId="08975CDF" w:rsidR="00F262C2" w:rsidRPr="005503B4" w:rsidRDefault="00F262C2" w:rsidP="00F262C2">
      <w:r>
        <w:t>Como se observó en el punto anterior, el</w:t>
      </w:r>
      <w:r w:rsidRPr="005503B4">
        <w:t xml:space="preserve"> mercado de servicios de envío de objetos postales, sumó al finalizar el año 2021 cerca de $1,6 billones, representando el 68% del total de ingresos del mercado postal colombiano (véase a este respecto la </w:t>
      </w:r>
      <w:r w:rsidRPr="005503B4">
        <w:fldChar w:fldCharType="begin"/>
      </w:r>
      <w:r w:rsidRPr="005503B4">
        <w:instrText xml:space="preserve"> REF _Ref100951674 \h </w:instrText>
      </w:r>
      <w:r>
        <w:instrText xml:space="preserve"> \* MERGEFORMAT </w:instrText>
      </w:r>
      <w:r w:rsidRPr="005503B4">
        <w:fldChar w:fldCharType="separate"/>
      </w:r>
      <w:r w:rsidR="00C57FCA" w:rsidRPr="005503B4">
        <w:t xml:space="preserve">Gráfica </w:t>
      </w:r>
      <w:r w:rsidR="00C57FCA">
        <w:rPr>
          <w:noProof/>
        </w:rPr>
        <w:t>2</w:t>
      </w:r>
      <w:r w:rsidR="00C57FCA" w:rsidRPr="005503B4">
        <w:rPr>
          <w:noProof/>
        </w:rPr>
        <w:noBreakHyphen/>
      </w:r>
      <w:r w:rsidR="00C57FCA">
        <w:rPr>
          <w:noProof/>
        </w:rPr>
        <w:t>1</w:t>
      </w:r>
      <w:r w:rsidRPr="005503B4">
        <w:fldChar w:fldCharType="end"/>
      </w:r>
      <w:r w:rsidRPr="005503B4">
        <w:t xml:space="preserve"> anterior y la </w:t>
      </w:r>
      <w:r w:rsidRPr="005503B4">
        <w:fldChar w:fldCharType="begin"/>
      </w:r>
      <w:r w:rsidRPr="005503B4">
        <w:instrText xml:space="preserve"> REF _Ref100957033 \h </w:instrText>
      </w:r>
      <w:r>
        <w:instrText xml:space="preserve"> \* MERGEFORMAT </w:instrText>
      </w:r>
      <w:r w:rsidRPr="005503B4">
        <w:fldChar w:fldCharType="separate"/>
      </w:r>
      <w:r w:rsidR="00C57FCA" w:rsidRPr="005503B4">
        <w:t xml:space="preserve">Gráfica </w:t>
      </w:r>
      <w:r w:rsidR="00C57FCA">
        <w:rPr>
          <w:noProof/>
        </w:rPr>
        <w:t>2</w:t>
      </w:r>
      <w:r w:rsidR="00C57FCA" w:rsidRPr="005503B4">
        <w:rPr>
          <w:noProof/>
        </w:rPr>
        <w:noBreakHyphen/>
      </w:r>
      <w:r w:rsidR="00C57FCA">
        <w:rPr>
          <w:noProof/>
        </w:rPr>
        <w:t>3</w:t>
      </w:r>
      <w:r w:rsidRPr="005503B4">
        <w:fldChar w:fldCharType="end"/>
      </w:r>
      <w:r w:rsidRPr="005503B4">
        <w:t xml:space="preserve"> que se presenta a continuación), habiendo crecido a tasas reales anuales promedio del 1,7% en el período comprendido entre  2014 y 2021.</w:t>
      </w:r>
    </w:p>
    <w:p w14:paraId="159BA614" w14:textId="3A9CE2FE" w:rsidR="008814DC" w:rsidRDefault="00887954" w:rsidP="00887954">
      <w:pPr>
        <w:pStyle w:val="Ttulo4"/>
      </w:pPr>
      <w:bookmarkStart w:id="68" w:name="_Toc104272113"/>
      <w:r>
        <w:t>Envíos masivos postales de correo y de mensajería expresa</w:t>
      </w:r>
      <w:bookmarkEnd w:id="68"/>
    </w:p>
    <w:p w14:paraId="025C6A73" w14:textId="6D5F1170" w:rsidR="00F262C2" w:rsidRPr="005503B4" w:rsidRDefault="00F262C2" w:rsidP="00F262C2">
      <w:r w:rsidRPr="005503B4">
        <w:t xml:space="preserve">Pese a </w:t>
      </w:r>
      <w:r>
        <w:t>este crecimiento</w:t>
      </w:r>
      <w:r w:rsidRPr="005503B4">
        <w:t xml:space="preserve"> al interior de la estructura del mercado de envíos de objetos postales</w:t>
      </w:r>
      <w:r>
        <w:t xml:space="preserve"> (correo y mensajería expresa)</w:t>
      </w:r>
      <w:r w:rsidRPr="005503B4">
        <w:t xml:space="preserve"> </w:t>
      </w:r>
      <w:r>
        <w:t xml:space="preserve">las mismas </w:t>
      </w:r>
      <w:r w:rsidRPr="005503B4">
        <w:t xml:space="preserve">no se reflejan dentro de los componentes del mercado. De un lado, como se puede apreciar en la </w:t>
      </w:r>
      <w:r w:rsidRPr="005503B4">
        <w:fldChar w:fldCharType="begin"/>
      </w:r>
      <w:r w:rsidRPr="005503B4">
        <w:instrText xml:space="preserve"> REF _Ref100958505 \h </w:instrText>
      </w:r>
      <w:r>
        <w:instrText xml:space="preserve"> \* MERGEFORMAT </w:instrText>
      </w:r>
      <w:r w:rsidRPr="005503B4">
        <w:fldChar w:fldCharType="separate"/>
      </w:r>
      <w:r w:rsidR="00C57FCA" w:rsidRPr="005503B4">
        <w:t xml:space="preserve">Gráfica </w:t>
      </w:r>
      <w:r w:rsidR="00C57FCA">
        <w:rPr>
          <w:noProof/>
        </w:rPr>
        <w:t>2</w:t>
      </w:r>
      <w:r w:rsidR="00C57FCA" w:rsidRPr="005503B4">
        <w:rPr>
          <w:noProof/>
        </w:rPr>
        <w:noBreakHyphen/>
      </w:r>
      <w:r w:rsidR="00C57FCA">
        <w:rPr>
          <w:noProof/>
        </w:rPr>
        <w:t>4</w:t>
      </w:r>
      <w:r w:rsidRPr="005503B4">
        <w:fldChar w:fldCharType="end"/>
      </w:r>
      <w:r w:rsidRPr="005503B4">
        <w:t>, mientras que en el año 2014, los productos masivos, el primer componente del mercado, representaban el 31% del mercado total, con ingresos reales a pesos del 2021 del orden de los $430,6 mil millones, en el 2021 los envíos masivos representaban el 13,9%, con ingresos de $218 mil millones,</w:t>
      </w:r>
      <w:r>
        <w:t xml:space="preserve"> lo que refleja una</w:t>
      </w:r>
      <w:r w:rsidRPr="005503B4">
        <w:t xml:space="preserve"> disminución en términos reales, del 9,7% anual, presentando una </w:t>
      </w:r>
      <w:r w:rsidRPr="005503B4">
        <w:lastRenderedPageBreak/>
        <w:t>caída del orden del 17,1% en su importancia relativa en este segmento del mercado. (Recuérdese que la información expresada en términos monetarios se presenta en pesos constantes de diciembre de 2021).</w:t>
      </w:r>
    </w:p>
    <w:p w14:paraId="2E6C6AD0" w14:textId="02120C78" w:rsidR="00F262C2" w:rsidRPr="005503B4" w:rsidRDefault="00F262C2" w:rsidP="00F262C2">
      <w:pPr>
        <w:pStyle w:val="TITcuadro"/>
        <w:rPr>
          <w:sz w:val="16"/>
          <w:szCs w:val="16"/>
        </w:rPr>
      </w:pPr>
      <w:bookmarkStart w:id="69" w:name="_Ref100957033"/>
      <w:bookmarkStart w:id="70" w:name="_Toc104228711"/>
      <w:r w:rsidRPr="005503B4">
        <w:t xml:space="preserve">Gráfica </w:t>
      </w:r>
      <w:r w:rsidRPr="005503B4">
        <w:fldChar w:fldCharType="begin"/>
      </w:r>
      <w:r w:rsidRPr="005503B4">
        <w:instrText>STYLEREF 1 \s</w:instrText>
      </w:r>
      <w:r w:rsidRPr="005503B4">
        <w:fldChar w:fldCharType="separate"/>
      </w:r>
      <w:r w:rsidR="00C57FCA">
        <w:rPr>
          <w:noProof/>
        </w:rPr>
        <w:t>2</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3</w:t>
      </w:r>
      <w:r w:rsidRPr="005503B4">
        <w:fldChar w:fldCharType="end"/>
      </w:r>
      <w:bookmarkEnd w:id="69"/>
      <w:r w:rsidRPr="005503B4">
        <w:t xml:space="preserve"> – El Mercado de servicios de objetos postales: Ingresos masivos e individuales (</w:t>
      </w:r>
      <w:r w:rsidR="005003F7">
        <w:rPr>
          <w:sz w:val="18"/>
        </w:rPr>
        <w:t>Millones de</w:t>
      </w:r>
      <w:r w:rsidRPr="005503B4">
        <w:rPr>
          <w:sz w:val="18"/>
        </w:rPr>
        <w:t xml:space="preserve"> </w:t>
      </w:r>
      <w:r w:rsidR="002D3349">
        <w:rPr>
          <w:sz w:val="18"/>
        </w:rPr>
        <w:t>pesos</w:t>
      </w:r>
      <w:r w:rsidRPr="005503B4">
        <w:rPr>
          <w:sz w:val="18"/>
        </w:rPr>
        <w:t xml:space="preserve"> reales de 2021)</w:t>
      </w:r>
      <w:bookmarkEnd w:id="70"/>
    </w:p>
    <w:p w14:paraId="104A676A" w14:textId="77777777" w:rsidR="00F262C2" w:rsidRPr="005503B4" w:rsidRDefault="00F262C2" w:rsidP="00F262C2">
      <w:pPr>
        <w:pStyle w:val="Grfica"/>
      </w:pPr>
      <w:r w:rsidRPr="005503B4">
        <w:rPr>
          <w:noProof/>
          <w:lang w:eastAsia="es-CO"/>
        </w:rPr>
        <w:drawing>
          <wp:inline distT="0" distB="0" distL="0" distR="0" wp14:anchorId="50F27196" wp14:editId="686B93F5">
            <wp:extent cx="5849620" cy="2354400"/>
            <wp:effectExtent l="0" t="0" r="17780" b="8255"/>
            <wp:docPr id="40" name="Gráfico 40">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6DFA51" w14:textId="4581B937" w:rsidR="00F262C2" w:rsidRDefault="00F262C2" w:rsidP="00F262C2">
      <w:pPr>
        <w:pStyle w:val="FuentedeGrfica"/>
        <w:ind w:right="-144"/>
      </w:pPr>
      <w:r w:rsidRPr="005503B4">
        <w:t>FUENTE: MinTIC. Boletín Postal. Cuarto trimestre del 2021 para los datos de mensajería expresa y giros postales. Estados financieros de SPN para la información de correo. Banco de la República (IPC) para el deflactor de los ingresos postales</w:t>
      </w:r>
    </w:p>
    <w:p w14:paraId="638F3361" w14:textId="77777777" w:rsidR="00384795" w:rsidRPr="005503B4" w:rsidRDefault="00384795" w:rsidP="00384795">
      <w:pPr>
        <w:pStyle w:val="Ttulo4"/>
      </w:pPr>
      <w:bookmarkStart w:id="71" w:name="_Ref102393126"/>
      <w:bookmarkStart w:id="72" w:name="_Toc104272114"/>
      <w:r w:rsidRPr="00995013">
        <w:rPr>
          <w:b/>
          <w:bCs/>
        </w:rPr>
        <w:t xml:space="preserve">El mercado de envíos individuales: Envíos de mensajería expresa </w:t>
      </w:r>
      <w:r>
        <w:rPr>
          <w:b/>
          <w:bCs/>
        </w:rPr>
        <w:t xml:space="preserve">hasta 2 kilogramos y </w:t>
      </w:r>
      <w:r w:rsidRPr="00995013">
        <w:rPr>
          <w:b/>
          <w:bCs/>
        </w:rPr>
        <w:t>entre 2 y 5 kilo</w:t>
      </w:r>
      <w:r>
        <w:rPr>
          <w:b/>
          <w:bCs/>
        </w:rPr>
        <w:t>gramo</w:t>
      </w:r>
      <w:r w:rsidRPr="00995013">
        <w:rPr>
          <w:b/>
          <w:bCs/>
        </w:rPr>
        <w:t>s</w:t>
      </w:r>
      <w:r w:rsidRPr="00995013">
        <w:rPr>
          <w:rStyle w:val="Refdenotaalpie"/>
          <w:b/>
          <w:bCs/>
        </w:rPr>
        <w:footnoteReference w:id="4"/>
      </w:r>
      <w:r w:rsidRPr="005503B4">
        <w:t>.</w:t>
      </w:r>
      <w:bookmarkEnd w:id="71"/>
      <w:bookmarkEnd w:id="72"/>
    </w:p>
    <w:p w14:paraId="07B30D86" w14:textId="1EB9BF63" w:rsidR="00384795" w:rsidRPr="005503B4" w:rsidRDefault="00384795" w:rsidP="00384795">
      <w:r w:rsidRPr="005503B4">
        <w:t xml:space="preserve">El segundo componente del mercado lo constituyen los envíos individuales, cuya estructura incluye dos componentes: (i) Los envíos </w:t>
      </w:r>
      <w:r>
        <w:t>de mensajería con peso inferior a los 2 kilogramos</w:t>
      </w:r>
      <w:r w:rsidRPr="005503B4">
        <w:t xml:space="preserve"> y (</w:t>
      </w:r>
      <w:proofErr w:type="spellStart"/>
      <w:r w:rsidRPr="005503B4">
        <w:t>ii</w:t>
      </w:r>
      <w:proofErr w:type="spellEnd"/>
      <w:r w:rsidRPr="005503B4">
        <w:t xml:space="preserve">) los envíos de mensajería de mayor tamaño, entre 2 y 5 kilogramos de peso. Como se explicará detalladamente en el Capítulo </w:t>
      </w:r>
      <w:r w:rsidRPr="005503B4">
        <w:fldChar w:fldCharType="begin"/>
      </w:r>
      <w:r w:rsidRPr="005503B4">
        <w:instrText xml:space="preserve"> REF _Ref39474673 \r \h </w:instrText>
      </w:r>
      <w:r>
        <w:instrText xml:space="preserve"> \* MERGEFORMAT </w:instrText>
      </w:r>
      <w:r w:rsidRPr="005503B4">
        <w:fldChar w:fldCharType="separate"/>
      </w:r>
      <w:r w:rsidR="00C57FCA">
        <w:t>5</w:t>
      </w:r>
      <w:r w:rsidRPr="005503B4">
        <w:fldChar w:fldCharType="end"/>
      </w:r>
      <w:r w:rsidRPr="005503B4">
        <w:t xml:space="preserve">, se observa que el número de envíos individuales de mensajería expresa entregados entre  2014 y 2015, presentó un descenso, pasando de  113  a 88,8 millones, </w:t>
      </w:r>
      <w:r>
        <w:t>no obstante,</w:t>
      </w:r>
      <w:r w:rsidRPr="005503B4">
        <w:t xml:space="preserve"> a partir de este último año</w:t>
      </w:r>
      <w:r>
        <w:t xml:space="preserve"> se evidencia</w:t>
      </w:r>
      <w:r w:rsidRPr="005503B4">
        <w:t xml:space="preserve"> un crecimiento sostenido hasta 202</w:t>
      </w:r>
      <w:r>
        <w:t>1</w:t>
      </w:r>
      <w:r w:rsidRPr="005503B4">
        <w:t xml:space="preserve">, año en el cual alcanzaron los 119,1 millones de envíos, experimentando una tasa anual promedio de crecimiento </w:t>
      </w:r>
      <w:r>
        <w:t>para</w:t>
      </w:r>
      <w:r w:rsidRPr="005503B4">
        <w:t xml:space="preserve"> el período 2015 – 2021, correspondiente al  5,02%.</w:t>
      </w:r>
    </w:p>
    <w:p w14:paraId="7B1A75C3" w14:textId="1572AF97" w:rsidR="00384795" w:rsidRPr="005503B4" w:rsidRDefault="00384795" w:rsidP="00384795">
      <w:r w:rsidRPr="005503B4">
        <w:lastRenderedPageBreak/>
        <w:t xml:space="preserve">Como se muestra en la </w:t>
      </w:r>
      <w:r w:rsidRPr="005503B4">
        <w:fldChar w:fldCharType="begin"/>
      </w:r>
      <w:r w:rsidRPr="005503B4">
        <w:instrText xml:space="preserve"> REF _Ref101518045 \h </w:instrText>
      </w:r>
      <w:r>
        <w:instrText xml:space="preserve"> \* MERGEFORMAT </w:instrText>
      </w:r>
      <w:r w:rsidRPr="005503B4">
        <w:fldChar w:fldCharType="separate"/>
      </w:r>
      <w:r w:rsidR="00C57FCA" w:rsidRPr="005503B4">
        <w:t xml:space="preserve">Gráfica </w:t>
      </w:r>
      <w:r w:rsidR="00C57FCA">
        <w:rPr>
          <w:noProof/>
        </w:rPr>
        <w:t>2</w:t>
      </w:r>
      <w:r w:rsidR="00C57FCA" w:rsidRPr="005503B4">
        <w:rPr>
          <w:noProof/>
        </w:rPr>
        <w:noBreakHyphen/>
      </w:r>
      <w:r w:rsidR="00C57FCA">
        <w:rPr>
          <w:noProof/>
        </w:rPr>
        <w:t>5</w:t>
      </w:r>
      <w:r w:rsidRPr="005503B4">
        <w:fldChar w:fldCharType="end"/>
      </w:r>
      <w:r w:rsidRPr="005503B4">
        <w:t xml:space="preserve"> que se presenta a continuación, y como se explicará en mayor detalle en el Capítulo </w:t>
      </w:r>
      <w:r w:rsidRPr="005503B4">
        <w:fldChar w:fldCharType="begin"/>
      </w:r>
      <w:r w:rsidRPr="005503B4">
        <w:instrText xml:space="preserve"> REF _Ref39474673 \r \h </w:instrText>
      </w:r>
      <w:r>
        <w:instrText xml:space="preserve"> \* MERGEFORMAT </w:instrText>
      </w:r>
      <w:r w:rsidRPr="005503B4">
        <w:fldChar w:fldCharType="separate"/>
      </w:r>
      <w:r w:rsidR="00C57FCA">
        <w:t>5</w:t>
      </w:r>
      <w:r w:rsidRPr="005503B4">
        <w:fldChar w:fldCharType="end"/>
      </w:r>
      <w:r w:rsidRPr="005503B4">
        <w:t xml:space="preserve">, el crecimiento en los envíos individuales ha sido impulsado por el comportamiento de los envíos  postales de mensajería de mayor tamaño, esto es, paquetes entre 2 y 5 kilogramos, que han crecido a tasas cercanas al 14,3% anual promedio, contrario a la tendencia observada para los envíos de </w:t>
      </w:r>
      <w:r>
        <w:t>envío</w:t>
      </w:r>
      <w:r w:rsidRPr="005503B4">
        <w:t>s</w:t>
      </w:r>
      <w:r>
        <w:t xml:space="preserve"> con peso inferior a los 2 kilogramos</w:t>
      </w:r>
      <w:r w:rsidRPr="005503B4">
        <w:t>, la cual  ha decrecido a una tasa anual promedio cercana al 1%, manteniéndose muy cercanos a los niveles observados en el 2015.</w:t>
      </w:r>
    </w:p>
    <w:p w14:paraId="2AD52B78" w14:textId="20002090" w:rsidR="00330146" w:rsidRPr="005503B4" w:rsidRDefault="00330146" w:rsidP="00330146">
      <w:pPr>
        <w:pStyle w:val="TITcuadro"/>
      </w:pPr>
      <w:bookmarkStart w:id="73" w:name="_Ref100958505"/>
      <w:bookmarkStart w:id="74" w:name="_Toc104228712"/>
      <w:r w:rsidRPr="005503B4">
        <w:t xml:space="preserve">Gráfica </w:t>
      </w:r>
      <w:r w:rsidRPr="005503B4">
        <w:fldChar w:fldCharType="begin"/>
      </w:r>
      <w:r w:rsidRPr="005503B4">
        <w:instrText>STYLEREF 1 \s</w:instrText>
      </w:r>
      <w:r w:rsidRPr="005503B4">
        <w:fldChar w:fldCharType="separate"/>
      </w:r>
      <w:r w:rsidR="00C57FCA">
        <w:rPr>
          <w:noProof/>
        </w:rPr>
        <w:t>2</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4</w:t>
      </w:r>
      <w:r w:rsidRPr="005503B4">
        <w:fldChar w:fldCharType="end"/>
      </w:r>
      <w:bookmarkEnd w:id="73"/>
      <w:r w:rsidRPr="005503B4">
        <w:t xml:space="preserve"> – Estructura del mercado de objetos </w:t>
      </w:r>
      <w:r w:rsidRPr="005503B4">
        <w:rPr>
          <w:lang w:val="es-ES_tradnl"/>
        </w:rPr>
        <w:t>postales colombiano</w:t>
      </w:r>
      <w:r w:rsidRPr="005503B4">
        <w:t>. Millones de pesos constantes de 2021 (diciembre = 100) – 2014 - 2021</w:t>
      </w:r>
      <w:bookmarkEnd w:id="74"/>
    </w:p>
    <w:p w14:paraId="4EF15F01" w14:textId="77777777" w:rsidR="00330146" w:rsidRPr="005503B4" w:rsidRDefault="00330146" w:rsidP="00330146">
      <w:pPr>
        <w:pStyle w:val="Grfica"/>
        <w:tabs>
          <w:tab w:val="left" w:pos="1105"/>
          <w:tab w:val="center" w:pos="4606"/>
        </w:tabs>
        <w:jc w:val="left"/>
      </w:pPr>
      <w:r w:rsidRPr="005503B4">
        <w:rPr>
          <w:noProof/>
          <w:lang w:eastAsia="es-CO"/>
        </w:rPr>
        <mc:AlternateContent>
          <mc:Choice Requires="wps">
            <w:drawing>
              <wp:anchor distT="0" distB="0" distL="114300" distR="114300" simplePos="0" relativeHeight="251726336" behindDoc="0" locked="0" layoutInCell="1" allowOverlap="1" wp14:anchorId="6B859E4B" wp14:editId="00169FC8">
                <wp:simplePos x="0" y="0"/>
                <wp:positionH relativeFrom="column">
                  <wp:posOffset>3708400</wp:posOffset>
                </wp:positionH>
                <wp:positionV relativeFrom="paragraph">
                  <wp:posOffset>252294</wp:posOffset>
                </wp:positionV>
                <wp:extent cx="467995" cy="572135"/>
                <wp:effectExtent l="0" t="0" r="0" b="0"/>
                <wp:wrapNone/>
                <wp:docPr id="13" name="CuadroTexto 13">
                  <a:extLst xmlns:a="http://schemas.openxmlformats.org/drawingml/2006/main">
                    <a:ext uri="{FF2B5EF4-FFF2-40B4-BE49-F238E27FC236}">
                      <a16:creationId xmlns:a16="http://schemas.microsoft.com/office/drawing/2014/main" id="{4E421A86-423B-4F9F-88D1-644C435BFC26}"/>
                    </a:ext>
                  </a:extLst>
                </wp:docPr>
                <wp:cNvGraphicFramePr/>
                <a:graphic xmlns:a="http://schemas.openxmlformats.org/drawingml/2006/main">
                  <a:graphicData uri="http://schemas.microsoft.com/office/word/2010/wordprocessingShape">
                    <wps:wsp>
                      <wps:cNvSpPr txBox="1"/>
                      <wps:spPr>
                        <a:xfrm>
                          <a:off x="0" y="0"/>
                          <a:ext cx="467995" cy="57213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276FCFF" w14:textId="77777777" w:rsidR="003C7C2B" w:rsidRDefault="003C7C2B" w:rsidP="00330146">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13,9%</w:t>
                            </w:r>
                          </w:p>
                        </w:txbxContent>
                      </wps:txbx>
                      <wps:bodyPr wrap="none" rtlCol="0" anchor="t">
                        <a:spAutoFit/>
                      </wps:bodyPr>
                    </wps:wsp>
                  </a:graphicData>
                </a:graphic>
                <wp14:sizeRelH relativeFrom="margin">
                  <wp14:pctWidth>0</wp14:pctWidth>
                </wp14:sizeRelH>
                <wp14:sizeRelV relativeFrom="margin">
                  <wp14:pctHeight>0</wp14:pctHeight>
                </wp14:sizeRelV>
              </wp:anchor>
            </w:drawing>
          </mc:Choice>
          <mc:Fallback>
            <w:pict>
              <v:shapetype w14:anchorId="6B859E4B" id="_x0000_t202" coordsize="21600,21600" o:spt="202" path="m,l,21600r21600,l21600,xe">
                <v:stroke joinstyle="miter"/>
                <v:path gradientshapeok="t" o:connecttype="rect"/>
              </v:shapetype>
              <v:shape id="CuadroTexto 13" o:spid="_x0000_s1028" type="#_x0000_t202" style="position:absolute;margin-left:292pt;margin-top:19.85pt;width:36.85pt;height:45.05pt;z-index:2517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" filled="f" stroked="f">
                <v:textbox style="mso-fit-shape-to-text:t">
                  <w:txbxContent>
                    <w:p w14:paraId="0276FCFF" w14:textId="77777777" w:rsidR="003C7C2B" w:rsidRDefault="003C7C2B" w:rsidP="00330146">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13,9%</w:t>
                      </w:r>
                    </w:p>
                  </w:txbxContent>
                </v:textbox>
              </v:shape>
            </w:pict>
          </mc:Fallback>
        </mc:AlternateContent>
      </w:r>
      <w:r w:rsidRPr="005503B4">
        <w:rPr>
          <w:noProof/>
          <w:lang w:eastAsia="es-CO"/>
        </w:rPr>
        <mc:AlternateContent>
          <mc:Choice Requires="wps">
            <w:drawing>
              <wp:anchor distT="0" distB="0" distL="114300" distR="114300" simplePos="0" relativeHeight="251724288" behindDoc="0" locked="0" layoutInCell="1" allowOverlap="1" wp14:anchorId="7EFC6AEF" wp14:editId="349F4445">
                <wp:simplePos x="0" y="0"/>
                <wp:positionH relativeFrom="column">
                  <wp:posOffset>1964055</wp:posOffset>
                </wp:positionH>
                <wp:positionV relativeFrom="paragraph">
                  <wp:posOffset>603269</wp:posOffset>
                </wp:positionV>
                <wp:extent cx="471170" cy="233045"/>
                <wp:effectExtent l="0" t="0" r="0" b="0"/>
                <wp:wrapNone/>
                <wp:docPr id="11" name="CuadroTexto 11">
                  <a:extLst xmlns:a="http://schemas.openxmlformats.org/drawingml/2006/main">
                    <a:ext uri="{FF2B5EF4-FFF2-40B4-BE49-F238E27FC236}">
                      <a16:creationId xmlns:a16="http://schemas.microsoft.com/office/drawing/2014/main" id="{652EB1FD-61DD-4E39-8749-AB704C6FD2FF}"/>
                    </a:ext>
                  </a:extLst>
                </wp:docPr>
                <wp:cNvGraphicFramePr/>
                <a:graphic xmlns:a="http://schemas.openxmlformats.org/drawingml/2006/main">
                  <a:graphicData uri="http://schemas.microsoft.com/office/word/2010/wordprocessingShape">
                    <wps:wsp>
                      <wps:cNvSpPr txBox="1"/>
                      <wps:spPr>
                        <a:xfrm>
                          <a:off x="0" y="0"/>
                          <a:ext cx="471170"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9D4809B" w14:textId="77777777" w:rsidR="003C7C2B" w:rsidRDefault="003C7C2B" w:rsidP="00330146">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31,0%</w:t>
                            </w:r>
                          </w:p>
                        </w:txbxContent>
                      </wps:txbx>
                      <wps:bodyPr wrap="none" rtlCol="0" anchor="t">
                        <a:spAutoFit/>
                      </wps:bodyPr>
                    </wps:wsp>
                  </a:graphicData>
                </a:graphic>
              </wp:anchor>
            </w:drawing>
          </mc:Choice>
          <mc:Fallback>
            <w:pict>
              <v:shape w14:anchorId="7EFC6AEF" id="CuadroTexto 11" o:spid="_x0000_s1029" type="#_x0000_t202" style="position:absolute;margin-left:154.65pt;margin-top:47.5pt;width:37.1pt;height:18.35pt;z-index:25172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" filled="f" stroked="f">
                <v:textbox style="mso-fit-shape-to-text:t">
                  <w:txbxContent>
                    <w:p w14:paraId="29D4809B" w14:textId="77777777" w:rsidR="003C7C2B" w:rsidRDefault="003C7C2B" w:rsidP="00330146">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31,0%</w:t>
                      </w:r>
                    </w:p>
                  </w:txbxContent>
                </v:textbox>
              </v:shape>
            </w:pict>
          </mc:Fallback>
        </mc:AlternateContent>
      </w:r>
      <w:r w:rsidRPr="005503B4">
        <w:tab/>
      </w:r>
      <w:r w:rsidRPr="005503B4">
        <w:tab/>
      </w:r>
      <w:r w:rsidRPr="005503B4">
        <w:rPr>
          <w:noProof/>
          <w:lang w:eastAsia="es-CO"/>
        </w:rPr>
        <mc:AlternateContent>
          <mc:Choice Requires="wps">
            <w:drawing>
              <wp:anchor distT="0" distB="0" distL="114300" distR="114300" simplePos="0" relativeHeight="251725312" behindDoc="0" locked="0" layoutInCell="1" allowOverlap="1" wp14:anchorId="5D0ACC7A" wp14:editId="0253541E">
                <wp:simplePos x="0" y="0"/>
                <wp:positionH relativeFrom="column">
                  <wp:posOffset>1988820</wp:posOffset>
                </wp:positionH>
                <wp:positionV relativeFrom="paragraph">
                  <wp:posOffset>2015490</wp:posOffset>
                </wp:positionV>
                <wp:extent cx="471170" cy="233045"/>
                <wp:effectExtent l="0" t="0" r="0" b="0"/>
                <wp:wrapNone/>
                <wp:docPr id="12" name="CuadroTexto 12">
                  <a:extLst xmlns:a="http://schemas.openxmlformats.org/drawingml/2006/main">
                    <a:ext uri="{FF2B5EF4-FFF2-40B4-BE49-F238E27FC236}">
                      <a16:creationId xmlns:a16="http://schemas.microsoft.com/office/drawing/2014/main" id="{6F425A06-EDFB-456E-A416-0BEE6EEA5383}"/>
                    </a:ext>
                  </a:extLst>
                </wp:docPr>
                <wp:cNvGraphicFramePr/>
                <a:graphic xmlns:a="http://schemas.openxmlformats.org/drawingml/2006/main">
                  <a:graphicData uri="http://schemas.microsoft.com/office/word/2010/wordprocessingShape">
                    <wps:wsp>
                      <wps:cNvSpPr txBox="1"/>
                      <wps:spPr>
                        <a:xfrm>
                          <a:off x="0" y="0"/>
                          <a:ext cx="471170"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56761A" w14:textId="77777777" w:rsidR="003C7C2B" w:rsidRPr="00C8384B" w:rsidRDefault="003C7C2B" w:rsidP="00330146">
                            <w:pPr>
                              <w:rPr>
                                <w:rFonts w:asciiTheme="minorHAnsi" w:hAnsi="Calibri"/>
                                <w:color w:val="FFFFFF" w:themeColor="background1"/>
                                <w:kern w:val="24"/>
                                <w:sz w:val="18"/>
                                <w:szCs w:val="18"/>
                                <w:lang w:val="es-CO"/>
                              </w:rPr>
                            </w:pPr>
                            <w:r>
                              <w:rPr>
                                <w:rFonts w:asciiTheme="minorHAnsi" w:hAnsi="Calibri"/>
                                <w:color w:val="FFFFFF" w:themeColor="background1"/>
                                <w:kern w:val="24"/>
                                <w:sz w:val="18"/>
                                <w:szCs w:val="18"/>
                                <w:lang w:val="es-CO"/>
                              </w:rPr>
                              <w:t>69%</w:t>
                            </w:r>
                          </w:p>
                        </w:txbxContent>
                      </wps:txbx>
                      <wps:bodyPr wrap="none" rtlCol="0" anchor="t">
                        <a:spAutoFit/>
                      </wps:bodyPr>
                    </wps:wsp>
                  </a:graphicData>
                </a:graphic>
              </wp:anchor>
            </w:drawing>
          </mc:Choice>
          <mc:Fallback>
            <w:pict>
              <v:shape w14:anchorId="5D0ACC7A" id="CuadroTexto 12" o:spid="_x0000_s1030" type="#_x0000_t202" style="position:absolute;margin-left:156.6pt;margin-top:158.7pt;width:37.1pt;height:18.35pt;z-index:251725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" filled="f" stroked="f">
                <v:textbox style="mso-fit-shape-to-text:t">
                  <w:txbxContent>
                    <w:p w14:paraId="5856761A" w14:textId="77777777" w:rsidR="003C7C2B" w:rsidRPr="00C8384B" w:rsidRDefault="003C7C2B" w:rsidP="00330146">
                      <w:pPr>
                        <w:rPr>
                          <w:rFonts w:asciiTheme="minorHAnsi" w:hAnsi="Calibri"/>
                          <w:color w:val="FFFFFF" w:themeColor="background1"/>
                          <w:kern w:val="24"/>
                          <w:sz w:val="18"/>
                          <w:szCs w:val="18"/>
                          <w:lang w:val="es-CO"/>
                        </w:rPr>
                      </w:pPr>
                      <w:r>
                        <w:rPr>
                          <w:rFonts w:asciiTheme="minorHAnsi" w:hAnsi="Calibri"/>
                          <w:color w:val="FFFFFF" w:themeColor="background1"/>
                          <w:kern w:val="24"/>
                          <w:sz w:val="18"/>
                          <w:szCs w:val="18"/>
                          <w:lang w:val="es-CO"/>
                        </w:rPr>
                        <w:t>69%</w:t>
                      </w:r>
                    </w:p>
                  </w:txbxContent>
                </v:textbox>
              </v:shape>
            </w:pict>
          </mc:Fallback>
        </mc:AlternateContent>
      </w:r>
      <w:r w:rsidRPr="005503B4">
        <w:rPr>
          <w:noProof/>
          <w:lang w:eastAsia="es-CO"/>
        </w:rPr>
        <mc:AlternateContent>
          <mc:Choice Requires="wps">
            <w:drawing>
              <wp:anchor distT="0" distB="0" distL="114300" distR="114300" simplePos="0" relativeHeight="251727360" behindDoc="0" locked="0" layoutInCell="1" allowOverlap="1" wp14:anchorId="51CEB6AC" wp14:editId="0242D209">
                <wp:simplePos x="0" y="0"/>
                <wp:positionH relativeFrom="column">
                  <wp:posOffset>3713668</wp:posOffset>
                </wp:positionH>
                <wp:positionV relativeFrom="paragraph">
                  <wp:posOffset>1833728</wp:posOffset>
                </wp:positionV>
                <wp:extent cx="468000" cy="572400"/>
                <wp:effectExtent l="0" t="0" r="0" b="0"/>
                <wp:wrapNone/>
                <wp:docPr id="29" name="CuadroTexto 12"/>
                <wp:cNvGraphicFramePr/>
                <a:graphic xmlns:a="http://schemas.openxmlformats.org/drawingml/2006/main">
                  <a:graphicData uri="http://schemas.microsoft.com/office/word/2010/wordprocessingShape">
                    <wps:wsp>
                      <wps:cNvSpPr txBox="1"/>
                      <wps:spPr>
                        <a:xfrm>
                          <a:off x="0" y="0"/>
                          <a:ext cx="468000" cy="5724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7FDB258" w14:textId="77777777" w:rsidR="003C7C2B" w:rsidRDefault="003C7C2B" w:rsidP="00330146">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86,1%</w:t>
                            </w:r>
                          </w:p>
                        </w:txbxContent>
                      </wps:txbx>
                      <wps:bodyPr wrap="none" rtlCol="0" anchor="t">
                        <a:spAutoFit/>
                      </wps:bodyPr>
                    </wps:wsp>
                  </a:graphicData>
                </a:graphic>
                <wp14:sizeRelH relativeFrom="margin">
                  <wp14:pctWidth>0</wp14:pctWidth>
                </wp14:sizeRelH>
                <wp14:sizeRelV relativeFrom="margin">
                  <wp14:pctHeight>0</wp14:pctHeight>
                </wp14:sizeRelV>
              </wp:anchor>
            </w:drawing>
          </mc:Choice>
          <mc:Fallback>
            <w:pict>
              <v:shape w14:anchorId="51CEB6AC" id="_x0000_s1031" type="#_x0000_t202" style="position:absolute;margin-left:292.4pt;margin-top:144.4pt;width:36.85pt;height:45.0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" filled="f" stroked="f">
                <v:textbox style="mso-fit-shape-to-text:t">
                  <w:txbxContent>
                    <w:p w14:paraId="07FDB258" w14:textId="77777777" w:rsidR="003C7C2B" w:rsidRDefault="003C7C2B" w:rsidP="00330146">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86,1%</w:t>
                      </w:r>
                    </w:p>
                  </w:txbxContent>
                </v:textbox>
              </v:shape>
            </w:pict>
          </mc:Fallback>
        </mc:AlternateContent>
      </w:r>
      <w:r w:rsidRPr="005503B4">
        <w:rPr>
          <w:noProof/>
          <w:lang w:eastAsia="es-CO"/>
        </w:rPr>
        <mc:AlternateContent>
          <mc:Choice Requires="wps">
            <w:drawing>
              <wp:anchor distT="0" distB="0" distL="114300" distR="114300" simplePos="0" relativeHeight="251723264" behindDoc="0" locked="0" layoutInCell="1" allowOverlap="1" wp14:anchorId="58805CD0" wp14:editId="4F758496">
                <wp:simplePos x="0" y="0"/>
                <wp:positionH relativeFrom="column">
                  <wp:posOffset>1049258</wp:posOffset>
                </wp:positionH>
                <wp:positionV relativeFrom="paragraph">
                  <wp:posOffset>2041311</wp:posOffset>
                </wp:positionV>
                <wp:extent cx="471411" cy="233205"/>
                <wp:effectExtent l="0" t="0" r="0" b="0"/>
                <wp:wrapNone/>
                <wp:docPr id="10" name="CuadroTexto 3">
                  <a:extLst xmlns:a="http://schemas.openxmlformats.org/drawingml/2006/main">
                    <a:ext uri="{FF2B5EF4-FFF2-40B4-BE49-F238E27FC236}">
                      <a16:creationId xmlns:a16="http://schemas.microsoft.com/office/drawing/2014/main" id="{9AAB7A98-2D86-4819-BA73-1CEE4C898C7E}"/>
                    </a:ext>
                  </a:extLst>
                </wp:docPr>
                <wp:cNvGraphicFramePr/>
                <a:graphic xmlns:a="http://schemas.openxmlformats.org/drawingml/2006/main">
                  <a:graphicData uri="http://schemas.microsoft.com/office/word/2010/wordprocessingShape">
                    <wps:wsp>
                      <wps:cNvSpPr txBox="1"/>
                      <wps:spPr>
                        <a:xfrm>
                          <a:off x="0" y="0"/>
                          <a:ext cx="471411"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AAF86DA" w14:textId="77777777" w:rsidR="003C7C2B" w:rsidRDefault="003C7C2B" w:rsidP="00330146">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69,0%</w:t>
                            </w:r>
                          </w:p>
                        </w:txbxContent>
                      </wps:txbx>
                      <wps:bodyPr wrap="none" rtlCol="0" anchor="t">
                        <a:spAutoFit/>
                      </wps:bodyPr>
                    </wps:wsp>
                  </a:graphicData>
                </a:graphic>
              </wp:anchor>
            </w:drawing>
          </mc:Choice>
          <mc:Fallback>
            <w:pict>
              <v:shape w14:anchorId="58805CD0" id="CuadroTexto 3" o:spid="_x0000_s1032" type="#_x0000_t202" style="position:absolute;margin-left:82.6pt;margin-top:160.75pt;width:37.1pt;height:18.35pt;z-index:25172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" filled="f" stroked="f">
                <v:textbox style="mso-fit-shape-to-text:t">
                  <w:txbxContent>
                    <w:p w14:paraId="2AAF86DA" w14:textId="77777777" w:rsidR="003C7C2B" w:rsidRDefault="003C7C2B" w:rsidP="00330146">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69,0%</w:t>
                      </w:r>
                    </w:p>
                  </w:txbxContent>
                </v:textbox>
              </v:shape>
            </w:pict>
          </mc:Fallback>
        </mc:AlternateContent>
      </w:r>
      <w:r w:rsidRPr="005503B4">
        <w:rPr>
          <w:noProof/>
          <w:lang w:eastAsia="es-CO"/>
        </w:rPr>
        <w:drawing>
          <wp:inline distT="0" distB="0" distL="0" distR="0" wp14:anchorId="6A6C43FC" wp14:editId="02181418">
            <wp:extent cx="4018915" cy="3043451"/>
            <wp:effectExtent l="0" t="0" r="635" b="5080"/>
            <wp:docPr id="42" name="Gráfico 42">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D67CFC" w14:textId="77777777" w:rsidR="00330146" w:rsidRPr="005503B4" w:rsidRDefault="00330146" w:rsidP="00330146">
      <w:pPr>
        <w:pStyle w:val="FuentedeGrfica"/>
      </w:pPr>
      <w:r w:rsidRPr="005503B4">
        <w:t>FUENTE: Boletín Postal del MinTIC para los datos de mensajería expresa y servicios postales de pago. Estados financieros de SPN para la información de correo. Banco de la República (IPC) para el deflactor de los ingresos postales</w:t>
      </w:r>
    </w:p>
    <w:p w14:paraId="79213A77" w14:textId="5D5C027B" w:rsidR="00F262C2" w:rsidRPr="005503B4" w:rsidRDefault="00F262C2" w:rsidP="00F262C2">
      <w:r w:rsidRPr="005503B4">
        <w:t xml:space="preserve">El elemento que explica, en buena medida, este comportamiento </w:t>
      </w:r>
      <w:r>
        <w:t>son</w:t>
      </w:r>
      <w:r w:rsidRPr="005503B4">
        <w:t xml:space="preserve"> las compras virtuales por Internet</w:t>
      </w:r>
      <w:r>
        <w:t xml:space="preserve"> en el desarrollo del</w:t>
      </w:r>
      <w:r w:rsidRPr="005503B4">
        <w:t xml:space="preserve"> comercio electrónico, demandan</w:t>
      </w:r>
      <w:r>
        <w:t>do</w:t>
      </w:r>
      <w:r w:rsidRPr="005503B4">
        <w:t xml:space="preserve"> la entrega</w:t>
      </w:r>
      <w:r>
        <w:t xml:space="preserve"> de los objetos</w:t>
      </w:r>
      <w:r w:rsidRPr="005503B4">
        <w:t xml:space="preserve"> a través de</w:t>
      </w:r>
      <w:r>
        <w:t>l</w:t>
      </w:r>
      <w:r w:rsidRPr="005503B4">
        <w:t xml:space="preserve"> servicio postal de mensajería expresa. Al respecto, el segmento de envíos de objetos de pequeño tamaño y aquellos entre 2 y 5 kilo</w:t>
      </w:r>
      <w:r w:rsidR="00E4600F">
        <w:t>gramo</w:t>
      </w:r>
      <w:r w:rsidRPr="005503B4">
        <w:t>s, componen el elemento potenciador del mercado de objetos postales, en el cual se han concentrado los operadores. Los envíos postales entre 2 y los 5 kilogramos s</w:t>
      </w:r>
      <w:r>
        <w:t>e constituyen en el</w:t>
      </w:r>
      <w:r w:rsidRPr="005503B4">
        <w:t xml:space="preserve"> elemento dinamizador del mercado, </w:t>
      </w:r>
      <w:r>
        <w:t>manteniendo</w:t>
      </w:r>
      <w:r w:rsidRPr="005503B4">
        <w:t xml:space="preserve"> vigente la importancia del sector y que le proporciona el dinamismo empresarial necesario de crecimiento y de transformación.</w:t>
      </w:r>
    </w:p>
    <w:p w14:paraId="0ACCD4C7" w14:textId="4B21433F" w:rsidR="00F262C2" w:rsidRPr="005503B4" w:rsidRDefault="00F262C2" w:rsidP="00F262C2">
      <w:pPr>
        <w:pStyle w:val="TITcuadro"/>
        <w:ind w:left="567" w:right="565" w:hanging="141"/>
      </w:pPr>
      <w:bookmarkStart w:id="75" w:name="_Ref101518045"/>
      <w:bookmarkStart w:id="76" w:name="_Toc104228713"/>
      <w:r w:rsidRPr="005503B4">
        <w:lastRenderedPageBreak/>
        <w:t xml:space="preserve">Gráfica </w:t>
      </w:r>
      <w:r w:rsidRPr="005503B4">
        <w:fldChar w:fldCharType="begin"/>
      </w:r>
      <w:r w:rsidRPr="005503B4">
        <w:instrText>STYLEREF 1 \s</w:instrText>
      </w:r>
      <w:r w:rsidRPr="005503B4">
        <w:fldChar w:fldCharType="separate"/>
      </w:r>
      <w:r w:rsidR="00C57FCA">
        <w:rPr>
          <w:noProof/>
        </w:rPr>
        <w:t>2</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5</w:t>
      </w:r>
      <w:r w:rsidRPr="005503B4">
        <w:fldChar w:fldCharType="end"/>
      </w:r>
      <w:bookmarkEnd w:id="75"/>
      <w:r w:rsidRPr="005503B4">
        <w:t xml:space="preserve"> - Mercado de envíos individuales de los operadores de Mensajería Expresa - Miles de envíos</w:t>
      </w:r>
      <w:bookmarkEnd w:id="76"/>
    </w:p>
    <w:p w14:paraId="6F0B9F58" w14:textId="57ADF217" w:rsidR="00F262C2" w:rsidRPr="005503B4" w:rsidRDefault="001F5D59" w:rsidP="00F262C2">
      <w:pPr>
        <w:pStyle w:val="Grfica"/>
      </w:pPr>
      <w:r>
        <w:rPr>
          <w:noProof/>
          <w:lang w:eastAsia="es-CO"/>
        </w:rPr>
        <w:drawing>
          <wp:inline distT="0" distB="0" distL="0" distR="0" wp14:anchorId="472D49E7" wp14:editId="5CB00657">
            <wp:extent cx="5818538" cy="2924174"/>
            <wp:effectExtent l="0" t="0" r="10795" b="10160"/>
            <wp:docPr id="38" name="Gráfico 38">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ECF6FE" w14:textId="4C03A6C1" w:rsidR="00F262C2" w:rsidRPr="005503B4" w:rsidRDefault="00F262C2" w:rsidP="00F262C2">
      <w:pPr>
        <w:pStyle w:val="FuentedeGrfica"/>
      </w:pPr>
      <w:r w:rsidRPr="005503B4">
        <w:t xml:space="preserve">FUENTE: </w:t>
      </w:r>
      <w:r w:rsidR="00233648">
        <w:tab/>
      </w:r>
      <w:r w:rsidRPr="005503B4">
        <w:t xml:space="preserve">Boletín trimestral MinTIC. Boletín Postal al cuarto trimestre del 2021 para los datos de mensajería expresa y giros postales. </w:t>
      </w:r>
    </w:p>
    <w:p w14:paraId="3CCC4A36" w14:textId="77777777" w:rsidR="00F262C2" w:rsidRPr="004261FB" w:rsidRDefault="00F262C2" w:rsidP="00F262C2">
      <w:pPr>
        <w:pStyle w:val="Ttulo3"/>
        <w:rPr>
          <w:b/>
          <w:bCs/>
        </w:rPr>
      </w:pPr>
      <w:bookmarkStart w:id="77" w:name="_Ref102393177"/>
      <w:bookmarkStart w:id="78" w:name="_Toc102393256"/>
      <w:bookmarkStart w:id="79" w:name="_Toc104272115"/>
      <w:r w:rsidRPr="004261FB">
        <w:rPr>
          <w:b/>
          <w:bCs/>
        </w:rPr>
        <w:t>Tamaño y estructura del mercado postal de servicios postales de pago (giros nacionales, giros internacionales en efectivo).</w:t>
      </w:r>
      <w:bookmarkEnd w:id="77"/>
      <w:bookmarkEnd w:id="78"/>
      <w:bookmarkEnd w:id="79"/>
    </w:p>
    <w:p w14:paraId="0447CE97" w14:textId="77777777" w:rsidR="00F262C2" w:rsidRPr="005503B4" w:rsidRDefault="00F262C2" w:rsidP="00F262C2">
      <w:r w:rsidRPr="005503B4">
        <w:t>El mercado de los servicios postales de pago es el tercer segmento de la industria postal en Colombia. Los servicios del mercado están relacionados con el uso de la red postal para el envío y recepción de pagos y dinero en efectivo, bien sea entre dos puntos del territorio nacional, o entre un punto geográfico en Colombia y otros países</w:t>
      </w:r>
      <w:r>
        <w:t>.</w:t>
      </w:r>
    </w:p>
    <w:p w14:paraId="51CD2995" w14:textId="4FAC40BD" w:rsidR="00F262C2" w:rsidRPr="005503B4" w:rsidRDefault="00F262C2" w:rsidP="00F262C2">
      <w:pPr>
        <w:rPr>
          <w:lang w:val="es-CO"/>
        </w:rPr>
      </w:pPr>
      <w:r>
        <w:rPr>
          <w:lang w:val="es-CO"/>
        </w:rPr>
        <w:t>P</w:t>
      </w:r>
      <w:r w:rsidRPr="005503B4">
        <w:rPr>
          <w:lang w:val="es-CO"/>
        </w:rPr>
        <w:t xml:space="preserve">ara </w:t>
      </w:r>
      <w:r>
        <w:rPr>
          <w:lang w:val="es-CO"/>
        </w:rPr>
        <w:t xml:space="preserve">el año </w:t>
      </w:r>
      <w:r w:rsidRPr="005503B4">
        <w:rPr>
          <w:lang w:val="es-CO"/>
        </w:rPr>
        <w:t xml:space="preserve">2021, </w:t>
      </w:r>
      <w:r>
        <w:rPr>
          <w:lang w:val="es-CO"/>
        </w:rPr>
        <w:t>los montos</w:t>
      </w:r>
      <w:r w:rsidRPr="005503B4">
        <w:rPr>
          <w:lang w:val="es-CO"/>
        </w:rPr>
        <w:t xml:space="preserve"> movilizado</w:t>
      </w:r>
      <w:r>
        <w:rPr>
          <w:lang w:val="es-CO"/>
        </w:rPr>
        <w:t>s</w:t>
      </w:r>
      <w:r w:rsidRPr="005503B4">
        <w:rPr>
          <w:lang w:val="es-CO"/>
        </w:rPr>
        <w:t xml:space="preserve"> </w:t>
      </w:r>
      <w:r>
        <w:rPr>
          <w:lang w:val="es-CO"/>
        </w:rPr>
        <w:t xml:space="preserve">ascendieron a </w:t>
      </w:r>
      <w:r w:rsidRPr="005503B4">
        <w:rPr>
          <w:lang w:val="es-CO"/>
        </w:rPr>
        <w:t>$20,6 billones</w:t>
      </w:r>
      <w:r>
        <w:rPr>
          <w:lang w:val="es-CO"/>
        </w:rPr>
        <w:t>,</w:t>
      </w:r>
      <w:r w:rsidRPr="005503B4">
        <w:rPr>
          <w:lang w:val="es-CO"/>
        </w:rPr>
        <w:t xml:space="preserve"> cifra que representa el tamaño del mercado total de</w:t>
      </w:r>
      <w:r>
        <w:rPr>
          <w:lang w:val="es-CO"/>
        </w:rPr>
        <w:t>l servicio de</w:t>
      </w:r>
      <w:r w:rsidRPr="005503B4">
        <w:rPr>
          <w:lang w:val="es-CO"/>
        </w:rPr>
        <w:t xml:space="preserve"> giro</w:t>
      </w:r>
      <w:r>
        <w:rPr>
          <w:lang w:val="es-CO"/>
        </w:rPr>
        <w:t xml:space="preserve"> postal</w:t>
      </w:r>
      <w:r w:rsidRPr="005503B4">
        <w:rPr>
          <w:lang w:val="es-CO"/>
        </w:rPr>
        <w:t xml:space="preserve"> en efectivo, tranzado por los usuarios a través de las redes de los operadores </w:t>
      </w:r>
      <w:r>
        <w:rPr>
          <w:lang w:val="es-CO"/>
        </w:rPr>
        <w:t>habilitados por MinTIC</w:t>
      </w:r>
      <w:r w:rsidRPr="005503B4">
        <w:rPr>
          <w:lang w:val="es-CO"/>
        </w:rPr>
        <w:t xml:space="preserve">. </w:t>
      </w:r>
    </w:p>
    <w:p w14:paraId="46C111D8" w14:textId="255EC803" w:rsidR="00F262C2" w:rsidRPr="005503B4" w:rsidRDefault="00F262C2" w:rsidP="00F262C2">
      <w:pPr>
        <w:ind w:right="-2"/>
        <w:rPr>
          <w:lang w:val="es-CO"/>
        </w:rPr>
      </w:pPr>
      <w:r w:rsidRPr="005503B4">
        <w:rPr>
          <w:lang w:val="es-CO"/>
        </w:rPr>
        <w:t xml:space="preserve">Con base en estos valores movilizados y a partir de la información contenida en el Boletín Postal correspondiente al cuarto trimestre de 2021, tal como se puede apreciar en  la </w:t>
      </w:r>
      <w:r w:rsidRPr="005503B4">
        <w:rPr>
          <w:lang w:val="es-CO"/>
        </w:rPr>
        <w:fldChar w:fldCharType="begin"/>
      </w:r>
      <w:r w:rsidRPr="005503B4">
        <w:rPr>
          <w:lang w:val="es-CO"/>
        </w:rPr>
        <w:instrText xml:space="preserve"> REF _Ref101332138 \h </w:instrText>
      </w:r>
      <w:r>
        <w:rPr>
          <w:lang w:val="es-CO"/>
        </w:rPr>
        <w:instrText xml:space="preserve"> \* MERGEFORMAT </w:instrText>
      </w:r>
      <w:r w:rsidRPr="005503B4">
        <w:rPr>
          <w:lang w:val="es-CO"/>
        </w:rPr>
      </w:r>
      <w:r w:rsidRPr="005503B4">
        <w:rPr>
          <w:lang w:val="es-CO"/>
        </w:rPr>
        <w:fldChar w:fldCharType="separate"/>
      </w:r>
      <w:r w:rsidR="00C57FCA" w:rsidRPr="005503B4">
        <w:t xml:space="preserve">Tabla </w:t>
      </w:r>
      <w:r w:rsidR="00C57FCA">
        <w:rPr>
          <w:noProof/>
        </w:rPr>
        <w:t>6</w:t>
      </w:r>
      <w:r w:rsidR="00C57FCA" w:rsidRPr="005503B4">
        <w:rPr>
          <w:noProof/>
        </w:rPr>
        <w:noBreakHyphen/>
      </w:r>
      <w:r w:rsidR="00C57FCA">
        <w:rPr>
          <w:noProof/>
        </w:rPr>
        <w:t>2</w:t>
      </w:r>
      <w:r w:rsidRPr="005503B4">
        <w:rPr>
          <w:lang w:val="es-CO"/>
        </w:rPr>
        <w:fldChar w:fldCharType="end"/>
      </w:r>
      <w:r w:rsidRPr="005503B4">
        <w:rPr>
          <w:lang w:val="es-CO"/>
        </w:rPr>
        <w:t xml:space="preserve">, </w:t>
      </w:r>
      <w:r>
        <w:rPr>
          <w:lang w:val="es-CO"/>
        </w:rPr>
        <w:t>los ingresos</w:t>
      </w:r>
      <w:r w:rsidRPr="005503B4">
        <w:rPr>
          <w:lang w:val="es-CO"/>
        </w:rPr>
        <w:t xml:space="preserve"> percibid</w:t>
      </w:r>
      <w:r>
        <w:rPr>
          <w:lang w:val="es-CO"/>
        </w:rPr>
        <w:t>o</w:t>
      </w:r>
      <w:r w:rsidRPr="005503B4">
        <w:rPr>
          <w:lang w:val="es-CO"/>
        </w:rPr>
        <w:t>s por los actores del mercado</w:t>
      </w:r>
      <w:r>
        <w:rPr>
          <w:lang w:val="es-CO"/>
        </w:rPr>
        <w:t xml:space="preserve"> con cortea</w:t>
      </w:r>
      <w:r w:rsidRPr="005503B4">
        <w:rPr>
          <w:lang w:val="es-CO"/>
        </w:rPr>
        <w:t xml:space="preserve"> 31 de diciembre del año en mención, fue en términos reales, del orden de los $718,5 mil millones</w:t>
      </w:r>
      <w:r>
        <w:rPr>
          <w:lang w:val="es-CO"/>
        </w:rPr>
        <w:t xml:space="preserve">, evidenciando </w:t>
      </w:r>
      <w:r w:rsidRPr="005503B4">
        <w:rPr>
          <w:lang w:val="es-CO"/>
        </w:rPr>
        <w:t xml:space="preserve">un descenso del orden del 8,4% en los pasados tres años, </w:t>
      </w:r>
      <w:r>
        <w:rPr>
          <w:lang w:val="es-CO"/>
        </w:rPr>
        <w:t>experimentando así, una</w:t>
      </w:r>
      <w:r w:rsidRPr="005503B4">
        <w:rPr>
          <w:lang w:val="es-CO"/>
        </w:rPr>
        <w:t xml:space="preserve"> disminución cercana a los $221 mil millones frente al valor total generado en </w:t>
      </w:r>
      <w:r w:rsidR="00493C3D">
        <w:rPr>
          <w:lang w:val="es-CO"/>
        </w:rPr>
        <w:t>ingresos por comisiones</w:t>
      </w:r>
      <w:r w:rsidRPr="005503B4">
        <w:rPr>
          <w:lang w:val="es-CO"/>
        </w:rPr>
        <w:t xml:space="preserve"> en el año 2018.</w:t>
      </w:r>
    </w:p>
    <w:p w14:paraId="77D667B4" w14:textId="79AFD65F" w:rsidR="00F262C2" w:rsidRPr="005503B4" w:rsidRDefault="00F262C2" w:rsidP="00F262C2">
      <w:pPr>
        <w:pStyle w:val="Descripcin"/>
        <w:ind w:right="990" w:hanging="1418"/>
        <w:rPr>
          <w:sz w:val="16"/>
          <w:szCs w:val="16"/>
        </w:rPr>
      </w:pPr>
      <w:bookmarkStart w:id="80" w:name="_Toc104227927"/>
      <w:r w:rsidRPr="005503B4">
        <w:lastRenderedPageBreak/>
        <w:t xml:space="preserve">Tabla </w:t>
      </w:r>
      <w:r w:rsidRPr="005503B4">
        <w:fldChar w:fldCharType="begin"/>
      </w:r>
      <w:r w:rsidRPr="005503B4">
        <w:instrText>STYLEREF 1 \s</w:instrText>
      </w:r>
      <w:r w:rsidRPr="005503B4">
        <w:fldChar w:fldCharType="separate"/>
      </w:r>
      <w:r w:rsidR="00C57FCA">
        <w:rPr>
          <w:noProof/>
        </w:rPr>
        <w:t>2</w:t>
      </w:r>
      <w:r w:rsidRPr="005503B4">
        <w:fldChar w:fldCharType="end"/>
      </w:r>
      <w:r w:rsidRPr="005503B4">
        <w:noBreakHyphen/>
      </w:r>
      <w:r w:rsidRPr="005503B4">
        <w:fldChar w:fldCharType="begin"/>
      </w:r>
      <w:r w:rsidRPr="005503B4">
        <w:instrText>SEQ Tabla \* ARABIC \s 1</w:instrText>
      </w:r>
      <w:r w:rsidRPr="005503B4">
        <w:fldChar w:fldCharType="separate"/>
      </w:r>
      <w:r w:rsidR="00C57FCA">
        <w:rPr>
          <w:noProof/>
        </w:rPr>
        <w:t>1</w:t>
      </w:r>
      <w:r w:rsidRPr="005503B4">
        <w:fldChar w:fldCharType="end"/>
      </w:r>
      <w:r w:rsidRPr="005503B4">
        <w:t xml:space="preserve"> – El mercado de giros postales – Tamaño de l</w:t>
      </w:r>
      <w:r w:rsidR="002D3349">
        <w:t>o</w:t>
      </w:r>
      <w:r w:rsidRPr="005503B4">
        <w:t xml:space="preserve">s </w:t>
      </w:r>
      <w:r w:rsidR="00466A14">
        <w:t>ingresos</w:t>
      </w:r>
      <w:r w:rsidRPr="005503B4">
        <w:t xml:space="preserve"> percibid</w:t>
      </w:r>
      <w:r w:rsidR="00466A14">
        <w:t>o</w:t>
      </w:r>
      <w:r w:rsidRPr="005503B4">
        <w:t xml:space="preserve">s por los actores del mercado </w:t>
      </w:r>
      <w:r w:rsidRPr="005503B4">
        <w:rPr>
          <w:sz w:val="16"/>
          <w:szCs w:val="16"/>
        </w:rPr>
        <w:t>(</w:t>
      </w:r>
      <w:r w:rsidR="00466A14">
        <w:rPr>
          <w:sz w:val="16"/>
          <w:szCs w:val="16"/>
        </w:rPr>
        <w:t>Millones de pesos</w:t>
      </w:r>
      <w:r w:rsidRPr="005503B4">
        <w:rPr>
          <w:sz w:val="16"/>
          <w:szCs w:val="16"/>
        </w:rPr>
        <w:t xml:space="preserve"> de</w:t>
      </w:r>
      <w:r w:rsidR="00466A14">
        <w:rPr>
          <w:sz w:val="16"/>
          <w:szCs w:val="16"/>
        </w:rPr>
        <w:t xml:space="preserve"> </w:t>
      </w:r>
      <w:r w:rsidRPr="005503B4">
        <w:rPr>
          <w:sz w:val="16"/>
          <w:szCs w:val="16"/>
        </w:rPr>
        <w:t>dic</w:t>
      </w:r>
      <w:r w:rsidR="00466A14">
        <w:rPr>
          <w:sz w:val="16"/>
          <w:szCs w:val="16"/>
        </w:rPr>
        <w:t>iembre de</w:t>
      </w:r>
      <w:r w:rsidRPr="005503B4">
        <w:rPr>
          <w:sz w:val="16"/>
          <w:szCs w:val="16"/>
        </w:rPr>
        <w:t xml:space="preserve"> 2021)</w:t>
      </w:r>
      <w:bookmarkEnd w:id="80"/>
    </w:p>
    <w:tbl>
      <w:tblPr>
        <w:tblW w:w="9209" w:type="dxa"/>
        <w:tblCellMar>
          <w:left w:w="70" w:type="dxa"/>
          <w:right w:w="70" w:type="dxa"/>
        </w:tblCellMar>
        <w:tblLook w:val="04A0" w:firstRow="1" w:lastRow="0" w:firstColumn="1" w:lastColumn="0" w:noHBand="0" w:noVBand="1"/>
      </w:tblPr>
      <w:tblGrid>
        <w:gridCol w:w="2920"/>
        <w:gridCol w:w="1186"/>
        <w:gridCol w:w="1276"/>
        <w:gridCol w:w="1276"/>
        <w:gridCol w:w="1275"/>
        <w:gridCol w:w="1276"/>
      </w:tblGrid>
      <w:tr w:rsidR="00F262C2" w:rsidRPr="005503B4" w14:paraId="1FACD89C" w14:textId="77777777" w:rsidTr="00E67FD8">
        <w:trPr>
          <w:trHeight w:val="240"/>
        </w:trPr>
        <w:tc>
          <w:tcPr>
            <w:tcW w:w="2920" w:type="dxa"/>
            <w:tcBorders>
              <w:top w:val="single" w:sz="4" w:space="0" w:color="BFBFBF"/>
              <w:left w:val="single" w:sz="4" w:space="0" w:color="BFBFBF"/>
              <w:bottom w:val="single" w:sz="4" w:space="0" w:color="BFBFBF"/>
              <w:right w:val="nil"/>
            </w:tcBorders>
            <w:shd w:val="clear" w:color="D9E1F2" w:fill="D9E1F2"/>
            <w:noWrap/>
            <w:vAlign w:val="bottom"/>
            <w:hideMark/>
          </w:tcPr>
          <w:p w14:paraId="7755553B" w14:textId="77777777" w:rsidR="00F262C2" w:rsidRPr="005503B4" w:rsidRDefault="00F262C2" w:rsidP="00E67FD8">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Segmento \ Año</w:t>
            </w:r>
          </w:p>
        </w:tc>
        <w:tc>
          <w:tcPr>
            <w:tcW w:w="1186" w:type="dxa"/>
            <w:tcBorders>
              <w:top w:val="single" w:sz="4" w:space="0" w:color="BFBFBF"/>
              <w:left w:val="nil"/>
              <w:bottom w:val="single" w:sz="4" w:space="0" w:color="BFBFBF"/>
              <w:right w:val="nil"/>
            </w:tcBorders>
            <w:shd w:val="clear" w:color="D9E1F2" w:fill="D9E1F2"/>
            <w:noWrap/>
            <w:vAlign w:val="bottom"/>
            <w:hideMark/>
          </w:tcPr>
          <w:p w14:paraId="1FB3A78E" w14:textId="77777777" w:rsidR="00F262C2" w:rsidRPr="005503B4" w:rsidRDefault="00F262C2" w:rsidP="00E67FD8">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2017</w:t>
            </w:r>
          </w:p>
        </w:tc>
        <w:tc>
          <w:tcPr>
            <w:tcW w:w="1276" w:type="dxa"/>
            <w:tcBorders>
              <w:top w:val="single" w:sz="4" w:space="0" w:color="BFBFBF"/>
              <w:left w:val="nil"/>
              <w:bottom w:val="single" w:sz="4" w:space="0" w:color="BFBFBF"/>
              <w:right w:val="nil"/>
            </w:tcBorders>
            <w:shd w:val="clear" w:color="D9E1F2" w:fill="D9E1F2"/>
            <w:noWrap/>
            <w:vAlign w:val="bottom"/>
            <w:hideMark/>
          </w:tcPr>
          <w:p w14:paraId="4A2FB473" w14:textId="77777777" w:rsidR="00F262C2" w:rsidRPr="005503B4" w:rsidRDefault="00F262C2" w:rsidP="00E67FD8">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2018</w:t>
            </w:r>
          </w:p>
        </w:tc>
        <w:tc>
          <w:tcPr>
            <w:tcW w:w="1276" w:type="dxa"/>
            <w:tcBorders>
              <w:top w:val="single" w:sz="4" w:space="0" w:color="BFBFBF"/>
              <w:left w:val="nil"/>
              <w:bottom w:val="single" w:sz="4" w:space="0" w:color="BFBFBF"/>
              <w:right w:val="nil"/>
            </w:tcBorders>
            <w:shd w:val="clear" w:color="D9E1F2" w:fill="D9E1F2"/>
            <w:noWrap/>
            <w:vAlign w:val="bottom"/>
            <w:hideMark/>
          </w:tcPr>
          <w:p w14:paraId="232A6CA8" w14:textId="77777777" w:rsidR="00F262C2" w:rsidRPr="005503B4" w:rsidRDefault="00F262C2" w:rsidP="00E67FD8">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2019</w:t>
            </w:r>
          </w:p>
        </w:tc>
        <w:tc>
          <w:tcPr>
            <w:tcW w:w="1275" w:type="dxa"/>
            <w:tcBorders>
              <w:top w:val="single" w:sz="4" w:space="0" w:color="BFBFBF"/>
              <w:left w:val="nil"/>
              <w:bottom w:val="single" w:sz="4" w:space="0" w:color="BFBFBF"/>
              <w:right w:val="nil"/>
            </w:tcBorders>
            <w:shd w:val="clear" w:color="D9E1F2" w:fill="D9E1F2"/>
            <w:noWrap/>
            <w:vAlign w:val="bottom"/>
            <w:hideMark/>
          </w:tcPr>
          <w:p w14:paraId="2D972A72" w14:textId="77777777" w:rsidR="00F262C2" w:rsidRPr="005503B4" w:rsidRDefault="00F262C2" w:rsidP="00E67FD8">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2020</w:t>
            </w:r>
          </w:p>
        </w:tc>
        <w:tc>
          <w:tcPr>
            <w:tcW w:w="1276" w:type="dxa"/>
            <w:tcBorders>
              <w:top w:val="single" w:sz="4" w:space="0" w:color="BFBFBF"/>
              <w:left w:val="nil"/>
              <w:bottom w:val="single" w:sz="4" w:space="0" w:color="BFBFBF"/>
              <w:right w:val="single" w:sz="4" w:space="0" w:color="BFBFBF"/>
            </w:tcBorders>
            <w:shd w:val="clear" w:color="D9E1F2" w:fill="D9E1F2"/>
            <w:noWrap/>
            <w:vAlign w:val="bottom"/>
            <w:hideMark/>
          </w:tcPr>
          <w:p w14:paraId="1B4420D9" w14:textId="77777777" w:rsidR="00F262C2" w:rsidRPr="005503B4" w:rsidRDefault="00F262C2" w:rsidP="00E67FD8">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2021</w:t>
            </w:r>
          </w:p>
        </w:tc>
      </w:tr>
      <w:tr w:rsidR="00F262C2" w:rsidRPr="005503B4" w14:paraId="449D0094" w14:textId="77777777" w:rsidTr="00E67FD8">
        <w:trPr>
          <w:trHeight w:val="240"/>
        </w:trPr>
        <w:tc>
          <w:tcPr>
            <w:tcW w:w="2920" w:type="dxa"/>
            <w:tcBorders>
              <w:top w:val="nil"/>
              <w:left w:val="single" w:sz="4" w:space="0" w:color="BFBFBF"/>
              <w:bottom w:val="nil"/>
              <w:right w:val="nil"/>
            </w:tcBorders>
            <w:shd w:val="clear" w:color="000000" w:fill="FFFFFF"/>
            <w:noWrap/>
            <w:vAlign w:val="bottom"/>
            <w:hideMark/>
          </w:tcPr>
          <w:p w14:paraId="44FE9FDB" w14:textId="77777777" w:rsidR="00F262C2" w:rsidRPr="005503B4" w:rsidRDefault="00F262C2" w:rsidP="00E67FD8">
            <w:pPr>
              <w:spacing w:before="0" w:after="0" w:line="240" w:lineRule="auto"/>
              <w:ind w:firstLineChars="100" w:firstLine="18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Giros internacionales</w:t>
            </w:r>
          </w:p>
        </w:tc>
        <w:tc>
          <w:tcPr>
            <w:tcW w:w="1186" w:type="dxa"/>
            <w:tcBorders>
              <w:top w:val="nil"/>
              <w:left w:val="nil"/>
              <w:bottom w:val="nil"/>
              <w:right w:val="nil"/>
            </w:tcBorders>
            <w:shd w:val="clear" w:color="000000" w:fill="FFFFFF"/>
            <w:noWrap/>
            <w:vAlign w:val="bottom"/>
            <w:hideMark/>
          </w:tcPr>
          <w:p w14:paraId="77475D76"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3.125</w:t>
            </w:r>
          </w:p>
        </w:tc>
        <w:tc>
          <w:tcPr>
            <w:tcW w:w="1276" w:type="dxa"/>
            <w:tcBorders>
              <w:top w:val="nil"/>
              <w:left w:val="nil"/>
              <w:bottom w:val="nil"/>
              <w:right w:val="nil"/>
            </w:tcBorders>
            <w:shd w:val="clear" w:color="000000" w:fill="FFFFFF"/>
            <w:noWrap/>
            <w:vAlign w:val="bottom"/>
            <w:hideMark/>
          </w:tcPr>
          <w:p w14:paraId="07D96DF5"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3.842</w:t>
            </w:r>
          </w:p>
        </w:tc>
        <w:tc>
          <w:tcPr>
            <w:tcW w:w="1276" w:type="dxa"/>
            <w:tcBorders>
              <w:top w:val="nil"/>
              <w:left w:val="nil"/>
              <w:bottom w:val="nil"/>
              <w:right w:val="nil"/>
            </w:tcBorders>
            <w:shd w:val="clear" w:color="000000" w:fill="FFFFFF"/>
            <w:noWrap/>
            <w:vAlign w:val="bottom"/>
            <w:hideMark/>
          </w:tcPr>
          <w:p w14:paraId="3B5C0DAC"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4.112</w:t>
            </w:r>
          </w:p>
        </w:tc>
        <w:tc>
          <w:tcPr>
            <w:tcW w:w="1275" w:type="dxa"/>
            <w:tcBorders>
              <w:top w:val="nil"/>
              <w:left w:val="nil"/>
              <w:bottom w:val="nil"/>
              <w:right w:val="nil"/>
            </w:tcBorders>
            <w:shd w:val="clear" w:color="000000" w:fill="FFFFFF"/>
            <w:noWrap/>
            <w:vAlign w:val="bottom"/>
            <w:hideMark/>
          </w:tcPr>
          <w:p w14:paraId="558545C4"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2.032</w:t>
            </w:r>
          </w:p>
        </w:tc>
        <w:tc>
          <w:tcPr>
            <w:tcW w:w="1276" w:type="dxa"/>
            <w:tcBorders>
              <w:top w:val="nil"/>
              <w:left w:val="nil"/>
              <w:bottom w:val="nil"/>
              <w:right w:val="single" w:sz="4" w:space="0" w:color="BFBFBF"/>
            </w:tcBorders>
            <w:shd w:val="clear" w:color="000000" w:fill="FFFFFF"/>
            <w:noWrap/>
            <w:vAlign w:val="bottom"/>
            <w:hideMark/>
          </w:tcPr>
          <w:p w14:paraId="74D25893"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4.111</w:t>
            </w:r>
          </w:p>
        </w:tc>
      </w:tr>
      <w:tr w:rsidR="00F262C2" w:rsidRPr="005503B4" w14:paraId="4F935C29" w14:textId="77777777" w:rsidTr="00E67FD8">
        <w:trPr>
          <w:trHeight w:val="240"/>
        </w:trPr>
        <w:tc>
          <w:tcPr>
            <w:tcW w:w="2920" w:type="dxa"/>
            <w:tcBorders>
              <w:top w:val="nil"/>
              <w:left w:val="single" w:sz="4" w:space="0" w:color="BFBFBF"/>
              <w:bottom w:val="nil"/>
              <w:right w:val="nil"/>
            </w:tcBorders>
            <w:shd w:val="clear" w:color="000000" w:fill="FFFFFF"/>
            <w:noWrap/>
            <w:vAlign w:val="bottom"/>
            <w:hideMark/>
          </w:tcPr>
          <w:p w14:paraId="562C0D4C" w14:textId="77777777" w:rsidR="00F262C2" w:rsidRPr="005503B4" w:rsidRDefault="00F262C2" w:rsidP="00E67FD8">
            <w:pPr>
              <w:spacing w:before="0" w:after="0" w:line="240" w:lineRule="auto"/>
              <w:ind w:firstLineChars="300" w:firstLine="54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Entrante</w:t>
            </w:r>
          </w:p>
        </w:tc>
        <w:tc>
          <w:tcPr>
            <w:tcW w:w="1186" w:type="dxa"/>
            <w:tcBorders>
              <w:top w:val="nil"/>
              <w:left w:val="nil"/>
              <w:bottom w:val="nil"/>
              <w:right w:val="nil"/>
            </w:tcBorders>
            <w:shd w:val="clear" w:color="000000" w:fill="FFFFFF"/>
            <w:noWrap/>
            <w:vAlign w:val="bottom"/>
            <w:hideMark/>
          </w:tcPr>
          <w:p w14:paraId="73070D26"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1.976</w:t>
            </w:r>
          </w:p>
        </w:tc>
        <w:tc>
          <w:tcPr>
            <w:tcW w:w="1276" w:type="dxa"/>
            <w:tcBorders>
              <w:top w:val="nil"/>
              <w:left w:val="nil"/>
              <w:bottom w:val="nil"/>
              <w:right w:val="nil"/>
            </w:tcBorders>
            <w:shd w:val="clear" w:color="000000" w:fill="FFFFFF"/>
            <w:noWrap/>
            <w:vAlign w:val="bottom"/>
            <w:hideMark/>
          </w:tcPr>
          <w:p w14:paraId="70906443"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2.383</w:t>
            </w:r>
          </w:p>
        </w:tc>
        <w:tc>
          <w:tcPr>
            <w:tcW w:w="1276" w:type="dxa"/>
            <w:tcBorders>
              <w:top w:val="nil"/>
              <w:left w:val="nil"/>
              <w:bottom w:val="nil"/>
              <w:right w:val="nil"/>
            </w:tcBorders>
            <w:shd w:val="clear" w:color="000000" w:fill="FFFFFF"/>
            <w:noWrap/>
            <w:vAlign w:val="bottom"/>
            <w:hideMark/>
          </w:tcPr>
          <w:p w14:paraId="6E63491C"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2.669</w:t>
            </w:r>
          </w:p>
        </w:tc>
        <w:tc>
          <w:tcPr>
            <w:tcW w:w="1275" w:type="dxa"/>
            <w:tcBorders>
              <w:top w:val="nil"/>
              <w:left w:val="nil"/>
              <w:bottom w:val="nil"/>
              <w:right w:val="nil"/>
            </w:tcBorders>
            <w:shd w:val="clear" w:color="000000" w:fill="FFFFFF"/>
            <w:noWrap/>
            <w:vAlign w:val="bottom"/>
            <w:hideMark/>
          </w:tcPr>
          <w:p w14:paraId="71F8B13A"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1.397</w:t>
            </w:r>
          </w:p>
        </w:tc>
        <w:tc>
          <w:tcPr>
            <w:tcW w:w="1276" w:type="dxa"/>
            <w:tcBorders>
              <w:top w:val="nil"/>
              <w:left w:val="nil"/>
              <w:bottom w:val="nil"/>
              <w:right w:val="single" w:sz="4" w:space="0" w:color="BFBFBF"/>
            </w:tcBorders>
            <w:shd w:val="clear" w:color="000000" w:fill="FFFFFF"/>
            <w:noWrap/>
            <w:vAlign w:val="bottom"/>
            <w:hideMark/>
          </w:tcPr>
          <w:p w14:paraId="6CB3FA39"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3.022</w:t>
            </w:r>
          </w:p>
        </w:tc>
      </w:tr>
      <w:tr w:rsidR="00F262C2" w:rsidRPr="005503B4" w14:paraId="2CAAB272" w14:textId="77777777" w:rsidTr="00E67FD8">
        <w:trPr>
          <w:trHeight w:val="240"/>
        </w:trPr>
        <w:tc>
          <w:tcPr>
            <w:tcW w:w="2920" w:type="dxa"/>
            <w:tcBorders>
              <w:top w:val="nil"/>
              <w:left w:val="single" w:sz="4" w:space="0" w:color="BFBFBF"/>
              <w:bottom w:val="nil"/>
              <w:right w:val="nil"/>
            </w:tcBorders>
            <w:shd w:val="clear" w:color="000000" w:fill="FFFFFF"/>
            <w:noWrap/>
            <w:vAlign w:val="bottom"/>
            <w:hideMark/>
          </w:tcPr>
          <w:p w14:paraId="634369AF" w14:textId="77777777" w:rsidR="00F262C2" w:rsidRPr="005503B4" w:rsidRDefault="00F262C2" w:rsidP="00E67FD8">
            <w:pPr>
              <w:spacing w:before="0" w:after="0" w:line="240" w:lineRule="auto"/>
              <w:ind w:firstLineChars="300" w:firstLine="54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Saliente</w:t>
            </w:r>
          </w:p>
        </w:tc>
        <w:tc>
          <w:tcPr>
            <w:tcW w:w="1186" w:type="dxa"/>
            <w:tcBorders>
              <w:top w:val="nil"/>
              <w:left w:val="nil"/>
              <w:bottom w:val="nil"/>
              <w:right w:val="nil"/>
            </w:tcBorders>
            <w:shd w:val="clear" w:color="000000" w:fill="FFFFFF"/>
            <w:noWrap/>
            <w:vAlign w:val="bottom"/>
            <w:hideMark/>
          </w:tcPr>
          <w:p w14:paraId="2C3A41C8"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1.149</w:t>
            </w:r>
          </w:p>
        </w:tc>
        <w:tc>
          <w:tcPr>
            <w:tcW w:w="1276" w:type="dxa"/>
            <w:tcBorders>
              <w:top w:val="nil"/>
              <w:left w:val="nil"/>
              <w:bottom w:val="nil"/>
              <w:right w:val="nil"/>
            </w:tcBorders>
            <w:shd w:val="clear" w:color="000000" w:fill="FFFFFF"/>
            <w:noWrap/>
            <w:vAlign w:val="bottom"/>
            <w:hideMark/>
          </w:tcPr>
          <w:p w14:paraId="51FA5C03"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1.459</w:t>
            </w:r>
          </w:p>
        </w:tc>
        <w:tc>
          <w:tcPr>
            <w:tcW w:w="1276" w:type="dxa"/>
            <w:tcBorders>
              <w:top w:val="nil"/>
              <w:left w:val="nil"/>
              <w:bottom w:val="nil"/>
              <w:right w:val="nil"/>
            </w:tcBorders>
            <w:shd w:val="clear" w:color="000000" w:fill="FFFFFF"/>
            <w:noWrap/>
            <w:vAlign w:val="bottom"/>
            <w:hideMark/>
          </w:tcPr>
          <w:p w14:paraId="0CA8CE70"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1.443</w:t>
            </w:r>
          </w:p>
        </w:tc>
        <w:tc>
          <w:tcPr>
            <w:tcW w:w="1275" w:type="dxa"/>
            <w:tcBorders>
              <w:top w:val="nil"/>
              <w:left w:val="nil"/>
              <w:bottom w:val="nil"/>
              <w:right w:val="nil"/>
            </w:tcBorders>
            <w:shd w:val="clear" w:color="000000" w:fill="FFFFFF"/>
            <w:noWrap/>
            <w:vAlign w:val="bottom"/>
            <w:hideMark/>
          </w:tcPr>
          <w:p w14:paraId="43044F04"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636</w:t>
            </w:r>
          </w:p>
        </w:tc>
        <w:tc>
          <w:tcPr>
            <w:tcW w:w="1276" w:type="dxa"/>
            <w:tcBorders>
              <w:top w:val="nil"/>
              <w:left w:val="nil"/>
              <w:bottom w:val="nil"/>
              <w:right w:val="single" w:sz="4" w:space="0" w:color="BFBFBF"/>
            </w:tcBorders>
            <w:shd w:val="clear" w:color="000000" w:fill="FFFFFF"/>
            <w:noWrap/>
            <w:vAlign w:val="bottom"/>
            <w:hideMark/>
          </w:tcPr>
          <w:p w14:paraId="17582C5D"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1.089</w:t>
            </w:r>
          </w:p>
        </w:tc>
      </w:tr>
      <w:tr w:rsidR="00F262C2" w:rsidRPr="005503B4" w14:paraId="1741D738" w14:textId="77777777" w:rsidTr="00E67FD8">
        <w:trPr>
          <w:trHeight w:val="240"/>
        </w:trPr>
        <w:tc>
          <w:tcPr>
            <w:tcW w:w="2920" w:type="dxa"/>
            <w:tcBorders>
              <w:top w:val="nil"/>
              <w:left w:val="single" w:sz="4" w:space="0" w:color="BFBFBF"/>
              <w:bottom w:val="nil"/>
              <w:right w:val="nil"/>
            </w:tcBorders>
            <w:shd w:val="clear" w:color="000000" w:fill="FFFFFF"/>
            <w:noWrap/>
            <w:vAlign w:val="bottom"/>
            <w:hideMark/>
          </w:tcPr>
          <w:p w14:paraId="2B8C7DE8" w14:textId="77777777" w:rsidR="00F262C2" w:rsidRPr="005503B4" w:rsidRDefault="00F262C2" w:rsidP="00E67FD8">
            <w:pPr>
              <w:spacing w:before="0" w:after="0" w:line="240" w:lineRule="auto"/>
              <w:ind w:firstLineChars="100" w:firstLine="18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Giros nacionales</w:t>
            </w:r>
          </w:p>
        </w:tc>
        <w:tc>
          <w:tcPr>
            <w:tcW w:w="1186" w:type="dxa"/>
            <w:tcBorders>
              <w:top w:val="nil"/>
              <w:left w:val="nil"/>
              <w:bottom w:val="nil"/>
              <w:right w:val="nil"/>
            </w:tcBorders>
            <w:shd w:val="clear" w:color="000000" w:fill="FFFFFF"/>
            <w:noWrap/>
            <w:vAlign w:val="bottom"/>
            <w:hideMark/>
          </w:tcPr>
          <w:p w14:paraId="47C6F37D"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685.523</w:t>
            </w:r>
          </w:p>
        </w:tc>
        <w:tc>
          <w:tcPr>
            <w:tcW w:w="1276" w:type="dxa"/>
            <w:tcBorders>
              <w:top w:val="nil"/>
              <w:left w:val="nil"/>
              <w:bottom w:val="nil"/>
              <w:right w:val="nil"/>
            </w:tcBorders>
            <w:shd w:val="clear" w:color="000000" w:fill="FFFFFF"/>
            <w:noWrap/>
            <w:vAlign w:val="bottom"/>
            <w:hideMark/>
          </w:tcPr>
          <w:p w14:paraId="3677E3D1"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935.744</w:t>
            </w:r>
          </w:p>
        </w:tc>
        <w:tc>
          <w:tcPr>
            <w:tcW w:w="1276" w:type="dxa"/>
            <w:tcBorders>
              <w:top w:val="nil"/>
              <w:left w:val="nil"/>
              <w:bottom w:val="nil"/>
              <w:right w:val="nil"/>
            </w:tcBorders>
            <w:shd w:val="clear" w:color="000000" w:fill="FFFFFF"/>
            <w:noWrap/>
            <w:vAlign w:val="bottom"/>
            <w:hideMark/>
          </w:tcPr>
          <w:p w14:paraId="306BA7DC"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958.754</w:t>
            </w:r>
          </w:p>
        </w:tc>
        <w:tc>
          <w:tcPr>
            <w:tcW w:w="1275" w:type="dxa"/>
            <w:tcBorders>
              <w:top w:val="nil"/>
              <w:left w:val="nil"/>
              <w:bottom w:val="nil"/>
              <w:right w:val="nil"/>
            </w:tcBorders>
            <w:shd w:val="clear" w:color="000000" w:fill="FFFFFF"/>
            <w:noWrap/>
            <w:vAlign w:val="bottom"/>
            <w:hideMark/>
          </w:tcPr>
          <w:p w14:paraId="2D138215"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858.630</w:t>
            </w:r>
          </w:p>
        </w:tc>
        <w:tc>
          <w:tcPr>
            <w:tcW w:w="1276" w:type="dxa"/>
            <w:tcBorders>
              <w:top w:val="nil"/>
              <w:left w:val="nil"/>
              <w:bottom w:val="nil"/>
              <w:right w:val="single" w:sz="4" w:space="0" w:color="BFBFBF"/>
            </w:tcBorders>
            <w:shd w:val="clear" w:color="000000" w:fill="FFFFFF"/>
            <w:noWrap/>
            <w:vAlign w:val="bottom"/>
            <w:hideMark/>
          </w:tcPr>
          <w:p w14:paraId="60722D54" w14:textId="77777777" w:rsidR="00F262C2" w:rsidRPr="005503B4" w:rsidRDefault="00F262C2" w:rsidP="00E67FD8">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714.336</w:t>
            </w:r>
          </w:p>
        </w:tc>
      </w:tr>
      <w:tr w:rsidR="00F262C2" w:rsidRPr="005503B4" w14:paraId="0E4CBDCC" w14:textId="77777777" w:rsidTr="00E67FD8">
        <w:trPr>
          <w:trHeight w:val="240"/>
        </w:trPr>
        <w:tc>
          <w:tcPr>
            <w:tcW w:w="2920" w:type="dxa"/>
            <w:tcBorders>
              <w:top w:val="single" w:sz="4" w:space="0" w:color="8EA9DB"/>
              <w:left w:val="single" w:sz="4" w:space="0" w:color="BFBFBF"/>
              <w:bottom w:val="single" w:sz="4" w:space="0" w:color="BFBFBF"/>
              <w:right w:val="nil"/>
            </w:tcBorders>
            <w:shd w:val="clear" w:color="D9E1F2" w:fill="D9E1F2"/>
            <w:noWrap/>
            <w:vAlign w:val="bottom"/>
            <w:hideMark/>
          </w:tcPr>
          <w:p w14:paraId="53EA41CE" w14:textId="77777777" w:rsidR="00F262C2" w:rsidRPr="005503B4" w:rsidRDefault="00F262C2" w:rsidP="00E67FD8">
            <w:pPr>
              <w:spacing w:before="0" w:after="0" w:line="240" w:lineRule="auto"/>
              <w:jc w:val="center"/>
              <w:rPr>
                <w:rFonts w:eastAsia="Times New Roman" w:cs="Segoe UI"/>
                <w:b/>
                <w:bCs/>
                <w:color w:val="000000"/>
                <w:sz w:val="18"/>
                <w:szCs w:val="18"/>
                <w:lang w:val="es-CO" w:eastAsia="es-CO"/>
              </w:rPr>
            </w:pPr>
            <w:proofErr w:type="gramStart"/>
            <w:r w:rsidRPr="005503B4">
              <w:rPr>
                <w:rFonts w:eastAsia="Times New Roman" w:cs="Segoe UI"/>
                <w:b/>
                <w:bCs/>
                <w:color w:val="000000"/>
                <w:sz w:val="18"/>
                <w:szCs w:val="18"/>
                <w:lang w:val="es-CO" w:eastAsia="es-CO"/>
              </w:rPr>
              <w:t>Total</w:t>
            </w:r>
            <w:proofErr w:type="gramEnd"/>
            <w:r w:rsidRPr="005503B4">
              <w:rPr>
                <w:rFonts w:eastAsia="Times New Roman" w:cs="Segoe UI"/>
                <w:b/>
                <w:bCs/>
                <w:color w:val="000000"/>
                <w:sz w:val="18"/>
                <w:szCs w:val="18"/>
                <w:lang w:val="es-CO" w:eastAsia="es-CO"/>
              </w:rPr>
              <w:t xml:space="preserve"> mercado de giros postales</w:t>
            </w:r>
          </w:p>
        </w:tc>
        <w:tc>
          <w:tcPr>
            <w:tcW w:w="1186" w:type="dxa"/>
            <w:tcBorders>
              <w:top w:val="single" w:sz="4" w:space="0" w:color="8EA9DB"/>
              <w:left w:val="nil"/>
              <w:bottom w:val="single" w:sz="4" w:space="0" w:color="BFBFBF"/>
              <w:right w:val="nil"/>
            </w:tcBorders>
            <w:shd w:val="clear" w:color="D9E1F2" w:fill="D9E1F2"/>
            <w:noWrap/>
            <w:vAlign w:val="bottom"/>
            <w:hideMark/>
          </w:tcPr>
          <w:p w14:paraId="5CEB5A18" w14:textId="77777777" w:rsidR="00F262C2" w:rsidRPr="005503B4" w:rsidRDefault="00F262C2" w:rsidP="00E67FD8">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$688.648</w:t>
            </w:r>
          </w:p>
        </w:tc>
        <w:tc>
          <w:tcPr>
            <w:tcW w:w="1276" w:type="dxa"/>
            <w:tcBorders>
              <w:top w:val="single" w:sz="4" w:space="0" w:color="8EA9DB"/>
              <w:left w:val="nil"/>
              <w:bottom w:val="single" w:sz="4" w:space="0" w:color="BFBFBF"/>
              <w:right w:val="nil"/>
            </w:tcBorders>
            <w:shd w:val="clear" w:color="D9E1F2" w:fill="D9E1F2"/>
            <w:noWrap/>
            <w:vAlign w:val="bottom"/>
            <w:hideMark/>
          </w:tcPr>
          <w:p w14:paraId="4BEC37E4" w14:textId="77777777" w:rsidR="00F262C2" w:rsidRPr="005503B4" w:rsidRDefault="00F262C2" w:rsidP="00E67FD8">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$939.586</w:t>
            </w:r>
          </w:p>
        </w:tc>
        <w:tc>
          <w:tcPr>
            <w:tcW w:w="1276" w:type="dxa"/>
            <w:tcBorders>
              <w:top w:val="single" w:sz="4" w:space="0" w:color="8EA9DB"/>
              <w:left w:val="nil"/>
              <w:bottom w:val="single" w:sz="4" w:space="0" w:color="BFBFBF"/>
              <w:right w:val="nil"/>
            </w:tcBorders>
            <w:shd w:val="clear" w:color="D9E1F2" w:fill="D9E1F2"/>
            <w:noWrap/>
            <w:vAlign w:val="bottom"/>
            <w:hideMark/>
          </w:tcPr>
          <w:p w14:paraId="4028F241" w14:textId="77777777" w:rsidR="00F262C2" w:rsidRPr="005503B4" w:rsidRDefault="00F262C2" w:rsidP="00E67FD8">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$962.866</w:t>
            </w:r>
          </w:p>
        </w:tc>
        <w:tc>
          <w:tcPr>
            <w:tcW w:w="1275" w:type="dxa"/>
            <w:tcBorders>
              <w:top w:val="single" w:sz="4" w:space="0" w:color="8EA9DB"/>
              <w:left w:val="nil"/>
              <w:bottom w:val="single" w:sz="4" w:space="0" w:color="BFBFBF"/>
              <w:right w:val="nil"/>
            </w:tcBorders>
            <w:shd w:val="clear" w:color="D9E1F2" w:fill="D9E1F2"/>
            <w:noWrap/>
            <w:vAlign w:val="bottom"/>
            <w:hideMark/>
          </w:tcPr>
          <w:p w14:paraId="7DE28BF0" w14:textId="77777777" w:rsidR="00F262C2" w:rsidRPr="005503B4" w:rsidRDefault="00F262C2" w:rsidP="00E67FD8">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$860.662</w:t>
            </w:r>
          </w:p>
        </w:tc>
        <w:tc>
          <w:tcPr>
            <w:tcW w:w="1276" w:type="dxa"/>
            <w:tcBorders>
              <w:top w:val="single" w:sz="4" w:space="0" w:color="8EA9DB"/>
              <w:left w:val="nil"/>
              <w:bottom w:val="single" w:sz="4" w:space="0" w:color="BFBFBF"/>
              <w:right w:val="single" w:sz="4" w:space="0" w:color="BFBFBF"/>
            </w:tcBorders>
            <w:shd w:val="clear" w:color="D9E1F2" w:fill="D9E1F2"/>
            <w:noWrap/>
            <w:vAlign w:val="bottom"/>
            <w:hideMark/>
          </w:tcPr>
          <w:p w14:paraId="771F7EB4" w14:textId="77777777" w:rsidR="00F262C2" w:rsidRPr="005503B4" w:rsidRDefault="00F262C2" w:rsidP="00E67FD8">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$718.447</w:t>
            </w:r>
          </w:p>
        </w:tc>
      </w:tr>
    </w:tbl>
    <w:p w14:paraId="3119FF12" w14:textId="77777777" w:rsidR="00F262C2" w:rsidRPr="005503B4" w:rsidRDefault="00F262C2" w:rsidP="00F262C2">
      <w:pPr>
        <w:pStyle w:val="FuentedeGrfica"/>
      </w:pPr>
      <w:r w:rsidRPr="005503B4">
        <w:t>FUENTE: MinTIC. Boletín Postal trimestral al cuarto trimestre de 2021.</w:t>
      </w:r>
    </w:p>
    <w:p w14:paraId="4D5B25B6" w14:textId="73558F23" w:rsidR="00F262C2" w:rsidRPr="005503B4" w:rsidRDefault="00F262C2" w:rsidP="00F262C2">
      <w:pPr>
        <w:rPr>
          <w:lang w:val="es-CO" w:eastAsia="es-ES"/>
        </w:rPr>
      </w:pPr>
      <w:r w:rsidRPr="005503B4">
        <w:rPr>
          <w:lang w:val="es-CO"/>
        </w:rPr>
        <w:t xml:space="preserve">Como se describirá </w:t>
      </w:r>
      <w:r>
        <w:rPr>
          <w:lang w:val="es-CO"/>
        </w:rPr>
        <w:t xml:space="preserve">con mayor </w:t>
      </w:r>
      <w:r w:rsidRPr="005503B4">
        <w:rPr>
          <w:lang w:val="es-CO"/>
        </w:rPr>
        <w:t xml:space="preserve">detalle en el Capítulo </w:t>
      </w:r>
      <w:r w:rsidRPr="005503B4">
        <w:rPr>
          <w:lang w:val="es-CO"/>
        </w:rPr>
        <w:fldChar w:fldCharType="begin"/>
      </w:r>
      <w:r w:rsidRPr="005503B4">
        <w:rPr>
          <w:lang w:val="es-CO"/>
        </w:rPr>
        <w:instrText xml:space="preserve"> REF _Ref101041585 \r \h </w:instrText>
      </w:r>
      <w:r>
        <w:rPr>
          <w:lang w:val="es-CO"/>
        </w:rPr>
        <w:instrText xml:space="preserve"> \* MERGEFORMAT </w:instrText>
      </w:r>
      <w:r w:rsidRPr="005503B4">
        <w:rPr>
          <w:lang w:val="es-CO"/>
        </w:rPr>
      </w:r>
      <w:r w:rsidRPr="005503B4">
        <w:rPr>
          <w:lang w:val="es-CO"/>
        </w:rPr>
        <w:fldChar w:fldCharType="separate"/>
      </w:r>
      <w:r w:rsidR="00C57FCA">
        <w:rPr>
          <w:lang w:val="es-CO"/>
        </w:rPr>
        <w:t>6</w:t>
      </w:r>
      <w:r w:rsidRPr="005503B4">
        <w:rPr>
          <w:lang w:val="es-CO"/>
        </w:rPr>
        <w:fldChar w:fldCharType="end"/>
      </w:r>
      <w:r w:rsidRPr="005503B4">
        <w:rPr>
          <w:lang w:val="es-CO"/>
        </w:rPr>
        <w:t xml:space="preserve">, se encontró que </w:t>
      </w:r>
      <w:r w:rsidRPr="005503B4">
        <w:rPr>
          <w:lang w:val="es-CO" w:eastAsia="es-ES"/>
        </w:rPr>
        <w:t xml:space="preserve">el tamaño de </w:t>
      </w:r>
      <w:r>
        <w:rPr>
          <w:lang w:val="es-CO" w:eastAsia="es-ES"/>
        </w:rPr>
        <w:t>los ingresos</w:t>
      </w:r>
      <w:r w:rsidRPr="005503B4">
        <w:rPr>
          <w:lang w:val="es-CO" w:eastAsia="es-ES"/>
        </w:rPr>
        <w:t xml:space="preserve"> que perciben los operadores</w:t>
      </w:r>
      <w:r>
        <w:rPr>
          <w:lang w:val="es-CO" w:eastAsia="es-ES"/>
        </w:rPr>
        <w:t xml:space="preserve"> postales de pago</w:t>
      </w:r>
      <w:r w:rsidRPr="005503B4">
        <w:rPr>
          <w:lang w:val="es-CO" w:eastAsia="es-ES"/>
        </w:rPr>
        <w:t xml:space="preserve"> habría disminuido en cerca $2</w:t>
      </w:r>
      <w:r w:rsidR="00393A2C">
        <w:rPr>
          <w:lang w:val="es-CO" w:eastAsia="es-ES"/>
        </w:rPr>
        <w:t>44,4</w:t>
      </w:r>
      <w:r w:rsidRPr="005503B4">
        <w:rPr>
          <w:lang w:val="es-CO" w:eastAsia="es-ES"/>
        </w:rPr>
        <w:t xml:space="preserve"> mil millones entre los años de 2018 y 2021; este comportamiento se explica básicamente, por la entrada de nuevos servicios y plataformas </w:t>
      </w:r>
      <w:r>
        <w:rPr>
          <w:lang w:val="es-CO" w:eastAsia="es-ES"/>
        </w:rPr>
        <w:t>que se encuentran en el</w:t>
      </w:r>
      <w:r w:rsidRPr="005503B4">
        <w:rPr>
          <w:lang w:val="es-CO" w:eastAsia="es-ES"/>
        </w:rPr>
        <w:t xml:space="preserve"> mercado colombiano, principalmente por actores del sector bancario que, como Davivienda y Bancolombia, con sus productos </w:t>
      </w:r>
      <w:proofErr w:type="spellStart"/>
      <w:r w:rsidRPr="005503B4">
        <w:rPr>
          <w:lang w:val="es-CO" w:eastAsia="es-ES"/>
        </w:rPr>
        <w:t>Daviplata</w:t>
      </w:r>
      <w:proofErr w:type="spellEnd"/>
      <w:r w:rsidRPr="005503B4">
        <w:rPr>
          <w:lang w:val="es-CO" w:eastAsia="es-ES"/>
        </w:rPr>
        <w:t xml:space="preserve"> y </w:t>
      </w:r>
      <w:proofErr w:type="spellStart"/>
      <w:r w:rsidRPr="005503B4">
        <w:rPr>
          <w:lang w:val="es-CO" w:eastAsia="es-ES"/>
        </w:rPr>
        <w:t>Nequi</w:t>
      </w:r>
      <w:proofErr w:type="spellEnd"/>
      <w:r w:rsidRPr="005503B4">
        <w:rPr>
          <w:lang w:val="es-CO" w:eastAsia="es-ES"/>
        </w:rPr>
        <w:t>, entraron a competir en el mercado. (</w:t>
      </w:r>
      <w:r>
        <w:rPr>
          <w:lang w:val="es-CO" w:eastAsia="es-ES"/>
        </w:rPr>
        <w:t>V</w:t>
      </w:r>
      <w:r w:rsidRPr="005503B4">
        <w:rPr>
          <w:lang w:val="es-CO" w:eastAsia="es-ES"/>
        </w:rPr>
        <w:t xml:space="preserve">éase </w:t>
      </w:r>
      <w:r>
        <w:rPr>
          <w:lang w:val="es-CO" w:eastAsia="es-ES"/>
        </w:rPr>
        <w:t>a este respecto</w:t>
      </w:r>
      <w:r w:rsidRPr="005503B4">
        <w:rPr>
          <w:lang w:val="es-CO" w:eastAsia="es-ES"/>
        </w:rPr>
        <w:t xml:space="preserve"> </w:t>
      </w:r>
      <w:sdt>
        <w:sdtPr>
          <w:rPr>
            <w:lang w:val="es-CO" w:eastAsia="es-ES"/>
          </w:rPr>
          <w:id w:val="-874388472"/>
          <w:placeholder>
            <w:docPart w:val="037534CEE78A4392B0EE63179171347D"/>
          </w:placeholder>
          <w:citation/>
        </w:sdtPr>
        <w:sdtEndPr/>
        <w:sdtContent>
          <w:r w:rsidRPr="005503B4">
            <w:rPr>
              <w:lang w:val="es-CO" w:eastAsia="es-ES"/>
            </w:rPr>
            <w:fldChar w:fldCharType="begin"/>
          </w:r>
          <w:r w:rsidRPr="005503B4">
            <w:rPr>
              <w:lang w:val="es-CO" w:eastAsia="es-ES"/>
            </w:rPr>
            <w:instrText xml:space="preserve"> CITATION Ban22 \l 9226 </w:instrText>
          </w:r>
          <w:r w:rsidRPr="005503B4">
            <w:rPr>
              <w:lang w:val="es-CO" w:eastAsia="es-ES"/>
            </w:rPr>
            <w:fldChar w:fldCharType="separate"/>
          </w:r>
          <w:r w:rsidR="00C57FCA" w:rsidRPr="00C57FCA">
            <w:rPr>
              <w:noProof/>
              <w:lang w:val="es-CO" w:eastAsia="es-ES"/>
            </w:rPr>
            <w:t>(BanOpor, 2022)</w:t>
          </w:r>
          <w:r w:rsidRPr="005503B4">
            <w:rPr>
              <w:lang w:val="es-CO" w:eastAsia="es-ES"/>
            </w:rPr>
            <w:fldChar w:fldCharType="end"/>
          </w:r>
        </w:sdtContent>
      </w:sdt>
      <w:r>
        <w:rPr>
          <w:lang w:val="es-CO" w:eastAsia="es-ES"/>
        </w:rPr>
        <w:t xml:space="preserve">) </w:t>
      </w:r>
      <w:r w:rsidRPr="005503B4">
        <w:rPr>
          <w:lang w:val="es-CO" w:eastAsia="es-ES"/>
        </w:rPr>
        <w:t xml:space="preserve">Este fenómeno se explicará y justificará </w:t>
      </w:r>
      <w:r>
        <w:rPr>
          <w:lang w:val="es-CO" w:eastAsia="es-ES"/>
        </w:rPr>
        <w:t>con</w:t>
      </w:r>
      <w:r w:rsidRPr="005503B4">
        <w:rPr>
          <w:lang w:val="es-CO" w:eastAsia="es-ES"/>
        </w:rPr>
        <w:t xml:space="preserve"> mucho más detalle en el Capítulo </w:t>
      </w:r>
      <w:r w:rsidRPr="005503B4">
        <w:rPr>
          <w:lang w:val="es-CO" w:eastAsia="es-ES"/>
        </w:rPr>
        <w:fldChar w:fldCharType="begin"/>
      </w:r>
      <w:r w:rsidRPr="005503B4">
        <w:rPr>
          <w:lang w:val="es-CO" w:eastAsia="es-ES"/>
        </w:rPr>
        <w:instrText xml:space="preserve"> REF _Ref101041585 \r \h </w:instrText>
      </w:r>
      <w:r>
        <w:rPr>
          <w:lang w:val="es-CO" w:eastAsia="es-ES"/>
        </w:rPr>
        <w:instrText xml:space="preserve"> \* MERGEFORMAT </w:instrText>
      </w:r>
      <w:r w:rsidRPr="005503B4">
        <w:rPr>
          <w:lang w:val="es-CO" w:eastAsia="es-ES"/>
        </w:rPr>
      </w:r>
      <w:r w:rsidRPr="005503B4">
        <w:rPr>
          <w:lang w:val="es-CO" w:eastAsia="es-ES"/>
        </w:rPr>
        <w:fldChar w:fldCharType="separate"/>
      </w:r>
      <w:r w:rsidR="00C57FCA">
        <w:rPr>
          <w:lang w:val="es-CO" w:eastAsia="es-ES"/>
        </w:rPr>
        <w:t>6</w:t>
      </w:r>
      <w:r w:rsidRPr="005503B4">
        <w:rPr>
          <w:lang w:val="es-CO" w:eastAsia="es-ES"/>
        </w:rPr>
        <w:fldChar w:fldCharType="end"/>
      </w:r>
      <w:r w:rsidRPr="005503B4">
        <w:rPr>
          <w:lang w:val="es-CO" w:eastAsia="es-ES"/>
        </w:rPr>
        <w:t>, en el que se presentará la evolución de los servicios Fintech y bancarios de pago de dinero utilizando redes y puntos de pago</w:t>
      </w:r>
      <w:r>
        <w:rPr>
          <w:lang w:val="es-CO" w:eastAsia="es-ES"/>
        </w:rPr>
        <w:t>,</w:t>
      </w:r>
      <w:r w:rsidRPr="005503B4">
        <w:rPr>
          <w:lang w:val="es-CO" w:eastAsia="es-ES"/>
        </w:rPr>
        <w:t xml:space="preserve"> en el que, además, se analizará el impacto de la presión competitiva de los operadores del sector bancario y de los servicios</w:t>
      </w:r>
      <w:r>
        <w:rPr>
          <w:lang w:val="es-CO" w:eastAsia="es-ES"/>
        </w:rPr>
        <w:t>.</w:t>
      </w:r>
    </w:p>
    <w:p w14:paraId="3CC29E98" w14:textId="77777777" w:rsidR="00F262C2" w:rsidRPr="004261FB" w:rsidRDefault="00F262C2" w:rsidP="00F262C2">
      <w:pPr>
        <w:pStyle w:val="Ttulo2"/>
        <w:rPr>
          <w:b/>
          <w:bCs/>
        </w:rPr>
      </w:pPr>
      <w:bookmarkStart w:id="81" w:name="_Toc102393257"/>
      <w:bookmarkStart w:id="82" w:name="_Toc104272116"/>
      <w:r w:rsidRPr="004261FB">
        <w:rPr>
          <w:b/>
          <w:bCs/>
        </w:rPr>
        <w:t>Conclusiones.</w:t>
      </w:r>
      <w:bookmarkEnd w:id="81"/>
      <w:bookmarkEnd w:id="82"/>
    </w:p>
    <w:p w14:paraId="114B0124" w14:textId="77777777" w:rsidR="00F262C2" w:rsidRPr="005503B4" w:rsidRDefault="00F262C2" w:rsidP="00F262C2">
      <w:r w:rsidRPr="005503B4">
        <w:t xml:space="preserve">Este capítulo del documento estuvo dirigido a presentar un marco de referencia que </w:t>
      </w:r>
      <w:r>
        <w:t>permite orientar</w:t>
      </w:r>
      <w:r w:rsidRPr="005503B4">
        <w:t xml:space="preserve"> el proceso </w:t>
      </w:r>
      <w:r>
        <w:t xml:space="preserve">para fijar la contraprestación </w:t>
      </w:r>
      <w:r w:rsidRPr="005503B4">
        <w:t xml:space="preserve">que deberán pagar los operadores postales a lo largo del período comprendido entre julio de 2022 y junio de 2024, generando para el lector una descripción del tamaño, estructura, evolución y principales segmentos del mercado postal en Colombia. </w:t>
      </w:r>
    </w:p>
    <w:p w14:paraId="05778657" w14:textId="77777777" w:rsidR="00F262C2" w:rsidRPr="005503B4" w:rsidRDefault="00F262C2" w:rsidP="00F262C2">
      <w:r w:rsidRPr="005503B4">
        <w:t>De igual manera, se realizó un análisis del tamaño e importancia relativa del mercado de los tres servicios que componen el mercado postal colombiano, de su capacidad de generación de ingresos, de l</w:t>
      </w:r>
      <w:r>
        <w:t>os pagos</w:t>
      </w:r>
      <w:r w:rsidRPr="005503B4">
        <w:t xml:space="preserve"> al FUTIC, presentando así una primera aproximación relacionada con sus perspectivas de generación de ingresos en el mediano plazo.</w:t>
      </w:r>
    </w:p>
    <w:p w14:paraId="55697D4A" w14:textId="77FC1FC4" w:rsidR="00F262C2" w:rsidRPr="005503B4" w:rsidRDefault="00F262C2" w:rsidP="00F262C2">
      <w:pPr>
        <w:pStyle w:val="TITcuadro"/>
      </w:pPr>
      <w:bookmarkStart w:id="83" w:name="_Toc104228714"/>
      <w:r w:rsidRPr="005503B4">
        <w:lastRenderedPageBreak/>
        <w:t xml:space="preserve">Gráfica </w:t>
      </w:r>
      <w:r w:rsidRPr="005503B4">
        <w:fldChar w:fldCharType="begin"/>
      </w:r>
      <w:r w:rsidRPr="005503B4">
        <w:instrText>STYLEREF 1 \s</w:instrText>
      </w:r>
      <w:r w:rsidRPr="005503B4">
        <w:fldChar w:fldCharType="separate"/>
      </w:r>
      <w:r w:rsidR="00C57FCA">
        <w:rPr>
          <w:noProof/>
        </w:rPr>
        <w:t>2</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6</w:t>
      </w:r>
      <w:r w:rsidRPr="005503B4">
        <w:fldChar w:fldCharType="end"/>
      </w:r>
      <w:r w:rsidRPr="005503B4">
        <w:t xml:space="preserve"> – Mercados de los servicios que conforman la industria postal en Colombia en 2021 – </w:t>
      </w:r>
      <w:r w:rsidR="005003F7">
        <w:t xml:space="preserve">Millones </w:t>
      </w:r>
      <w:r w:rsidRPr="005503B4">
        <w:t>de $</w:t>
      </w:r>
      <w:bookmarkEnd w:id="83"/>
      <w:r w:rsidRPr="005503B4">
        <w:t xml:space="preserve"> </w:t>
      </w:r>
    </w:p>
    <w:p w14:paraId="4AF856E0" w14:textId="77777777" w:rsidR="00F262C2" w:rsidRPr="005503B4" w:rsidRDefault="00F262C2" w:rsidP="00F262C2">
      <w:pPr>
        <w:pStyle w:val="Grfica"/>
      </w:pPr>
      <w:r w:rsidRPr="005503B4">
        <w:rPr>
          <w:noProof/>
          <w:lang w:eastAsia="es-CO"/>
        </w:rPr>
        <w:drawing>
          <wp:inline distT="0" distB="0" distL="0" distR="0" wp14:anchorId="5C9040F8" wp14:editId="76213505">
            <wp:extent cx="4148550" cy="1990725"/>
            <wp:effectExtent l="0" t="0" r="4445" b="9525"/>
            <wp:docPr id="28" name="Gráfico 28">
              <a:extLst xmlns:a="http://schemas.openxmlformats.org/drawingml/2006/main">
                <a:ext uri="{FF2B5EF4-FFF2-40B4-BE49-F238E27FC236}">
                  <a16:creationId xmlns:a16="http://schemas.microsoft.com/office/drawing/2014/main" id="{990E38DA-B5BA-DC0D-9BB0-F94400C0F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29A4CB" w14:textId="77777777" w:rsidR="00F262C2" w:rsidRDefault="00F262C2" w:rsidP="00F262C2">
      <w:pPr>
        <w:pStyle w:val="FuentedeGrfica"/>
      </w:pPr>
      <w:r w:rsidRPr="005503B4">
        <w:t>FUENTE: Estados financieros de SPN y Boletín postal al cuarto trimestre de 2021 para los operadores de mensajería expresa y servicios postales de pago.</w:t>
      </w:r>
    </w:p>
    <w:p w14:paraId="3CA3DC48" w14:textId="77777777" w:rsidR="00F262C2" w:rsidRDefault="00F262C2" w:rsidP="00F262C2">
      <w:pPr>
        <w:spacing w:before="0" w:after="120" w:line="276" w:lineRule="auto"/>
        <w:rPr>
          <w:lang w:val="es-CO" w:eastAsia="es-ES"/>
        </w:rPr>
      </w:pPr>
      <w:r>
        <w:rPr>
          <w:lang w:val="es-CO" w:eastAsia="es-ES"/>
        </w:rPr>
        <w:br w:type="page"/>
      </w:r>
    </w:p>
    <w:bookmarkStart w:id="84" w:name="_Ref101519164"/>
    <w:bookmarkStart w:id="85" w:name="_Toc102393258"/>
    <w:bookmarkStart w:id="86" w:name="_Toc104272117"/>
    <w:p w14:paraId="75469C81" w14:textId="77777777" w:rsidR="00F262C2" w:rsidRPr="005503B4" w:rsidRDefault="00F262C2" w:rsidP="00F262C2">
      <w:pPr>
        <w:pStyle w:val="Ttulo1"/>
        <w:rPr>
          <w:rFonts w:ascii="Arial Narrow" w:hAnsi="Arial Narrow"/>
        </w:rPr>
      </w:pPr>
      <w:r w:rsidRPr="005503B4">
        <w:rPr>
          <w:rFonts w:ascii="Arial Narrow" w:hAnsi="Arial Narrow"/>
          <w:noProof/>
          <w:lang w:val="es-CO" w:eastAsia="es-CO"/>
        </w:rPr>
        <w:lastRenderedPageBreak/>
        <mc:AlternateContent>
          <mc:Choice Requires="wps">
            <w:drawing>
              <wp:anchor distT="0" distB="0" distL="114300" distR="114300" simplePos="0" relativeHeight="251691520" behindDoc="0" locked="0" layoutInCell="1" allowOverlap="1" wp14:anchorId="59FEA391" wp14:editId="18D5D2EF">
                <wp:simplePos x="0" y="0"/>
                <wp:positionH relativeFrom="column">
                  <wp:posOffset>-1486535</wp:posOffset>
                </wp:positionH>
                <wp:positionV relativeFrom="paragraph">
                  <wp:posOffset>53975</wp:posOffset>
                </wp:positionV>
                <wp:extent cx="774700" cy="279400"/>
                <wp:effectExtent l="0" t="0" r="12700" b="12700"/>
                <wp:wrapNone/>
                <wp:docPr id="27" name="Rectángulo 27"/>
                <wp:cNvGraphicFramePr/>
                <a:graphic xmlns:a="http://schemas.openxmlformats.org/drawingml/2006/main">
                  <a:graphicData uri="http://schemas.microsoft.com/office/word/2010/wordprocessingShape">
                    <wps:wsp>
                      <wps:cNvSpPr/>
                      <wps:spPr>
                        <a:xfrm>
                          <a:off x="0" y="0"/>
                          <a:ext cx="774700" cy="27940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F77086" w14:textId="77777777" w:rsidR="003C7C2B" w:rsidRPr="00C527C1" w:rsidRDefault="003C7C2B" w:rsidP="00F262C2">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EA391" id="Rectángulo 27" o:spid="_x0000_s1033" style="position:absolute;left:0;text-align:left;margin-left:-117.05pt;margin-top:4.25pt;width:61pt;height:2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" fillcolor="#2f5496 [2408]" strokecolor="#1f4d78 [1604]" strokeweight="1pt">
                <v:textbox>
                  <w:txbxContent>
                    <w:p w14:paraId="2DF77086" w14:textId="77777777" w:rsidR="003C7C2B" w:rsidRPr="00C527C1" w:rsidRDefault="003C7C2B" w:rsidP="00F262C2">
                      <w:pPr>
                        <w:rPr>
                          <w:lang w:val="es-ES"/>
                        </w:rPr>
                      </w:pPr>
                    </w:p>
                  </w:txbxContent>
                </v:textbox>
              </v:rect>
            </w:pict>
          </mc:Fallback>
        </mc:AlternateContent>
      </w:r>
      <w:bookmarkEnd w:id="51"/>
      <w:bookmarkEnd w:id="84"/>
      <w:bookmarkEnd w:id="85"/>
      <w:bookmarkEnd w:id="86"/>
    </w:p>
    <w:p w14:paraId="30EF05B6" w14:textId="77777777" w:rsidR="00F262C2" w:rsidRPr="005503B4" w:rsidRDefault="00F262C2" w:rsidP="00F262C2">
      <w:pPr>
        <w:pStyle w:val="Titulodescripcin"/>
        <w:rPr>
          <w:rFonts w:ascii="Arial Narrow" w:hAnsi="Arial Narrow"/>
        </w:rPr>
      </w:pPr>
      <w:bookmarkStart w:id="87" w:name="_Toc102393259"/>
      <w:bookmarkStart w:id="88" w:name="_Toc104272118"/>
      <w:bookmarkEnd w:id="52"/>
      <w:r w:rsidRPr="005503B4">
        <w:rPr>
          <w:rFonts w:ascii="Arial Narrow" w:hAnsi="Arial Narrow"/>
        </w:rPr>
        <w:t>Marco legal y estructura del régimen de contraprestaciones a cargo de los operadores postales y a favor del FUTIC.</w:t>
      </w:r>
      <w:bookmarkEnd w:id="87"/>
      <w:bookmarkEnd w:id="88"/>
    </w:p>
    <w:p w14:paraId="5CBAF2E7" w14:textId="77777777" w:rsidR="00F262C2" w:rsidRPr="002A7AD7" w:rsidRDefault="00F262C2" w:rsidP="00F262C2">
      <w:pPr>
        <w:pStyle w:val="Ttulo2"/>
        <w:rPr>
          <w:b/>
          <w:bCs/>
        </w:rPr>
      </w:pPr>
      <w:bookmarkStart w:id="89" w:name="_Toc102393260"/>
      <w:bookmarkStart w:id="90" w:name="_Toc104272119"/>
      <w:r w:rsidRPr="002A7AD7">
        <w:rPr>
          <w:b/>
          <w:bCs/>
        </w:rPr>
        <w:t>Introducción.</w:t>
      </w:r>
      <w:bookmarkEnd w:id="89"/>
      <w:bookmarkEnd w:id="90"/>
    </w:p>
    <w:p w14:paraId="0B057551" w14:textId="77777777" w:rsidR="00F262C2" w:rsidRPr="005503B4" w:rsidRDefault="00F262C2" w:rsidP="00F262C2">
      <w:bookmarkStart w:id="91" w:name="_Hlk101463641"/>
      <w:r w:rsidRPr="005503B4">
        <w:t>Este capítulo está dirigido a presentar el marco legal que determina el régimen de contraprestaciones a favor del Fondo Único de TIC por parte de los operadores postales en Colombia, la cobertura y financiación del Servicio Postal Universal</w:t>
      </w:r>
      <w:r>
        <w:t xml:space="preserve"> – SPU,</w:t>
      </w:r>
      <w:r w:rsidRPr="005503B4">
        <w:t xml:space="preserve"> en el país y como fuente para cubrir gastos de la vigilancia, inspección y control que ejerce el MinTIC sobre el sector postal. </w:t>
      </w:r>
    </w:p>
    <w:p w14:paraId="6B725F64" w14:textId="2676DE1C" w:rsidR="00F262C2" w:rsidRPr="005503B4" w:rsidRDefault="00F262C2" w:rsidP="00F262C2">
      <w:r w:rsidRPr="005503B4">
        <w:t xml:space="preserve">De otro lado, el capítulo presenta la estructura de los montos aportados al FUTIC y los </w:t>
      </w:r>
      <w:r>
        <w:t xml:space="preserve">operadores postales </w:t>
      </w:r>
      <w:r w:rsidRPr="005503B4">
        <w:t>que contribuyen a dicho Fondo, destacando la evolución de los pagos por concepto de contraprestaciones derivadas de las</w:t>
      </w:r>
      <w:r w:rsidR="00A46458">
        <w:t xml:space="preserve"> prórrogas de las </w:t>
      </w:r>
      <w:r w:rsidRPr="005503B4">
        <w:t xml:space="preserve"> habilitaciones</w:t>
      </w:r>
      <w:r w:rsidR="00A46458">
        <w:t xml:space="preserve"> de las licencias</w:t>
      </w:r>
      <w:r w:rsidRPr="005503B4">
        <w:t xml:space="preserve"> </w:t>
      </w:r>
      <w:r>
        <w:t xml:space="preserve">concedidas durante </w:t>
      </w:r>
      <w:r w:rsidRPr="005503B4">
        <w:t>el período 2011 – 2021</w:t>
      </w:r>
      <w:r>
        <w:t xml:space="preserve">, </w:t>
      </w:r>
      <w:r w:rsidRPr="005503B4">
        <w:t xml:space="preserve">mostrando la evolución global agregada de dichos aportes, así como la estructura de las contraprestaciones por tipo de agentes y el mercado de los servicios que conforman </w:t>
      </w:r>
      <w:r>
        <w:t>el sector</w:t>
      </w:r>
      <w:r w:rsidRPr="005503B4">
        <w:t xml:space="preserve"> postal en Colombia.</w:t>
      </w:r>
    </w:p>
    <w:p w14:paraId="1DC27DA9" w14:textId="77777777" w:rsidR="00F262C2" w:rsidRPr="005503B4" w:rsidRDefault="00F262C2" w:rsidP="00F262C2">
      <w:r w:rsidRPr="005503B4">
        <w:t>En ese orden, este capítulo es punto de referencia para el lector, respecto de la decisi</w:t>
      </w:r>
      <w:r>
        <w:t xml:space="preserve">ón tomada por </w:t>
      </w:r>
      <w:r w:rsidRPr="005503B4">
        <w:t>el Ministerio en materia de la contraprestación que pagarán los operadores postales en el período comprendido entre julio de 2022 y junio de 2024.</w:t>
      </w:r>
    </w:p>
    <w:p w14:paraId="495B7976" w14:textId="77777777" w:rsidR="00F262C2" w:rsidRPr="005503B4" w:rsidRDefault="00F262C2" w:rsidP="00F262C2">
      <w:pPr>
        <w:pStyle w:val="Ttulo2"/>
      </w:pPr>
      <w:bookmarkStart w:id="92" w:name="_Toc102393261"/>
      <w:bookmarkStart w:id="93" w:name="_Toc104272120"/>
      <w:bookmarkEnd w:id="91"/>
      <w:r w:rsidRPr="005503B4">
        <w:t>El esquema de contraprestaciones al Fondo Único de TIC en Colombia: La Ley 1369 de 2009 y las contraprestaciones de los operadores postales. Fuentes.</w:t>
      </w:r>
      <w:bookmarkEnd w:id="92"/>
      <w:bookmarkEnd w:id="93"/>
    </w:p>
    <w:p w14:paraId="554F7F21" w14:textId="77777777" w:rsidR="00F262C2" w:rsidRPr="005503B4" w:rsidRDefault="00F262C2" w:rsidP="00F262C2">
      <w:r w:rsidRPr="005503B4">
        <w:t>Esta sección del capítulo presenta el marco normativo e institucional, con base en el cual se define el pago de contraprestaciones de los operadores postales al Fondo Único de TIC en Colombia,</w:t>
      </w:r>
      <w:r>
        <w:t xml:space="preserve"> su destinación orientada</w:t>
      </w:r>
      <w:r w:rsidRPr="005503B4">
        <w:t xml:space="preserve"> </w:t>
      </w:r>
      <w:r>
        <w:t xml:space="preserve">a </w:t>
      </w:r>
      <w:r w:rsidRPr="005503B4">
        <w:t>la financiación de la cobertura del Servicio Postal Universal</w:t>
      </w:r>
      <w:r>
        <w:t xml:space="preserve">, cubrir </w:t>
      </w:r>
      <w:r w:rsidRPr="005503B4">
        <w:t xml:space="preserve">los gastos de </w:t>
      </w:r>
      <w:r>
        <w:t>i</w:t>
      </w:r>
      <w:r w:rsidRPr="005503B4">
        <w:t>nspección,</w:t>
      </w:r>
      <w:r>
        <w:t xml:space="preserve"> vigilancia y</w:t>
      </w:r>
      <w:r w:rsidRPr="005503B4">
        <w:t xml:space="preserve"> </w:t>
      </w:r>
      <w:r>
        <w:t>c</w:t>
      </w:r>
      <w:r w:rsidRPr="005503B4">
        <w:t>ontrol</w:t>
      </w:r>
      <w:r>
        <w:t xml:space="preserve"> del Ministerio.</w:t>
      </w:r>
    </w:p>
    <w:p w14:paraId="65CCF7F7" w14:textId="77777777" w:rsidR="00F262C2" w:rsidRPr="005503B4" w:rsidRDefault="00F262C2" w:rsidP="00F262C2">
      <w:r w:rsidRPr="005503B4">
        <w:t>En punto al tema, sea lo primero indicar que en el artículo 14 de la Ley 1369 de 2009, se definen los conceptos por contraprestaciones que deben pagar los operadores postales al FUTIC. Plantea la Ley que los operadores postales deben realizar dos tipos de pagos al Fondo, los cuales se explican a continuación.</w:t>
      </w:r>
    </w:p>
    <w:p w14:paraId="0351BCEA" w14:textId="77777777" w:rsidR="00F262C2" w:rsidRPr="005503B4" w:rsidRDefault="00F262C2" w:rsidP="00F262C2">
      <w:pPr>
        <w:pStyle w:val="Ttulo3"/>
      </w:pPr>
      <w:bookmarkStart w:id="94" w:name="_Toc102393262"/>
      <w:bookmarkStart w:id="95" w:name="_Toc104272121"/>
      <w:r w:rsidRPr="005503B4">
        <w:lastRenderedPageBreak/>
        <w:t>Cargo fijo por</w:t>
      </w:r>
      <w:r>
        <w:t xml:space="preserve"> el otorgamiento y renovación </w:t>
      </w:r>
      <w:r w:rsidRPr="005503B4">
        <w:t>de la habilitac</w:t>
      </w:r>
      <w:r>
        <w:t>ión</w:t>
      </w:r>
      <w:r w:rsidRPr="005503B4">
        <w:t xml:space="preserve"> de los operadores postales en Colombia.</w:t>
      </w:r>
      <w:bookmarkEnd w:id="94"/>
      <w:bookmarkEnd w:id="95"/>
    </w:p>
    <w:p w14:paraId="71C90BFC" w14:textId="77777777" w:rsidR="00F262C2" w:rsidRPr="005503B4" w:rsidRDefault="00F262C2" w:rsidP="00F262C2">
      <w:r w:rsidRPr="005503B4">
        <w:t xml:space="preserve">El primer pago corresponde al pago inicial </w:t>
      </w:r>
      <w:r>
        <w:t xml:space="preserve">por concepto </w:t>
      </w:r>
      <w:r w:rsidRPr="005503B4">
        <w:t>de la habilitación, requisito indispensable para ser inscrito en el Registro de Operadores Postales, en adelante ROP, equivalente a cien salarios mínimos mensuales legales vigentes (100 SMMLV) y, a partir de allí, cada diez años, deberá efectuarse un pago de renovación por el mismo monto, ello según lo establecido en el artículo 14 de la Ley 1369 de 2009, en cuyo inciso tercero se señala:</w:t>
      </w:r>
    </w:p>
    <w:p w14:paraId="48DDBE7B" w14:textId="77777777" w:rsidR="00F262C2" w:rsidRPr="005503B4" w:rsidRDefault="00F262C2" w:rsidP="00F262C2">
      <w:pPr>
        <w:pStyle w:val="Citatextuallarga"/>
      </w:pPr>
      <w:r w:rsidRPr="005503B4">
        <w:t xml:space="preserve">“Posteriormente al otorgamiento de la habilitación, los operadores deberán pagar una suma equivalente a cien </w:t>
      </w:r>
      <w:r w:rsidRPr="005503B4">
        <w:rPr>
          <w:b/>
          <w:bCs/>
        </w:rPr>
        <w:t>(100) [SMMLV]</w:t>
      </w:r>
      <w:r w:rsidRPr="005503B4">
        <w:t xml:space="preserve"> para ser inscritos en el Registro de Operadores Postales. Cada vez que se cumplan diez (10) años de inscripción, el Operador pagará la suma determinada en este literal. Si un Operador Postal desea inscribirse también como Operador de Servicios Postales de Pago, deberá pagar la suma anteriormente estipulada por el registro adicional (…)”.</w:t>
      </w:r>
    </w:p>
    <w:p w14:paraId="7DE14FDE" w14:textId="77777777" w:rsidR="00F262C2" w:rsidRDefault="00F262C2" w:rsidP="00F262C2">
      <w:pPr>
        <w:rPr>
          <w:lang w:val="es-CO"/>
        </w:rPr>
      </w:pPr>
      <w:r w:rsidRPr="005503B4">
        <w:rPr>
          <w:lang w:val="es-CO"/>
        </w:rPr>
        <w:t>En este sentido, el término de diez años, por el cual se ha</w:t>
      </w:r>
      <w:r>
        <w:rPr>
          <w:lang w:val="es-CO"/>
        </w:rPr>
        <w:t>n</w:t>
      </w:r>
      <w:r w:rsidRPr="005503B4">
        <w:rPr>
          <w:lang w:val="es-CO"/>
        </w:rPr>
        <w:t xml:space="preserve"> otorgado </w:t>
      </w:r>
      <w:r>
        <w:rPr>
          <w:lang w:val="es-CO"/>
        </w:rPr>
        <w:t>los</w:t>
      </w:r>
      <w:r w:rsidRPr="005503B4">
        <w:rPr>
          <w:lang w:val="es-CO"/>
        </w:rPr>
        <w:t xml:space="preserve"> título</w:t>
      </w:r>
      <w:r>
        <w:rPr>
          <w:lang w:val="es-CO"/>
        </w:rPr>
        <w:t>s</w:t>
      </w:r>
      <w:r w:rsidRPr="005503B4">
        <w:rPr>
          <w:lang w:val="es-CO"/>
        </w:rPr>
        <w:t xml:space="preserve"> habilitante</w:t>
      </w:r>
      <w:r>
        <w:rPr>
          <w:lang w:val="es-CO"/>
        </w:rPr>
        <w:t>s</w:t>
      </w:r>
      <w:r w:rsidRPr="005503B4">
        <w:rPr>
          <w:lang w:val="es-CO"/>
        </w:rPr>
        <w:t xml:space="preserve"> a los operadores postales</w:t>
      </w:r>
      <w:r>
        <w:rPr>
          <w:lang w:val="es-CO"/>
        </w:rPr>
        <w:t xml:space="preserve"> (mensajería expresa y postales de pago)</w:t>
      </w:r>
      <w:r w:rsidRPr="005503B4">
        <w:rPr>
          <w:lang w:val="es-CO"/>
        </w:rPr>
        <w:t>,</w:t>
      </w:r>
      <w:r>
        <w:rPr>
          <w:lang w:val="es-CO"/>
        </w:rPr>
        <w:t xml:space="preserve"> iniciaron su vencimiento en el año</w:t>
      </w:r>
      <w:r w:rsidRPr="005503B4">
        <w:rPr>
          <w:lang w:val="es-CO"/>
        </w:rPr>
        <w:t xml:space="preserve"> 2020,</w:t>
      </w:r>
      <w:r>
        <w:rPr>
          <w:lang w:val="es-CO"/>
        </w:rPr>
        <w:t xml:space="preserve"> año desde el cual se han concedido las correspondientes renovaciones, situación que seguirá</w:t>
      </w:r>
      <w:r w:rsidRPr="005503B4">
        <w:rPr>
          <w:lang w:val="es-CO"/>
        </w:rPr>
        <w:t xml:space="preserve"> </w:t>
      </w:r>
      <w:r>
        <w:rPr>
          <w:lang w:val="es-CO"/>
        </w:rPr>
        <w:t>presentándose</w:t>
      </w:r>
      <w:r w:rsidRPr="005503B4">
        <w:rPr>
          <w:lang w:val="es-CO"/>
        </w:rPr>
        <w:t xml:space="preserve"> en los próximos tres años. </w:t>
      </w:r>
    </w:p>
    <w:p w14:paraId="47C1FA06" w14:textId="54560BD9" w:rsidR="00F262C2" w:rsidRPr="005503B4" w:rsidRDefault="00F262C2" w:rsidP="00F262C2">
      <w:pPr>
        <w:rPr>
          <w:lang w:val="es-CO"/>
        </w:rPr>
      </w:pPr>
      <w:r w:rsidRPr="005503B4">
        <w:rPr>
          <w:lang w:val="es-CO"/>
        </w:rPr>
        <w:t>Para el caso de SPN, la renovación de</w:t>
      </w:r>
      <w:r>
        <w:rPr>
          <w:lang w:val="es-CO"/>
        </w:rPr>
        <w:t>l título habilitante que le permite prestar en exclusividad los servicios de correo, en virtud de lo dispuesto en el</w:t>
      </w:r>
      <w:r w:rsidRPr="005503B4">
        <w:rPr>
          <w:lang w:val="es-CO"/>
        </w:rPr>
        <w:t xml:space="preserve">, contrato de Concesión 010 de 2004, tuvo lugar en el 2014, año en que </w:t>
      </w:r>
      <w:r w:rsidRPr="005503B4">
        <w:t xml:space="preserve">la concesión </w:t>
      </w:r>
      <w:r>
        <w:t>la misma</w:t>
      </w:r>
      <w:r w:rsidRPr="005503B4">
        <w:t xml:space="preserve"> fue prorrogada por 10 años, por un valor de $46.369 millones.</w:t>
      </w:r>
    </w:p>
    <w:p w14:paraId="77A1941D" w14:textId="77777777" w:rsidR="00F262C2" w:rsidRPr="005503B4" w:rsidRDefault="00F262C2" w:rsidP="00F262C2">
      <w:pPr>
        <w:pStyle w:val="Ttulo3"/>
      </w:pPr>
      <w:bookmarkStart w:id="96" w:name="_Toc104272122"/>
      <w:bookmarkStart w:id="97" w:name="_Toc102393263"/>
      <w:r w:rsidRPr="005503B4">
        <w:t>Cargo periódico o recurrente trimestral</w:t>
      </w:r>
      <w:r>
        <w:t xml:space="preserve"> por la prestación de los servicios de Mensajería Expresa y Postal de Pago</w:t>
      </w:r>
      <w:bookmarkEnd w:id="96"/>
      <w:r w:rsidRPr="005503B4">
        <w:t xml:space="preserve"> </w:t>
      </w:r>
      <w:bookmarkEnd w:id="97"/>
    </w:p>
    <w:p w14:paraId="0CBC17DF" w14:textId="77777777" w:rsidR="00F262C2" w:rsidRPr="005503B4" w:rsidRDefault="00F262C2" w:rsidP="00F262C2">
      <w:r w:rsidRPr="005503B4">
        <w:t>El artículo 14 de la Ley 1369, además prevé que los operadores postales de mensajería expresa y operadores postales de pago deberán pagar una contraprestación periódica, por trimestres vencidos, que no exceda del 3% de los ingresos brutos por la prestación de los servicios postales, porcentaje que deberá revisar y definir cada dos años el MinTIC. A este respecto, plantea la ley:</w:t>
      </w:r>
    </w:p>
    <w:p w14:paraId="26EC78E4" w14:textId="77777777" w:rsidR="00F262C2" w:rsidRPr="005503B4" w:rsidRDefault="00F262C2" w:rsidP="00F262C2">
      <w:pPr>
        <w:pStyle w:val="Citatextuallarga"/>
      </w:pPr>
      <w:r w:rsidRPr="005503B4">
        <w:t xml:space="preserve">“Todos los operadores pagarán la contraprestación periódica estipulada en el artículo 4 de la presente ley al Fondo (…). </w:t>
      </w:r>
    </w:p>
    <w:p w14:paraId="58E6831E" w14:textId="77777777" w:rsidR="00F262C2" w:rsidRPr="005503B4" w:rsidRDefault="00F262C2" w:rsidP="00F262C2">
      <w:pPr>
        <w:pStyle w:val="Citatextuallarga"/>
      </w:pPr>
      <w:r w:rsidRPr="005503B4">
        <w:t xml:space="preserve">El valor de la contraprestación periódica a cargo de todos los operadores postales se fijará como un mismo porcentaje sobre sus ingresos brutos por concepto de la prestación de servicios postales, </w:t>
      </w:r>
      <w:r w:rsidRPr="005503B4">
        <w:rPr>
          <w:b/>
          <w:bCs/>
        </w:rPr>
        <w:t xml:space="preserve">sin tener en cuenta los ingresos provenientes de recursos públicos para financiar el Servicio Postal </w:t>
      </w:r>
      <w:r w:rsidRPr="005503B4">
        <w:rPr>
          <w:b/>
          <w:bCs/>
        </w:rPr>
        <w:lastRenderedPageBreak/>
        <w:t>Universal y las Franquicias</w:t>
      </w:r>
      <w:r w:rsidRPr="005503B4">
        <w:t>. Dicha contraprestación se fijará por períodos de dos (2) años y no podrá exceder del 3,0% de los ingresos brutos”. (El resaltado es nuestro y se encuentra fuera de texto original).</w:t>
      </w:r>
    </w:p>
    <w:p w14:paraId="1E40E9E5" w14:textId="77777777" w:rsidR="00F262C2" w:rsidRPr="005503B4" w:rsidRDefault="00F262C2" w:rsidP="00F262C2">
      <w:r w:rsidRPr="005503B4">
        <w:t xml:space="preserve">Al respecto, la Ley 1978 del 25 de julio de 2019, mantiene lo previsto en el artículo 14 de la Ley 1369 de 2009. En efecto, el parágrafo del artículo 2° de la Ley 1978 plantea que: </w:t>
      </w:r>
      <w:r w:rsidRPr="005503B4">
        <w:rPr>
          <w:i/>
          <w:iCs/>
        </w:rPr>
        <w:t>“(…) El servicio postal continuará rigiéndose por las normas especiales pertinentes, en particular, la Ley 1369 de 2009, con las excepciones específicas que contenga la presente Ley (…)”</w:t>
      </w:r>
      <w:r w:rsidRPr="005503B4">
        <w:t>.</w:t>
      </w:r>
    </w:p>
    <w:p w14:paraId="3B59C16C" w14:textId="7C9551E0" w:rsidR="00F262C2" w:rsidRPr="005503B4" w:rsidRDefault="00F262C2" w:rsidP="00F262C2">
      <w:r w:rsidRPr="005503B4">
        <w:t xml:space="preserve">Es de anotar que, </w:t>
      </w:r>
      <w:r w:rsidR="00716AF6">
        <w:t>mediante el a</w:t>
      </w:r>
      <w:r w:rsidR="00716AF6" w:rsidRPr="00716AF6">
        <w:t xml:space="preserve">rtículo 311 </w:t>
      </w:r>
      <w:r w:rsidR="00716AF6">
        <w:t xml:space="preserve">de la </w:t>
      </w:r>
      <w:r w:rsidR="00716AF6" w:rsidRPr="00716AF6">
        <w:t>Ley 1955 de 2019</w:t>
      </w:r>
      <w:r w:rsidR="00716AF6">
        <w:t>,</w:t>
      </w:r>
      <w:r w:rsidR="00716AF6" w:rsidRPr="00716AF6">
        <w:t xml:space="preserve"> que modificó el artículo 14 Ley 1369 de 2009</w:t>
      </w:r>
      <w:r w:rsidR="00716AF6">
        <w:t xml:space="preserve">, y que fue reglamentado posteriormente por </w:t>
      </w:r>
      <w:r w:rsidRPr="005503B4">
        <w:t xml:space="preserve">la Resolución MinTIC 2715 de 2020, </w:t>
      </w:r>
      <w:r w:rsidR="00716AF6">
        <w:t xml:space="preserve">se </w:t>
      </w:r>
      <w:r w:rsidRPr="005503B4">
        <w:t xml:space="preserve">autorizó el pago de las contraprestaciones, inicial y periódica, a los operadores postales mediante el mecanismo de “Obligaciones de Hacer”, </w:t>
      </w:r>
      <w:r w:rsidR="00B21A14">
        <w:t xml:space="preserve">sin embrago, </w:t>
      </w:r>
      <w:r w:rsidRPr="005503B4">
        <w:t xml:space="preserve">a la fecha esta alternativa no se ha llevado a la práctica, motivo por el cual el valor de las contraprestaciones a pagar </w:t>
      </w:r>
      <w:r>
        <w:t>sigue</w:t>
      </w:r>
      <w:r w:rsidRPr="005503B4">
        <w:t xml:space="preserve"> siendo de naturaleza pecuniaria.</w:t>
      </w:r>
    </w:p>
    <w:p w14:paraId="7D5E0DCB" w14:textId="77777777" w:rsidR="00F262C2" w:rsidRPr="005503B4" w:rsidRDefault="00F262C2" w:rsidP="00F262C2">
      <w:pPr>
        <w:pStyle w:val="Ttulo2"/>
      </w:pPr>
      <w:bookmarkStart w:id="98" w:name="_Toc102393264"/>
      <w:bookmarkStart w:id="99" w:name="_Toc104272123"/>
      <w:bookmarkStart w:id="100" w:name="_Hlk101042608"/>
      <w:r w:rsidRPr="005503B4">
        <w:t>Evolución de los pagos por Contraprestaciones postales al FUTIC: Período 2011 - 2021.</w:t>
      </w:r>
      <w:bookmarkEnd w:id="98"/>
      <w:bookmarkEnd w:id="99"/>
    </w:p>
    <w:p w14:paraId="1C44227A" w14:textId="77777777" w:rsidR="00F262C2" w:rsidRPr="005503B4" w:rsidRDefault="00F262C2" w:rsidP="00F262C2">
      <w:r w:rsidRPr="005503B4">
        <w:t>Esta sección del capítulo est</w:t>
      </w:r>
      <w:r>
        <w:t>á</w:t>
      </w:r>
      <w:r w:rsidRPr="005503B4">
        <w:t xml:space="preserve"> dedicada a presentar la manera </w:t>
      </w:r>
      <w:proofErr w:type="spellStart"/>
      <w:r w:rsidRPr="005503B4">
        <w:t>como</w:t>
      </w:r>
      <w:proofErr w:type="spellEnd"/>
      <w:r w:rsidRPr="005503B4">
        <w:t xml:space="preserve"> han evolucionado los pagos al FUTIC, por concepto de contraprestaci</w:t>
      </w:r>
      <w:r>
        <w:t>ón a cargo de los operadores</w:t>
      </w:r>
      <w:r w:rsidRPr="005503B4">
        <w:t xml:space="preserve"> postales para el período comprendido entre </w:t>
      </w:r>
      <w:r>
        <w:t xml:space="preserve">los años </w:t>
      </w:r>
      <w:r w:rsidRPr="005503B4">
        <w:t xml:space="preserve">2011 y 2021. Se presentará la evolución global agregada, así como la estructura de las contraprestaciones por tipo de agente y para los mercados de los tres servicios que conforman </w:t>
      </w:r>
      <w:r>
        <w:t>el sector</w:t>
      </w:r>
      <w:r w:rsidRPr="005503B4">
        <w:t xml:space="preserve">, de manera tal que se tenga claridad de los </w:t>
      </w:r>
      <w:r>
        <w:t>valores</w:t>
      </w:r>
      <w:r w:rsidRPr="005503B4">
        <w:t xml:space="preserve"> de las contraprestaciones y de los </w:t>
      </w:r>
      <w:r>
        <w:t>montos</w:t>
      </w:r>
      <w:r w:rsidRPr="005503B4">
        <w:t xml:space="preserve"> que aportan los diferentes actores, obligados a </w:t>
      </w:r>
      <w:proofErr w:type="spellStart"/>
      <w:r w:rsidRPr="005503B4">
        <w:t>contr</w:t>
      </w:r>
      <w:r>
        <w:t>aprestar</w:t>
      </w:r>
      <w:proofErr w:type="spellEnd"/>
      <w:r w:rsidRPr="005503B4">
        <w:t xml:space="preserve"> al Fondo Único de TIC.</w:t>
      </w:r>
    </w:p>
    <w:p w14:paraId="7CEB745D" w14:textId="77777777" w:rsidR="00F262C2" w:rsidRPr="005503B4" w:rsidRDefault="00F262C2" w:rsidP="00F262C2">
      <w:pPr>
        <w:pStyle w:val="Ttulo3"/>
      </w:pPr>
      <w:bookmarkStart w:id="101" w:name="_Toc102393265"/>
      <w:bookmarkStart w:id="102" w:name="_Toc104272124"/>
      <w:bookmarkEnd w:id="100"/>
      <w:r w:rsidRPr="005503B4">
        <w:t>Contraprestaciones</w:t>
      </w:r>
      <w:r>
        <w:t xml:space="preserve"> a cargo de los operadores</w:t>
      </w:r>
      <w:r w:rsidRPr="005503B4">
        <w:t xml:space="preserve"> postales. Evolución histórica 2011 – 2021.</w:t>
      </w:r>
      <w:bookmarkEnd w:id="101"/>
      <w:bookmarkEnd w:id="102"/>
    </w:p>
    <w:p w14:paraId="6FDC1004" w14:textId="288921CA" w:rsidR="00F262C2" w:rsidRDefault="00F262C2" w:rsidP="00F262C2">
      <w:r w:rsidRPr="005503B4">
        <w:t xml:space="preserve">Teniendo en cuenta lo anterior, en la </w:t>
      </w:r>
      <w:r w:rsidRPr="005503B4">
        <w:fldChar w:fldCharType="begin"/>
      </w:r>
      <w:r w:rsidRPr="005503B4">
        <w:instrText xml:space="preserve"> REF _Ref101038341 \h </w:instrText>
      </w:r>
      <w:r>
        <w:instrText xml:space="preserve"> \* MERGEFORMAT </w:instrText>
      </w:r>
      <w:r w:rsidRPr="005503B4">
        <w:fldChar w:fldCharType="separate"/>
      </w:r>
      <w:r w:rsidR="00C57FCA" w:rsidRPr="005503B4">
        <w:t xml:space="preserve">Gráfica </w:t>
      </w:r>
      <w:r w:rsidR="00C57FCA">
        <w:rPr>
          <w:noProof/>
        </w:rPr>
        <w:t>3</w:t>
      </w:r>
      <w:r w:rsidR="00C57FCA" w:rsidRPr="005503B4">
        <w:rPr>
          <w:noProof/>
        </w:rPr>
        <w:noBreakHyphen/>
      </w:r>
      <w:r w:rsidR="00C57FCA">
        <w:rPr>
          <w:noProof/>
        </w:rPr>
        <w:t>1</w:t>
      </w:r>
      <w:r w:rsidRPr="005503B4">
        <w:fldChar w:fldCharType="end"/>
      </w:r>
      <w:r w:rsidRPr="005503B4">
        <w:t xml:space="preserve"> se presenta la evolución de las contraprestaciones </w:t>
      </w:r>
      <w:r>
        <w:t>en favor del</w:t>
      </w:r>
      <w:r w:rsidRPr="005503B4">
        <w:t xml:space="preserve"> FUTIC, en el período comprendido entre los años 2011 y 2021, estimados en pesos constantes de diciembre de 2021. De la observación de la gráfica se puede inferir que el volumen promedio de las contraprestaciones postales se ha mantenido, en los últimos cinco años, alrededor de los $60 mil millones. Para el año 2021, el valor total reportado por el Fondo fue de $58.914 millones, encontrándose así que los recursos que aportan los operadores postales al Fondo han disminuido a una tasa del 2,9% promedio anual, en los pasados siete años.</w:t>
      </w:r>
    </w:p>
    <w:p w14:paraId="685F4996" w14:textId="380A2CC2" w:rsidR="00F262C2" w:rsidRPr="005503B4" w:rsidRDefault="00F262C2" w:rsidP="00F262C2">
      <w:r w:rsidRPr="005503B4">
        <w:t xml:space="preserve">Es de precisar que, en el mes de junio de 2020, con la expedición del Decreto 887, se disminuyó la contraprestación del 3% al 2,5%, hecho que contribuye a explicar </w:t>
      </w:r>
      <w:r>
        <w:t>el recaudo</w:t>
      </w:r>
      <w:r w:rsidRPr="005503B4">
        <w:t xml:space="preserve"> a partir de 2020. También es </w:t>
      </w:r>
      <w:r w:rsidRPr="005503B4">
        <w:lastRenderedPageBreak/>
        <w:t xml:space="preserve">importante comentar que las cifras del año 2015 se encuentran </w:t>
      </w:r>
      <w:r w:rsidR="00B21A14">
        <w:t>impactadas</w:t>
      </w:r>
      <w:r w:rsidR="00B21A14" w:rsidRPr="005503B4">
        <w:t xml:space="preserve"> </w:t>
      </w:r>
      <w:r w:rsidRPr="005503B4">
        <w:t>con el pago</w:t>
      </w:r>
      <w:r>
        <w:t xml:space="preserve"> por concepto</w:t>
      </w:r>
      <w:r w:rsidRPr="005503B4">
        <w:t xml:space="preserve"> de renovación de la concesión de</w:t>
      </w:r>
      <w:r>
        <w:t xml:space="preserve"> correo</w:t>
      </w:r>
      <w:r w:rsidR="00B21A14">
        <w:t xml:space="preserve"> en favor de Servicios Postales Nacionales</w:t>
      </w:r>
      <w:r w:rsidRPr="005503B4">
        <w:t>, por un valor de $46.369 millones,</w:t>
      </w:r>
      <w:r>
        <w:t xml:space="preserve"> que le permite operar por un periodo</w:t>
      </w:r>
      <w:r w:rsidRPr="005503B4">
        <w:t xml:space="preserve"> adicional de 10 años el servicio. </w:t>
      </w:r>
    </w:p>
    <w:p w14:paraId="2A96DB22" w14:textId="17D7557B" w:rsidR="00F262C2" w:rsidRPr="005503B4" w:rsidRDefault="00F262C2" w:rsidP="00F262C2">
      <w:pPr>
        <w:pStyle w:val="TITcuadro"/>
      </w:pPr>
      <w:bookmarkStart w:id="103" w:name="_Ref101038341"/>
      <w:bookmarkStart w:id="104" w:name="_Toc104228715"/>
      <w:r w:rsidRPr="005503B4">
        <w:t xml:space="preserve">Gráfica </w:t>
      </w:r>
      <w:r w:rsidRPr="005503B4">
        <w:fldChar w:fldCharType="begin"/>
      </w:r>
      <w:r w:rsidRPr="005503B4">
        <w:instrText>STYLEREF 1 \s</w:instrText>
      </w:r>
      <w:r w:rsidRPr="005503B4">
        <w:fldChar w:fldCharType="separate"/>
      </w:r>
      <w:r w:rsidR="00C57FCA">
        <w:rPr>
          <w:noProof/>
        </w:rPr>
        <w:t>3</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1</w:t>
      </w:r>
      <w:r w:rsidRPr="005503B4">
        <w:fldChar w:fldCharType="end"/>
      </w:r>
      <w:bookmarkEnd w:id="103"/>
      <w:r w:rsidRPr="005503B4">
        <w:t xml:space="preserve"> - Contraprestaciones Postales al FUTIC – Millones de </w:t>
      </w:r>
      <w:r w:rsidR="002D3349">
        <w:t>pesos</w:t>
      </w:r>
      <w:r w:rsidRPr="005503B4">
        <w:t xml:space="preserve"> reales (dic 2021 = 100)</w:t>
      </w:r>
      <w:bookmarkEnd w:id="104"/>
    </w:p>
    <w:p w14:paraId="78616072" w14:textId="77777777" w:rsidR="00F262C2" w:rsidRPr="005503B4" w:rsidRDefault="00F262C2" w:rsidP="00F262C2">
      <w:pPr>
        <w:pStyle w:val="Grfica"/>
      </w:pPr>
      <w:r w:rsidRPr="005503B4">
        <w:rPr>
          <w:noProof/>
          <w:lang w:eastAsia="es-CO"/>
        </w:rPr>
        <w:drawing>
          <wp:inline distT="0" distB="0" distL="0" distR="0" wp14:anchorId="5E09EBD2" wp14:editId="3DA8BEB1">
            <wp:extent cx="5849620" cy="2768600"/>
            <wp:effectExtent l="0" t="0" r="0" b="0"/>
            <wp:docPr id="33" name="Imagen 3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ráfico, Gráfico de barras&#10;&#10;Descripción generada automáticamente"/>
                    <pic:cNvPicPr/>
                  </pic:nvPicPr>
                  <pic:blipFill>
                    <a:blip r:embed="rId22"/>
                    <a:stretch>
                      <a:fillRect/>
                    </a:stretch>
                  </pic:blipFill>
                  <pic:spPr>
                    <a:xfrm>
                      <a:off x="0" y="0"/>
                      <a:ext cx="5849620" cy="2768600"/>
                    </a:xfrm>
                    <a:prstGeom prst="rect">
                      <a:avLst/>
                    </a:prstGeom>
                  </pic:spPr>
                </pic:pic>
              </a:graphicData>
            </a:graphic>
          </wp:inline>
        </w:drawing>
      </w:r>
      <w:r w:rsidRPr="005503B4">
        <w:rPr>
          <w:noProof/>
          <w:lang w:eastAsia="es-CO"/>
        </w:rPr>
        <mc:AlternateContent>
          <mc:Choice Requires="wps">
            <w:drawing>
              <wp:anchor distT="0" distB="0" distL="114300" distR="114300" simplePos="0" relativeHeight="251719168" behindDoc="0" locked="0" layoutInCell="1" allowOverlap="1" wp14:anchorId="0DA85941" wp14:editId="0E74DAFF">
                <wp:simplePos x="0" y="0"/>
                <wp:positionH relativeFrom="column">
                  <wp:posOffset>0</wp:posOffset>
                </wp:positionH>
                <wp:positionV relativeFrom="paragraph">
                  <wp:posOffset>-635</wp:posOffset>
                </wp:positionV>
                <wp:extent cx="634874" cy="233069"/>
                <wp:effectExtent l="0" t="0" r="0" b="0"/>
                <wp:wrapNone/>
                <wp:docPr id="55" name="CuadroTexto 2"/>
                <wp:cNvGraphicFramePr/>
                <a:graphic xmlns:a="http://schemas.openxmlformats.org/drawingml/2006/main">
                  <a:graphicData uri="http://schemas.microsoft.com/office/word/2010/wordprocessingShape">
                    <wps:wsp>
                      <wps:cNvSpPr txBox="1"/>
                      <wps:spPr>
                        <a:xfrm>
                          <a:off x="0" y="0"/>
                          <a:ext cx="634874" cy="233069"/>
                        </a:xfrm>
                        <a:prstGeom prst="rect">
                          <a:avLst/>
                        </a:prstGeom>
                      </wps:spPr>
                      <wps:txbx>
                        <w:txbxContent>
                          <w:p w14:paraId="08A497C7" w14:textId="77777777" w:rsidR="003C7C2B" w:rsidRDefault="003C7C2B" w:rsidP="00F262C2">
                            <w:pPr>
                              <w:rPr>
                                <w:rFonts w:asciiTheme="minorHAnsi" w:hAnsi="Calibri"/>
                                <w:b/>
                                <w:bCs/>
                                <w:color w:val="595959" w:themeColor="text1" w:themeTint="A6"/>
                                <w:sz w:val="18"/>
                                <w:szCs w:val="18"/>
                              </w:rPr>
                            </w:pPr>
                            <w:r>
                              <w:rPr>
                                <w:rFonts w:asciiTheme="minorHAnsi" w:hAnsi="Calibri"/>
                                <w:b/>
                                <w:bCs/>
                                <w:color w:val="595959" w:themeColor="text1" w:themeTint="A6"/>
                                <w:sz w:val="18"/>
                                <w:szCs w:val="18"/>
                              </w:rPr>
                              <w:t>128.791</w:t>
                            </w:r>
                            <w:r>
                              <w:rPr>
                                <w:rFonts w:asciiTheme="minorHAnsi" w:hAnsi="Calibri"/>
                                <w:b/>
                                <w:bCs/>
                                <w:color w:val="595959" w:themeColor="text1" w:themeTint="A6"/>
                                <w:position w:val="5"/>
                                <w:sz w:val="18"/>
                                <w:szCs w:val="18"/>
                                <w:vertAlign w:val="superscript"/>
                              </w:rPr>
                              <w:t>1</w:t>
                            </w:r>
                          </w:p>
                        </w:txbxContent>
                      </wps:txbx>
                      <wps:bodyPr vertOverflow="clip" wrap="none" rtlCol="0"/>
                    </wps:wsp>
                  </a:graphicData>
                </a:graphic>
              </wp:anchor>
            </w:drawing>
          </mc:Choice>
          <mc:Fallback>
            <w:pict>
              <v:shape w14:anchorId="0DA85941" id="CuadroTexto 2" o:spid="_x0000_s1034" type="#_x0000_t202" style="position:absolute;left:0;text-align:left;margin-left:0;margin-top:-.05pt;width:50pt;height:18.35pt;z-index:251719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" filled="f" stroked="f">
                <v:textbox>
                  <w:txbxContent>
                    <w:p w14:paraId="08A497C7" w14:textId="77777777" w:rsidR="003C7C2B" w:rsidRDefault="003C7C2B" w:rsidP="00F262C2">
                      <w:pPr>
                        <w:rPr>
                          <w:rFonts w:asciiTheme="minorHAnsi" w:hAnsi="Calibri"/>
                          <w:b/>
                          <w:bCs/>
                          <w:color w:val="595959" w:themeColor="text1" w:themeTint="A6"/>
                          <w:sz w:val="18"/>
                          <w:szCs w:val="18"/>
                        </w:rPr>
                      </w:pPr>
                      <w:r>
                        <w:rPr>
                          <w:rFonts w:asciiTheme="minorHAnsi" w:hAnsi="Calibri"/>
                          <w:b/>
                          <w:bCs/>
                          <w:color w:val="595959" w:themeColor="text1" w:themeTint="A6"/>
                          <w:sz w:val="18"/>
                          <w:szCs w:val="18"/>
                        </w:rPr>
                        <w:t>128.791</w:t>
                      </w:r>
                      <w:r>
                        <w:rPr>
                          <w:rFonts w:asciiTheme="minorHAnsi" w:hAnsi="Calibri"/>
                          <w:b/>
                          <w:bCs/>
                          <w:color w:val="595959" w:themeColor="text1" w:themeTint="A6"/>
                          <w:position w:val="5"/>
                          <w:sz w:val="18"/>
                          <w:szCs w:val="18"/>
                          <w:vertAlign w:val="superscript"/>
                        </w:rPr>
                        <w:t>1</w:t>
                      </w:r>
                    </w:p>
                  </w:txbxContent>
                </v:textbox>
              </v:shape>
            </w:pict>
          </mc:Fallback>
        </mc:AlternateContent>
      </w:r>
    </w:p>
    <w:p w14:paraId="4ABDDEFD" w14:textId="77777777" w:rsidR="00F262C2" w:rsidRPr="005503B4" w:rsidRDefault="00F262C2" w:rsidP="00F262C2">
      <w:pPr>
        <w:pStyle w:val="Grfica"/>
        <w:ind w:left="426" w:hanging="426"/>
        <w:jc w:val="both"/>
      </w:pPr>
      <w:r w:rsidRPr="005503B4">
        <w:rPr>
          <w:vertAlign w:val="superscript"/>
          <w:lang w:val="es-ES_tradnl"/>
        </w:rPr>
        <w:t>1</w:t>
      </w:r>
      <w:r w:rsidRPr="005503B4">
        <w:rPr>
          <w:lang w:val="es-ES_tradnl"/>
        </w:rPr>
        <w:t xml:space="preserve"> </w:t>
      </w:r>
      <w:r w:rsidRPr="005503B4">
        <w:rPr>
          <w:lang w:val="es-ES_tradnl"/>
        </w:rPr>
        <w:tab/>
      </w:r>
      <w:proofErr w:type="gramStart"/>
      <w:r w:rsidRPr="005503B4">
        <w:rPr>
          <w:sz w:val="18"/>
          <w:szCs w:val="18"/>
          <w:lang w:val="es-ES_tradnl"/>
        </w:rPr>
        <w:t>Renovación</w:t>
      </w:r>
      <w:proofErr w:type="gramEnd"/>
      <w:r w:rsidRPr="005503B4">
        <w:rPr>
          <w:sz w:val="18"/>
          <w:szCs w:val="18"/>
          <w:lang w:val="es-ES_tradnl"/>
        </w:rPr>
        <w:t xml:space="preserve"> del contrato de concesión 010 de 2004 otorgado a SPN. Se presenta a escala, a efecto de análisis y lectura de la información.</w:t>
      </w:r>
    </w:p>
    <w:p w14:paraId="71206733" w14:textId="77777777" w:rsidR="00F262C2" w:rsidRPr="005503B4" w:rsidRDefault="00F262C2" w:rsidP="00F262C2">
      <w:pPr>
        <w:pStyle w:val="FuentedeGrfica"/>
      </w:pPr>
      <w:r w:rsidRPr="005503B4">
        <w:t>FUENTE: MinTIC. FUTIC y Subdirección de Asuntos Postales. Informe en EXCEL de las contraprestaciones trimestrales por operadores y por tipo de servicio del sector postal.</w:t>
      </w:r>
    </w:p>
    <w:p w14:paraId="032400D3" w14:textId="196D814F" w:rsidR="00F262C2" w:rsidRPr="005503B4" w:rsidRDefault="00F262C2" w:rsidP="00F262C2">
      <w:r w:rsidRPr="005503B4">
        <w:t xml:space="preserve">Igualmente, cabe destacar que en las cifras correspondientes a los años 2020 y 2021, se encuentran los pagos por concepto de renovaciones de las habilitaciones de </w:t>
      </w:r>
      <w:r>
        <w:t>los operadores que las han solicitado</w:t>
      </w:r>
      <w:r w:rsidRPr="005503B4">
        <w:t xml:space="preserve">, también por períodos de 10 años. En el año 2020 el valor de dichas renovaciones ascendió a $1.578 millones, en tanto que para el año 2021, el valor en cuestión fue del orden de los $2.276 millones. </w:t>
      </w:r>
    </w:p>
    <w:p w14:paraId="17404458" w14:textId="77777777" w:rsidR="00F262C2" w:rsidRPr="005503B4" w:rsidRDefault="00F262C2" w:rsidP="00F262C2">
      <w:r w:rsidRPr="005503B4">
        <w:t xml:space="preserve">En los próximos años, esta tendencia continuará presentándose para aquellos operadores cuyas habilitaciones se vencen en dicho período. </w:t>
      </w:r>
    </w:p>
    <w:p w14:paraId="178AA576" w14:textId="77777777" w:rsidR="00F262C2" w:rsidRPr="00686E45" w:rsidRDefault="00F262C2" w:rsidP="00F262C2">
      <w:pPr>
        <w:pStyle w:val="Ttulo3"/>
        <w:rPr>
          <w:b/>
          <w:bCs/>
        </w:rPr>
      </w:pPr>
      <w:bookmarkStart w:id="105" w:name="_Toc102393266"/>
      <w:bookmarkStart w:id="106" w:name="_Toc104272125"/>
      <w:r w:rsidRPr="00686E45">
        <w:rPr>
          <w:b/>
          <w:bCs/>
        </w:rPr>
        <w:lastRenderedPageBreak/>
        <w:t>Contraprestaciones postales por servicios.</w:t>
      </w:r>
      <w:bookmarkEnd w:id="105"/>
      <w:bookmarkEnd w:id="106"/>
    </w:p>
    <w:p w14:paraId="3CFA60E8" w14:textId="77777777" w:rsidR="00F262C2" w:rsidRPr="005503B4" w:rsidRDefault="00F262C2" w:rsidP="00F262C2">
      <w:r w:rsidRPr="005503B4">
        <w:t>Para comprender la evolución de los montos que aportaron los operadores postales al Fondo, especialmente antes del año 2014, es preciso tener en cuenta que SPN tuvo el monopolio de los servicios postales de pago, giros postales nacionales e internacionales, hasta ese año</w:t>
      </w:r>
      <w:r>
        <w:t>.</w:t>
      </w:r>
      <w:r w:rsidRPr="005503B4">
        <w:t xml:space="preserve"> </w:t>
      </w:r>
    </w:p>
    <w:p w14:paraId="6C64713B" w14:textId="3C5046FB" w:rsidR="00F262C2" w:rsidRPr="005503B4" w:rsidRDefault="007204C1" w:rsidP="00F262C2">
      <w:r>
        <w:t>De un lado y c</w:t>
      </w:r>
      <w:r w:rsidR="00F262C2" w:rsidRPr="005503B4">
        <w:t>omo se coment</w:t>
      </w:r>
      <w:r>
        <w:t xml:space="preserve">ará en mayor detalle </w:t>
      </w:r>
      <w:r w:rsidR="00F262C2" w:rsidRPr="005503B4">
        <w:t xml:space="preserve">en la sección </w:t>
      </w:r>
      <w:r w:rsidR="00287E8D">
        <w:fldChar w:fldCharType="begin"/>
      </w:r>
      <w:r w:rsidR="00287E8D">
        <w:instrText xml:space="preserve"> REF _Ref104045936 \r \h </w:instrText>
      </w:r>
      <w:r w:rsidR="00287E8D">
        <w:fldChar w:fldCharType="separate"/>
      </w:r>
      <w:r w:rsidR="00C57FCA">
        <w:t>6.2</w:t>
      </w:r>
      <w:r w:rsidR="00287E8D">
        <w:fldChar w:fldCharType="end"/>
      </w:r>
      <w:r w:rsidR="00F262C2" w:rsidRPr="005503B4">
        <w:t xml:space="preserve"> del Capítulo </w:t>
      </w:r>
      <w:r>
        <w:fldChar w:fldCharType="begin"/>
      </w:r>
      <w:r>
        <w:instrText xml:space="preserve"> REF _Ref101041585 \r \h </w:instrText>
      </w:r>
      <w:r>
        <w:fldChar w:fldCharType="separate"/>
      </w:r>
      <w:r w:rsidR="00C57FCA">
        <w:t>6</w:t>
      </w:r>
      <w:r>
        <w:fldChar w:fldCharType="end"/>
      </w:r>
      <w:r w:rsidR="00F262C2" w:rsidRPr="005503B4">
        <w:t xml:space="preserve"> del documento, a partir del año 2014, el mercado de giros postales nacionales</w:t>
      </w:r>
      <w:r w:rsidR="00F262C2">
        <w:t xml:space="preserve"> es prestado en competencia</w:t>
      </w:r>
      <w:r w:rsidR="00F262C2" w:rsidRPr="005503B4">
        <w:t xml:space="preserve">, </w:t>
      </w:r>
      <w:r w:rsidR="00F262C2">
        <w:t xml:space="preserve">en dicho </w:t>
      </w:r>
      <w:r w:rsidR="00F262C2" w:rsidRPr="005503B4">
        <w:t xml:space="preserve">momento iniciaron operación </w:t>
      </w:r>
      <w:r w:rsidR="00F262C2">
        <w:t>operadores habilitados por el MinTIC</w:t>
      </w:r>
      <w:r w:rsidR="00F262C2" w:rsidRPr="005503B4">
        <w:t xml:space="preserve">, </w:t>
      </w:r>
      <w:r w:rsidR="00F262C2">
        <w:t>quienes</w:t>
      </w:r>
      <w:r w:rsidR="00F262C2" w:rsidRPr="005503B4">
        <w:t xml:space="preserve"> empezaron a </w:t>
      </w:r>
      <w:proofErr w:type="spellStart"/>
      <w:r w:rsidR="00F262C2" w:rsidRPr="005503B4">
        <w:t>cont</w:t>
      </w:r>
      <w:r w:rsidR="00F262C2">
        <w:t>raprestar</w:t>
      </w:r>
      <w:proofErr w:type="spellEnd"/>
      <w:r w:rsidR="00F262C2">
        <w:t xml:space="preserve"> en favor del </w:t>
      </w:r>
      <w:r w:rsidR="00F262C2" w:rsidRPr="005503B4">
        <w:t xml:space="preserve">FUTIC. </w:t>
      </w:r>
      <w:r w:rsidR="00F262C2">
        <w:t xml:space="preserve">De otro lado, </w:t>
      </w:r>
      <w:r w:rsidR="00F262C2" w:rsidRPr="005503B4">
        <w:t>SPN continuó operando como uno de los cinco a</w:t>
      </w:r>
      <w:r w:rsidR="00F262C2">
        <w:t>ctores</w:t>
      </w:r>
      <w:r w:rsidR="00F262C2" w:rsidRPr="005503B4">
        <w:t xml:space="preserve"> del mercado, manteniendo, en virtud de lo dispuesto en la Ley 1369, el monopolio en los giros postales internacionales</w:t>
      </w:r>
      <w:r w:rsidR="00F262C2">
        <w:t>.</w:t>
      </w:r>
    </w:p>
    <w:p w14:paraId="6458D32D" w14:textId="2C71DEA3" w:rsidR="00F262C2" w:rsidRPr="005503B4" w:rsidRDefault="00F262C2" w:rsidP="00F262C2">
      <w:r w:rsidRPr="005503B4">
        <w:t>La gran dinámica que se observa a partir del año 2015 coincide con la apertura de ese mercado a la competencia, momento en el que las contraprestaciones totales pasaron de un monto del orden de los $50 mil millones en el año 2014, a $70,1 mil millones en el 2015, cifras constantes de 2021.</w:t>
      </w:r>
    </w:p>
    <w:p w14:paraId="3EAA512B" w14:textId="23E156E1" w:rsidR="00F262C2" w:rsidRDefault="00F262C2" w:rsidP="00F262C2">
      <w:r w:rsidRPr="005503B4">
        <w:t xml:space="preserve">De otro lado, la </w:t>
      </w:r>
      <w:r w:rsidRPr="005503B4">
        <w:fldChar w:fldCharType="begin"/>
      </w:r>
      <w:r w:rsidRPr="005503B4">
        <w:instrText xml:space="preserve"> REF _Ref101040950 \h </w:instrText>
      </w:r>
      <w:r>
        <w:instrText xml:space="preserve"> \* MERGEFORMAT </w:instrText>
      </w:r>
      <w:r w:rsidRPr="005503B4">
        <w:fldChar w:fldCharType="separate"/>
      </w:r>
      <w:r w:rsidR="00C57FCA" w:rsidRPr="005503B4">
        <w:t xml:space="preserve">Gráfica </w:t>
      </w:r>
      <w:r w:rsidR="00C57FCA">
        <w:rPr>
          <w:noProof/>
        </w:rPr>
        <w:t>3</w:t>
      </w:r>
      <w:r w:rsidR="00C57FCA" w:rsidRPr="005503B4">
        <w:rPr>
          <w:noProof/>
        </w:rPr>
        <w:noBreakHyphen/>
      </w:r>
      <w:r w:rsidR="00C57FCA">
        <w:rPr>
          <w:noProof/>
        </w:rPr>
        <w:t>2</w:t>
      </w:r>
      <w:r w:rsidRPr="005503B4">
        <w:fldChar w:fldCharType="end"/>
      </w:r>
      <w:r w:rsidRPr="005503B4">
        <w:t xml:space="preserve"> permite apreciar los agentes del mercado postal que aportan al FUTIC. En el año 2021, por ejemplo, se encuentra que el segmento que realizó los mayores aportes al Fondo fue el de mensajería expresa, con </w:t>
      </w:r>
      <w:r>
        <w:t>aportes</w:t>
      </w:r>
      <w:r w:rsidRPr="005503B4">
        <w:t xml:space="preserve"> del orden de los $40 mil millones, representando el 67,8% del monto total, mientras que los operadores de</w:t>
      </w:r>
      <w:r>
        <w:t>l servicio postal de</w:t>
      </w:r>
      <w:r w:rsidRPr="005503B4">
        <w:t xml:space="preserve"> pago aportaron cerca de $19 mil millones en ese año, con una participación del orden del 32%.</w:t>
      </w:r>
      <w:r>
        <w:t xml:space="preserve"> </w:t>
      </w:r>
      <w:r w:rsidRPr="005503B4">
        <w:t>De la observación de la gráfica se puede inferir</w:t>
      </w:r>
      <w:r w:rsidR="00AE7303">
        <w:t>,</w:t>
      </w:r>
      <w:r w:rsidRPr="005503B4">
        <w:t xml:space="preserve"> de igual manera, que la importancia relativa de los aportes de los operadores de</w:t>
      </w:r>
      <w:r>
        <w:t>l servicio postal de pago</w:t>
      </w:r>
      <w:r w:rsidRPr="005503B4">
        <w:t xml:space="preserve"> ha venido disminuyendo desde el año 2018. </w:t>
      </w:r>
    </w:p>
    <w:p w14:paraId="0784B94D" w14:textId="62823DE6" w:rsidR="00384795" w:rsidRPr="005503B4" w:rsidRDefault="00384795" w:rsidP="00384795">
      <w:pPr>
        <w:pStyle w:val="Descripcin"/>
      </w:pPr>
      <w:bookmarkStart w:id="107" w:name="_Toc104227928"/>
      <w:r w:rsidRPr="005503B4">
        <w:t xml:space="preserve">Tabla </w:t>
      </w:r>
      <w:r w:rsidRPr="005503B4">
        <w:fldChar w:fldCharType="begin"/>
      </w:r>
      <w:r w:rsidRPr="005503B4">
        <w:instrText>STYLEREF 1 \s</w:instrText>
      </w:r>
      <w:r w:rsidRPr="005503B4">
        <w:fldChar w:fldCharType="separate"/>
      </w:r>
      <w:r w:rsidR="00C57FCA">
        <w:rPr>
          <w:noProof/>
        </w:rPr>
        <w:t>3</w:t>
      </w:r>
      <w:r w:rsidRPr="005503B4">
        <w:fldChar w:fldCharType="end"/>
      </w:r>
      <w:r w:rsidRPr="005503B4">
        <w:noBreakHyphen/>
      </w:r>
      <w:r w:rsidRPr="005503B4">
        <w:fldChar w:fldCharType="begin"/>
      </w:r>
      <w:r w:rsidRPr="005503B4">
        <w:instrText>SEQ Tabla \* ARABIC \s 1</w:instrText>
      </w:r>
      <w:r w:rsidRPr="005503B4">
        <w:fldChar w:fldCharType="separate"/>
      </w:r>
      <w:r w:rsidR="00C57FCA">
        <w:rPr>
          <w:noProof/>
        </w:rPr>
        <w:t>1</w:t>
      </w:r>
      <w:r w:rsidRPr="005503B4">
        <w:fldChar w:fldCharType="end"/>
      </w:r>
      <w:r w:rsidRPr="005503B4">
        <w:t xml:space="preserve"> Contraprestaciones por conceptos pagadas por los operadores del mercado postal – 2021 </w:t>
      </w:r>
      <w:r w:rsidRPr="005503B4">
        <w:rPr>
          <w:sz w:val="18"/>
          <w:szCs w:val="18"/>
        </w:rPr>
        <w:t xml:space="preserve">(Millones de </w:t>
      </w:r>
      <w:r>
        <w:rPr>
          <w:sz w:val="18"/>
          <w:szCs w:val="18"/>
        </w:rPr>
        <w:t>pesos</w:t>
      </w:r>
      <w:r w:rsidRPr="005503B4">
        <w:rPr>
          <w:sz w:val="18"/>
          <w:szCs w:val="18"/>
        </w:rPr>
        <w:t>)</w:t>
      </w:r>
      <w:bookmarkEnd w:id="107"/>
    </w:p>
    <w:tbl>
      <w:tblPr>
        <w:tblW w:w="8926" w:type="dxa"/>
        <w:tblCellMar>
          <w:left w:w="70" w:type="dxa"/>
          <w:right w:w="70" w:type="dxa"/>
        </w:tblCellMar>
        <w:tblLook w:val="04A0" w:firstRow="1" w:lastRow="0" w:firstColumn="1" w:lastColumn="0" w:noHBand="0" w:noVBand="1"/>
      </w:tblPr>
      <w:tblGrid>
        <w:gridCol w:w="2830"/>
        <w:gridCol w:w="1418"/>
        <w:gridCol w:w="1843"/>
        <w:gridCol w:w="1559"/>
        <w:gridCol w:w="1276"/>
      </w:tblGrid>
      <w:tr w:rsidR="00384795" w:rsidRPr="005503B4" w14:paraId="1CC247F2" w14:textId="77777777" w:rsidTr="00AB1F05">
        <w:trPr>
          <w:trHeight w:val="930"/>
        </w:trPr>
        <w:tc>
          <w:tcPr>
            <w:tcW w:w="2830"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09C561F8"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Tipo de operadores</w:t>
            </w:r>
          </w:p>
        </w:tc>
        <w:tc>
          <w:tcPr>
            <w:tcW w:w="1418" w:type="dxa"/>
            <w:tcBorders>
              <w:top w:val="single" w:sz="4" w:space="0" w:color="4472C4"/>
              <w:left w:val="nil"/>
              <w:bottom w:val="single" w:sz="4" w:space="0" w:color="4472C4"/>
              <w:right w:val="single" w:sz="4" w:space="0" w:color="4472C4"/>
            </w:tcBorders>
            <w:shd w:val="clear" w:color="000000" w:fill="D9E1F2"/>
            <w:vAlign w:val="center"/>
            <w:hideMark/>
          </w:tcPr>
          <w:p w14:paraId="744C13E6"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Pago periódico</w:t>
            </w:r>
          </w:p>
        </w:tc>
        <w:tc>
          <w:tcPr>
            <w:tcW w:w="1843" w:type="dxa"/>
            <w:tcBorders>
              <w:top w:val="single" w:sz="4" w:space="0" w:color="4472C4"/>
              <w:left w:val="nil"/>
              <w:bottom w:val="single" w:sz="4" w:space="0" w:color="4472C4"/>
              <w:right w:val="single" w:sz="4" w:space="0" w:color="4472C4"/>
            </w:tcBorders>
            <w:shd w:val="clear" w:color="000000" w:fill="D9E1F2"/>
            <w:vAlign w:val="center"/>
            <w:hideMark/>
          </w:tcPr>
          <w:p w14:paraId="25A45039"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Intereses corrientes y de mora, multas y otros</w:t>
            </w:r>
          </w:p>
        </w:tc>
        <w:tc>
          <w:tcPr>
            <w:tcW w:w="1559" w:type="dxa"/>
            <w:tcBorders>
              <w:top w:val="single" w:sz="4" w:space="0" w:color="4472C4"/>
              <w:left w:val="nil"/>
              <w:bottom w:val="single" w:sz="4" w:space="0" w:color="4472C4"/>
              <w:right w:val="single" w:sz="4" w:space="0" w:color="4472C4"/>
            </w:tcBorders>
            <w:shd w:val="clear" w:color="000000" w:fill="D9E1F2"/>
            <w:vAlign w:val="center"/>
            <w:hideMark/>
          </w:tcPr>
          <w:p w14:paraId="2BA66350"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Renovación de habilitaciones</w:t>
            </w:r>
          </w:p>
        </w:tc>
        <w:tc>
          <w:tcPr>
            <w:tcW w:w="1276" w:type="dxa"/>
            <w:tcBorders>
              <w:top w:val="single" w:sz="4" w:space="0" w:color="4472C4"/>
              <w:left w:val="nil"/>
              <w:bottom w:val="single" w:sz="4" w:space="0" w:color="4472C4"/>
              <w:right w:val="single" w:sz="4" w:space="0" w:color="4472C4"/>
            </w:tcBorders>
            <w:shd w:val="clear" w:color="000000" w:fill="D9E1F2"/>
            <w:vAlign w:val="center"/>
            <w:hideMark/>
          </w:tcPr>
          <w:p w14:paraId="293CCE47"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Total</w:t>
            </w:r>
          </w:p>
        </w:tc>
      </w:tr>
      <w:tr w:rsidR="00384795" w:rsidRPr="005503B4" w14:paraId="6945BAF8" w14:textId="77777777" w:rsidTr="00AB1F05">
        <w:trPr>
          <w:trHeight w:val="390"/>
        </w:trPr>
        <w:tc>
          <w:tcPr>
            <w:tcW w:w="2830" w:type="dxa"/>
            <w:tcBorders>
              <w:top w:val="nil"/>
              <w:left w:val="single" w:sz="4" w:space="0" w:color="4472C4"/>
              <w:bottom w:val="single" w:sz="4" w:space="0" w:color="4472C4"/>
              <w:right w:val="single" w:sz="4" w:space="0" w:color="4472C4"/>
            </w:tcBorders>
            <w:shd w:val="clear" w:color="auto" w:fill="auto"/>
            <w:noWrap/>
            <w:vAlign w:val="center"/>
            <w:hideMark/>
          </w:tcPr>
          <w:p w14:paraId="644ED3B2" w14:textId="77777777" w:rsidR="00384795" w:rsidRPr="005503B4" w:rsidRDefault="00384795" w:rsidP="00AB1F05">
            <w:pPr>
              <w:spacing w:before="0" w:after="0" w:line="240" w:lineRule="auto"/>
              <w:ind w:firstLineChars="100" w:firstLine="220"/>
              <w:jc w:val="left"/>
              <w:rPr>
                <w:rFonts w:eastAsia="Times New Roman" w:cs="Calibri"/>
                <w:color w:val="000000"/>
                <w:sz w:val="22"/>
                <w:szCs w:val="22"/>
                <w:lang w:val="es-CO" w:eastAsia="es-CO"/>
              </w:rPr>
            </w:pPr>
            <w:r w:rsidRPr="005503B4">
              <w:rPr>
                <w:rFonts w:eastAsia="Times New Roman" w:cs="Calibri"/>
                <w:color w:val="000000"/>
                <w:sz w:val="22"/>
                <w:szCs w:val="22"/>
                <w:lang w:val="es-CO" w:eastAsia="es-CO"/>
              </w:rPr>
              <w:t>Mensajería expresa</w:t>
            </w:r>
          </w:p>
        </w:tc>
        <w:tc>
          <w:tcPr>
            <w:tcW w:w="1418" w:type="dxa"/>
            <w:tcBorders>
              <w:top w:val="nil"/>
              <w:left w:val="nil"/>
              <w:bottom w:val="single" w:sz="4" w:space="0" w:color="4472C4"/>
              <w:right w:val="single" w:sz="4" w:space="0" w:color="4472C4"/>
            </w:tcBorders>
            <w:shd w:val="clear" w:color="auto" w:fill="auto"/>
            <w:noWrap/>
            <w:vAlign w:val="center"/>
            <w:hideMark/>
          </w:tcPr>
          <w:p w14:paraId="3F1C4A20"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$ 37.412</w:t>
            </w:r>
          </w:p>
        </w:tc>
        <w:tc>
          <w:tcPr>
            <w:tcW w:w="1843" w:type="dxa"/>
            <w:tcBorders>
              <w:top w:val="nil"/>
              <w:left w:val="nil"/>
              <w:bottom w:val="single" w:sz="4" w:space="0" w:color="4472C4"/>
              <w:right w:val="single" w:sz="4" w:space="0" w:color="4472C4"/>
            </w:tcBorders>
            <w:shd w:val="clear" w:color="auto" w:fill="auto"/>
            <w:noWrap/>
            <w:vAlign w:val="center"/>
            <w:hideMark/>
          </w:tcPr>
          <w:p w14:paraId="3B548E22"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$ 558</w:t>
            </w:r>
          </w:p>
        </w:tc>
        <w:tc>
          <w:tcPr>
            <w:tcW w:w="1559" w:type="dxa"/>
            <w:tcBorders>
              <w:top w:val="nil"/>
              <w:left w:val="nil"/>
              <w:bottom w:val="single" w:sz="4" w:space="0" w:color="4472C4"/>
              <w:right w:val="single" w:sz="4" w:space="0" w:color="4472C4"/>
            </w:tcBorders>
            <w:shd w:val="clear" w:color="auto" w:fill="auto"/>
            <w:noWrap/>
            <w:vAlign w:val="center"/>
            <w:hideMark/>
          </w:tcPr>
          <w:p w14:paraId="35DD8665"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$ 2.004</w:t>
            </w:r>
          </w:p>
        </w:tc>
        <w:tc>
          <w:tcPr>
            <w:tcW w:w="1276" w:type="dxa"/>
            <w:tcBorders>
              <w:top w:val="nil"/>
              <w:left w:val="nil"/>
              <w:bottom w:val="single" w:sz="4" w:space="0" w:color="4472C4"/>
              <w:right w:val="single" w:sz="4" w:space="0" w:color="4472C4"/>
            </w:tcBorders>
            <w:shd w:val="clear" w:color="auto" w:fill="auto"/>
            <w:noWrap/>
            <w:vAlign w:val="center"/>
            <w:hideMark/>
          </w:tcPr>
          <w:p w14:paraId="0E799494"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$ 39.974</w:t>
            </w:r>
          </w:p>
        </w:tc>
      </w:tr>
      <w:tr w:rsidR="00384795" w:rsidRPr="005503B4" w14:paraId="389A3818" w14:textId="77777777" w:rsidTr="00AB1F05">
        <w:trPr>
          <w:trHeight w:val="390"/>
        </w:trPr>
        <w:tc>
          <w:tcPr>
            <w:tcW w:w="2830" w:type="dxa"/>
            <w:tcBorders>
              <w:top w:val="nil"/>
              <w:left w:val="single" w:sz="4" w:space="0" w:color="4472C4"/>
              <w:bottom w:val="single" w:sz="4" w:space="0" w:color="4472C4"/>
              <w:right w:val="single" w:sz="4" w:space="0" w:color="4472C4"/>
            </w:tcBorders>
            <w:shd w:val="clear" w:color="auto" w:fill="auto"/>
            <w:noWrap/>
            <w:vAlign w:val="center"/>
            <w:hideMark/>
          </w:tcPr>
          <w:p w14:paraId="3322A7B1" w14:textId="77777777" w:rsidR="00384795" w:rsidRPr="005503B4" w:rsidRDefault="00384795" w:rsidP="00AB1F05">
            <w:pPr>
              <w:spacing w:before="0" w:after="0" w:line="240" w:lineRule="auto"/>
              <w:ind w:firstLineChars="100" w:firstLine="220"/>
              <w:jc w:val="left"/>
              <w:rPr>
                <w:rFonts w:eastAsia="Times New Roman" w:cs="Calibri"/>
                <w:color w:val="000000"/>
                <w:sz w:val="22"/>
                <w:szCs w:val="22"/>
                <w:lang w:val="es-CO" w:eastAsia="es-CO"/>
              </w:rPr>
            </w:pPr>
            <w:r w:rsidRPr="005503B4">
              <w:rPr>
                <w:rFonts w:eastAsia="Times New Roman" w:cs="Calibri"/>
                <w:color w:val="000000"/>
                <w:sz w:val="22"/>
                <w:szCs w:val="22"/>
                <w:lang w:val="es-CO" w:eastAsia="es-CO"/>
              </w:rPr>
              <w:t>Servicios postales de pago</w:t>
            </w:r>
          </w:p>
        </w:tc>
        <w:tc>
          <w:tcPr>
            <w:tcW w:w="1418" w:type="dxa"/>
            <w:tcBorders>
              <w:top w:val="nil"/>
              <w:left w:val="nil"/>
              <w:bottom w:val="single" w:sz="4" w:space="0" w:color="4472C4"/>
              <w:right w:val="single" w:sz="4" w:space="0" w:color="4472C4"/>
            </w:tcBorders>
            <w:shd w:val="clear" w:color="auto" w:fill="auto"/>
            <w:noWrap/>
            <w:vAlign w:val="center"/>
            <w:hideMark/>
          </w:tcPr>
          <w:p w14:paraId="538804D8"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$ 18.636</w:t>
            </w:r>
          </w:p>
        </w:tc>
        <w:tc>
          <w:tcPr>
            <w:tcW w:w="1843" w:type="dxa"/>
            <w:tcBorders>
              <w:top w:val="nil"/>
              <w:left w:val="nil"/>
              <w:bottom w:val="single" w:sz="4" w:space="0" w:color="4472C4"/>
              <w:right w:val="single" w:sz="4" w:space="0" w:color="4472C4"/>
            </w:tcBorders>
            <w:shd w:val="clear" w:color="auto" w:fill="auto"/>
            <w:noWrap/>
            <w:vAlign w:val="center"/>
            <w:hideMark/>
          </w:tcPr>
          <w:p w14:paraId="242EC09E"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$ 31</w:t>
            </w:r>
          </w:p>
        </w:tc>
        <w:tc>
          <w:tcPr>
            <w:tcW w:w="1559" w:type="dxa"/>
            <w:tcBorders>
              <w:top w:val="nil"/>
              <w:left w:val="nil"/>
              <w:bottom w:val="single" w:sz="4" w:space="0" w:color="4472C4"/>
              <w:right w:val="single" w:sz="4" w:space="0" w:color="4472C4"/>
            </w:tcBorders>
            <w:shd w:val="clear" w:color="auto" w:fill="auto"/>
            <w:noWrap/>
            <w:vAlign w:val="center"/>
            <w:hideMark/>
          </w:tcPr>
          <w:p w14:paraId="30A02153"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$ 273</w:t>
            </w:r>
          </w:p>
        </w:tc>
        <w:tc>
          <w:tcPr>
            <w:tcW w:w="1276" w:type="dxa"/>
            <w:tcBorders>
              <w:top w:val="nil"/>
              <w:left w:val="nil"/>
              <w:bottom w:val="single" w:sz="4" w:space="0" w:color="4472C4"/>
              <w:right w:val="single" w:sz="4" w:space="0" w:color="4472C4"/>
            </w:tcBorders>
            <w:shd w:val="clear" w:color="auto" w:fill="auto"/>
            <w:noWrap/>
            <w:vAlign w:val="center"/>
            <w:hideMark/>
          </w:tcPr>
          <w:p w14:paraId="0A2B4246"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$ 18.940</w:t>
            </w:r>
          </w:p>
        </w:tc>
      </w:tr>
      <w:tr w:rsidR="00384795" w:rsidRPr="005503B4" w14:paraId="3E89D43D" w14:textId="77777777" w:rsidTr="00AB1F05">
        <w:trPr>
          <w:trHeight w:val="390"/>
        </w:trPr>
        <w:tc>
          <w:tcPr>
            <w:tcW w:w="2830" w:type="dxa"/>
            <w:tcBorders>
              <w:top w:val="nil"/>
              <w:left w:val="single" w:sz="4" w:space="0" w:color="4472C4"/>
              <w:bottom w:val="single" w:sz="4" w:space="0" w:color="4472C4"/>
              <w:right w:val="single" w:sz="4" w:space="0" w:color="4472C4"/>
            </w:tcBorders>
            <w:shd w:val="clear" w:color="000000" w:fill="D9E1F2"/>
            <w:noWrap/>
            <w:vAlign w:val="center"/>
            <w:hideMark/>
          </w:tcPr>
          <w:p w14:paraId="0F66C132"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TOTAL</w:t>
            </w:r>
          </w:p>
        </w:tc>
        <w:tc>
          <w:tcPr>
            <w:tcW w:w="1418" w:type="dxa"/>
            <w:tcBorders>
              <w:top w:val="nil"/>
              <w:left w:val="nil"/>
              <w:bottom w:val="single" w:sz="4" w:space="0" w:color="4472C4"/>
              <w:right w:val="single" w:sz="4" w:space="0" w:color="4472C4"/>
            </w:tcBorders>
            <w:shd w:val="clear" w:color="000000" w:fill="D9E1F2"/>
            <w:noWrap/>
            <w:vAlign w:val="center"/>
            <w:hideMark/>
          </w:tcPr>
          <w:p w14:paraId="740E51C9"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$ 56.048</w:t>
            </w:r>
          </w:p>
        </w:tc>
        <w:tc>
          <w:tcPr>
            <w:tcW w:w="1843" w:type="dxa"/>
            <w:tcBorders>
              <w:top w:val="nil"/>
              <w:left w:val="nil"/>
              <w:bottom w:val="single" w:sz="4" w:space="0" w:color="4472C4"/>
              <w:right w:val="single" w:sz="4" w:space="0" w:color="4472C4"/>
            </w:tcBorders>
            <w:shd w:val="clear" w:color="000000" w:fill="D9E1F2"/>
            <w:noWrap/>
            <w:vAlign w:val="center"/>
            <w:hideMark/>
          </w:tcPr>
          <w:p w14:paraId="646475D1"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$ 589</w:t>
            </w:r>
          </w:p>
        </w:tc>
        <w:tc>
          <w:tcPr>
            <w:tcW w:w="1559" w:type="dxa"/>
            <w:tcBorders>
              <w:top w:val="nil"/>
              <w:left w:val="nil"/>
              <w:bottom w:val="single" w:sz="4" w:space="0" w:color="4472C4"/>
              <w:right w:val="single" w:sz="4" w:space="0" w:color="4472C4"/>
            </w:tcBorders>
            <w:shd w:val="clear" w:color="000000" w:fill="D9E1F2"/>
            <w:noWrap/>
            <w:vAlign w:val="center"/>
            <w:hideMark/>
          </w:tcPr>
          <w:p w14:paraId="7D08BF0B"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$ 2.276</w:t>
            </w:r>
          </w:p>
        </w:tc>
        <w:tc>
          <w:tcPr>
            <w:tcW w:w="1276" w:type="dxa"/>
            <w:tcBorders>
              <w:top w:val="nil"/>
              <w:left w:val="nil"/>
              <w:bottom w:val="single" w:sz="4" w:space="0" w:color="4472C4"/>
              <w:right w:val="single" w:sz="4" w:space="0" w:color="4472C4"/>
            </w:tcBorders>
            <w:shd w:val="clear" w:color="000000" w:fill="D9E1F2"/>
            <w:noWrap/>
            <w:vAlign w:val="center"/>
            <w:hideMark/>
          </w:tcPr>
          <w:p w14:paraId="53960D52" w14:textId="77777777" w:rsidR="00384795" w:rsidRPr="005503B4" w:rsidRDefault="00384795" w:rsidP="00AB1F05">
            <w:pPr>
              <w:spacing w:before="0" w:after="0" w:line="240" w:lineRule="auto"/>
              <w:jc w:val="center"/>
              <w:rPr>
                <w:rFonts w:eastAsia="Times New Roman" w:cs="Calibri"/>
                <w:color w:val="000000"/>
                <w:sz w:val="22"/>
                <w:szCs w:val="22"/>
                <w:lang w:val="es-CO" w:eastAsia="es-CO"/>
              </w:rPr>
            </w:pPr>
            <w:r w:rsidRPr="005503B4">
              <w:rPr>
                <w:rFonts w:eastAsia="Times New Roman" w:cs="Calibri"/>
                <w:color w:val="000000"/>
                <w:sz w:val="22"/>
                <w:szCs w:val="22"/>
                <w:lang w:val="es-CO" w:eastAsia="es-CO"/>
              </w:rPr>
              <w:t>$ 58.914</w:t>
            </w:r>
          </w:p>
        </w:tc>
      </w:tr>
    </w:tbl>
    <w:p w14:paraId="489FECA5" w14:textId="77777777" w:rsidR="00384795" w:rsidRDefault="00384795" w:rsidP="00384795">
      <w:pPr>
        <w:pStyle w:val="FuentedeGrfica"/>
      </w:pPr>
      <w:r w:rsidRPr="005503B4">
        <w:t xml:space="preserve">FUENTE: MinTIC. Fondo TIC. </w:t>
      </w:r>
    </w:p>
    <w:p w14:paraId="4E05B8EC" w14:textId="77777777" w:rsidR="00384795" w:rsidRPr="005503B4" w:rsidRDefault="00384795" w:rsidP="00F262C2"/>
    <w:p w14:paraId="26F8C713" w14:textId="2FDD3E18" w:rsidR="00F262C2" w:rsidRPr="005503B4" w:rsidRDefault="00F262C2" w:rsidP="00F262C2">
      <w:pPr>
        <w:pStyle w:val="TITcuadro"/>
        <w:rPr>
          <w:sz w:val="16"/>
          <w:szCs w:val="14"/>
        </w:rPr>
      </w:pPr>
      <w:bookmarkStart w:id="108" w:name="_Ref101040950"/>
      <w:bookmarkStart w:id="109" w:name="_Toc104228716"/>
      <w:r w:rsidRPr="005503B4">
        <w:lastRenderedPageBreak/>
        <w:t xml:space="preserve">Gráfica </w:t>
      </w:r>
      <w:r w:rsidRPr="005503B4">
        <w:fldChar w:fldCharType="begin"/>
      </w:r>
      <w:r w:rsidRPr="005503B4">
        <w:instrText>STYLEREF 1 \s</w:instrText>
      </w:r>
      <w:r w:rsidRPr="005503B4">
        <w:fldChar w:fldCharType="separate"/>
      </w:r>
      <w:r w:rsidR="00C57FCA">
        <w:rPr>
          <w:noProof/>
        </w:rPr>
        <w:t>3</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2</w:t>
      </w:r>
      <w:r w:rsidRPr="005503B4">
        <w:fldChar w:fldCharType="end"/>
      </w:r>
      <w:bookmarkEnd w:id="108"/>
      <w:r w:rsidRPr="005503B4">
        <w:t xml:space="preserve"> - Estructura de las contraprestaciones al FUTIC por servicios postales – Millones de </w:t>
      </w:r>
      <w:r w:rsidR="002D3349">
        <w:t>pesos</w:t>
      </w:r>
      <w:r w:rsidRPr="005503B4">
        <w:t xml:space="preserve"> reales </w:t>
      </w:r>
      <w:r w:rsidRPr="005503B4">
        <w:rPr>
          <w:sz w:val="16"/>
          <w:szCs w:val="14"/>
        </w:rPr>
        <w:t>(diciembre de 2021 = 100)</w:t>
      </w:r>
      <w:bookmarkEnd w:id="109"/>
    </w:p>
    <w:p w14:paraId="30F9DF52" w14:textId="77777777" w:rsidR="00F262C2" w:rsidRPr="005503B4" w:rsidRDefault="00F262C2" w:rsidP="00F262C2">
      <w:pPr>
        <w:pStyle w:val="Grfica"/>
      </w:pPr>
      <w:r w:rsidRPr="005503B4">
        <w:rPr>
          <w:noProof/>
          <w:lang w:eastAsia="es-CO"/>
        </w:rPr>
        <w:drawing>
          <wp:inline distT="0" distB="0" distL="0" distR="0" wp14:anchorId="34022DF2" wp14:editId="4F799BAC">
            <wp:extent cx="5867400" cy="3031200"/>
            <wp:effectExtent l="0" t="0" r="0" b="17145"/>
            <wp:docPr id="36" name="Gráfico 36">
              <a:extLst xmlns:a="http://schemas.openxmlformats.org/drawingml/2006/main">
                <a:ext uri="{FF2B5EF4-FFF2-40B4-BE49-F238E27FC236}">
                  <a16:creationId xmlns:a16="http://schemas.microsoft.com/office/drawing/2014/main" id="{CA6A2FFF-23BD-4117-9820-9BE094478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F92833" w14:textId="01318398" w:rsidR="00F262C2" w:rsidRPr="005503B4" w:rsidRDefault="00F262C2" w:rsidP="00F262C2">
      <w:pPr>
        <w:pStyle w:val="Grfica"/>
        <w:spacing w:before="0" w:after="0"/>
        <w:ind w:left="425" w:hanging="425"/>
        <w:jc w:val="both"/>
      </w:pPr>
      <w:proofErr w:type="gramStart"/>
      <w:r w:rsidRPr="005503B4">
        <w:rPr>
          <w:sz w:val="18"/>
          <w:szCs w:val="18"/>
          <w:vertAlign w:val="superscript"/>
          <w:lang w:val="es-ES_tradnl"/>
        </w:rPr>
        <w:t>1</w:t>
      </w:r>
      <w:r w:rsidRPr="005503B4">
        <w:rPr>
          <w:sz w:val="18"/>
          <w:szCs w:val="18"/>
          <w:lang w:val="es-ES_tradnl"/>
        </w:rPr>
        <w:t xml:space="preserve">  </w:t>
      </w:r>
      <w:r w:rsidRPr="005503B4">
        <w:rPr>
          <w:sz w:val="18"/>
          <w:szCs w:val="18"/>
          <w:lang w:val="es-ES_tradnl"/>
        </w:rPr>
        <w:tab/>
      </w:r>
      <w:proofErr w:type="gramEnd"/>
      <w:r w:rsidRPr="005503B4">
        <w:rPr>
          <w:sz w:val="18"/>
          <w:szCs w:val="18"/>
          <w:lang w:val="es-ES_tradnl"/>
        </w:rPr>
        <w:t>No incluye los ingresos por renovación de la licencia de</w:t>
      </w:r>
      <w:r w:rsidR="009C7BEC">
        <w:rPr>
          <w:sz w:val="18"/>
          <w:szCs w:val="18"/>
          <w:lang w:val="es-ES_tradnl"/>
        </w:rPr>
        <w:t xml:space="preserve"> correo a</w:t>
      </w:r>
      <w:r w:rsidRPr="005503B4">
        <w:rPr>
          <w:sz w:val="18"/>
          <w:szCs w:val="18"/>
          <w:lang w:val="es-ES_tradnl"/>
        </w:rPr>
        <w:t xml:space="preserve"> SPN. </w:t>
      </w:r>
    </w:p>
    <w:p w14:paraId="7D881D71" w14:textId="77777777" w:rsidR="00F262C2" w:rsidRDefault="00F262C2" w:rsidP="00F262C2">
      <w:pPr>
        <w:pStyle w:val="FuentedeGrfica"/>
        <w:ind w:right="-2" w:hanging="992"/>
      </w:pPr>
      <w:r w:rsidRPr="005503B4">
        <w:t xml:space="preserve">FUENTE: </w:t>
      </w:r>
      <w:r w:rsidRPr="005503B4">
        <w:tab/>
        <w:t>MinTIC. Subdirección de Asuntos Postales y FUTIC. Informe en EXCEL de las contraprestaciones trimestrales por operadores y por tipo de servicio del sector postal.</w:t>
      </w:r>
    </w:p>
    <w:p w14:paraId="65A3187F" w14:textId="304AA2E1" w:rsidR="00F262C2" w:rsidRPr="005503B4" w:rsidRDefault="008B4B12" w:rsidP="00F262C2">
      <w:pPr>
        <w:pStyle w:val="Ttulo3"/>
      </w:pPr>
      <w:bookmarkStart w:id="110" w:name="_Toc40094006"/>
      <w:bookmarkStart w:id="111" w:name="_Toc102393267"/>
      <w:bookmarkStart w:id="112" w:name="_Toc104272126"/>
      <w:r w:rsidRPr="008B4B12">
        <w:t>Uso de los recursos percibidos por concepto de contraprestación</w:t>
      </w:r>
      <w:r w:rsidR="00F262C2" w:rsidRPr="005503B4">
        <w:t>.</w:t>
      </w:r>
      <w:bookmarkEnd w:id="110"/>
      <w:bookmarkEnd w:id="111"/>
      <w:bookmarkEnd w:id="112"/>
    </w:p>
    <w:p w14:paraId="3CEFA537" w14:textId="47EEB207" w:rsidR="00F262C2" w:rsidRPr="005503B4" w:rsidRDefault="00F262C2" w:rsidP="00F262C2">
      <w:r w:rsidRPr="005503B4">
        <w:t xml:space="preserve">Con respecto al uso de las contraprestaciones pagadas por los operadores postales al FUTIC, en la Ley 1369 se contempla que </w:t>
      </w:r>
      <w:r w:rsidRPr="005503B4">
        <w:rPr>
          <w:i/>
          <w:iCs/>
        </w:rPr>
        <w:t xml:space="preserve">“(…) las contraprestaciones recibidas por el [MinTIC] ingresarán al [FUTIC] y se destinarán a financiar el </w:t>
      </w:r>
      <w:r w:rsidRPr="005503B4">
        <w:rPr>
          <w:b/>
          <w:bCs/>
          <w:i/>
          <w:iCs/>
        </w:rPr>
        <w:t>Servicio Postal Universal</w:t>
      </w:r>
      <w:r w:rsidRPr="005503B4">
        <w:rPr>
          <w:i/>
          <w:iCs/>
        </w:rPr>
        <w:t xml:space="preserve"> y a cubrir los gastos de vigilancia y control de los Operadores Postales (…)”.</w:t>
      </w:r>
      <w:r w:rsidRPr="005503B4">
        <w:t xml:space="preserve"> </w:t>
      </w:r>
      <w:sdt>
        <w:sdtPr>
          <w:id w:val="-978227998"/>
          <w:placeholder>
            <w:docPart w:val="037534CEE78A4392B0EE63179171347D"/>
          </w:placeholder>
          <w:citation/>
        </w:sdtPr>
        <w:sdtEndPr/>
        <w:sdtContent>
          <w:r w:rsidRPr="005503B4">
            <w:fldChar w:fldCharType="begin"/>
          </w:r>
          <w:r w:rsidRPr="005503B4">
            <w:rPr>
              <w:lang w:val="es-CO"/>
            </w:rPr>
            <w:instrText xml:space="preserve">CITATION Ley09 \p "Art. 14, Par&amp;#225;g. 1" \l 9226 </w:instrText>
          </w:r>
          <w:r w:rsidRPr="005503B4">
            <w:fldChar w:fldCharType="separate"/>
          </w:r>
          <w:r w:rsidR="00C57FCA" w:rsidRPr="00C57FCA">
            <w:rPr>
              <w:noProof/>
              <w:lang w:val="es-CO"/>
            </w:rPr>
            <w:t>(Ley 1369, 2009, págs. Art. 14, Parág. 1)</w:t>
          </w:r>
          <w:r w:rsidRPr="005503B4">
            <w:fldChar w:fldCharType="end"/>
          </w:r>
        </w:sdtContent>
      </w:sdt>
      <w:r w:rsidRPr="005503B4">
        <w:t xml:space="preserve">. Asimismo, el Fondo asumirá el pago de la </w:t>
      </w:r>
      <w:r w:rsidRPr="005503B4">
        <w:rPr>
          <w:b/>
          <w:bCs/>
        </w:rPr>
        <w:t>franquicia postal</w:t>
      </w:r>
      <w:r w:rsidRPr="005503B4">
        <w:t>, como se plantea en los parágrafos 2 y 3 del artículo 47</w:t>
      </w:r>
      <w:r w:rsidRPr="005503B4">
        <w:rPr>
          <w:rStyle w:val="Refdenotaalpie"/>
        </w:rPr>
        <w:footnoteReference w:id="5"/>
      </w:r>
      <w:r w:rsidRPr="005503B4">
        <w:t>:</w:t>
      </w:r>
    </w:p>
    <w:p w14:paraId="50A20A18" w14:textId="77777777" w:rsidR="00F262C2" w:rsidRPr="005503B4" w:rsidRDefault="00F262C2" w:rsidP="00F262C2">
      <w:pPr>
        <w:pStyle w:val="Citatextuallarga"/>
      </w:pPr>
      <w:r w:rsidRPr="005503B4">
        <w:t>“El FUTIC asumirá el pago de las franquicias de que trata el artículo 1 del decreto 2758 de 1955 y el artículo 38 de la Ley 361 de 1997, a partir de la vigencia fiscal siguiente a la expedición de la presente Ley. (…)”</w:t>
      </w:r>
    </w:p>
    <w:p w14:paraId="736A0FC2" w14:textId="77777777" w:rsidR="00F262C2" w:rsidRPr="005503B4" w:rsidRDefault="00F262C2" w:rsidP="00F262C2">
      <w:pPr>
        <w:pStyle w:val="Citatextuallarga"/>
      </w:pPr>
      <w:r w:rsidRPr="005503B4">
        <w:lastRenderedPageBreak/>
        <w:t>“Parágrafo 3: Autorizase al Fondo (…) a presupuestar los recursos necesarios para pagar los dineros causados a favor del Operador Postal Oficial por concepto de la prestación de las franquicias de que trata este artículo, a las entidades que no pertenecen al Presupuesto General de la Nación, desde septiembre de 2006 hasta diciembre 31 de 2010. (…)”.</w:t>
      </w:r>
    </w:p>
    <w:p w14:paraId="46EB8BE6" w14:textId="77777777" w:rsidR="00F262C2" w:rsidRPr="005503B4" w:rsidRDefault="00F262C2" w:rsidP="00F262C2">
      <w:pPr>
        <w:rPr>
          <w:i/>
          <w:iCs/>
        </w:rPr>
      </w:pPr>
      <w:r w:rsidRPr="005503B4">
        <w:t xml:space="preserve">Asimismo, en el parágrafo 4 de la norma en cita se prevé que, el OPO </w:t>
      </w:r>
      <w:r w:rsidRPr="005503B4">
        <w:rPr>
          <w:i/>
          <w:iCs/>
        </w:rPr>
        <w:t xml:space="preserve">“(…) prestará el servicio con franquicia postal para los </w:t>
      </w:r>
      <w:proofErr w:type="spellStart"/>
      <w:r w:rsidRPr="005503B4">
        <w:rPr>
          <w:i/>
          <w:iCs/>
        </w:rPr>
        <w:t>cecogramas</w:t>
      </w:r>
      <w:proofErr w:type="spellEnd"/>
      <w:r w:rsidRPr="005503B4">
        <w:rPr>
          <w:i/>
          <w:iCs/>
        </w:rPr>
        <w:t xml:space="preserve"> remitidos por las personas invidentes y las entidades que les presten servicios (…)”. </w:t>
      </w:r>
    </w:p>
    <w:p w14:paraId="5562CB4C" w14:textId="290AAB9C" w:rsidR="00F262C2" w:rsidRPr="005503B4" w:rsidRDefault="00F262C2" w:rsidP="00F262C2">
      <w:pPr>
        <w:pStyle w:val="Ttulo2"/>
      </w:pPr>
      <w:bookmarkStart w:id="113" w:name="_Toc102393268"/>
      <w:bookmarkStart w:id="114" w:name="_Toc104272127"/>
      <w:r w:rsidRPr="005503B4">
        <w:t>Flujo de caja del FUTIC</w:t>
      </w:r>
      <w:r w:rsidR="008B4B12">
        <w:t xml:space="preserve"> - Sector</w:t>
      </w:r>
      <w:r w:rsidRPr="005503B4">
        <w:t xml:space="preserve"> postal: Fuentes y usos</w:t>
      </w:r>
      <w:bookmarkEnd w:id="113"/>
      <w:bookmarkEnd w:id="114"/>
    </w:p>
    <w:p w14:paraId="4A1E0D28" w14:textId="12FE93C3" w:rsidR="00F262C2" w:rsidRPr="005503B4" w:rsidRDefault="00F262C2" w:rsidP="00F262C2">
      <w:r w:rsidRPr="005503B4">
        <w:t xml:space="preserve">Teniendo en cuenta lo anterior, la </w:t>
      </w:r>
      <w:r w:rsidRPr="005503B4">
        <w:fldChar w:fldCharType="begin"/>
      </w:r>
      <w:r w:rsidRPr="005503B4">
        <w:instrText xml:space="preserve"> REF _Ref101527338 \h </w:instrText>
      </w:r>
      <w:r>
        <w:instrText xml:space="preserve"> \* MERGEFORMAT </w:instrText>
      </w:r>
      <w:r w:rsidRPr="005503B4">
        <w:fldChar w:fldCharType="separate"/>
      </w:r>
      <w:r w:rsidR="00C57FCA" w:rsidRPr="005503B4">
        <w:t xml:space="preserve">Gráfica </w:t>
      </w:r>
      <w:r w:rsidR="00C57FCA">
        <w:rPr>
          <w:noProof/>
        </w:rPr>
        <w:t>3</w:t>
      </w:r>
      <w:r w:rsidR="00C57FCA" w:rsidRPr="005503B4">
        <w:rPr>
          <w:noProof/>
        </w:rPr>
        <w:noBreakHyphen/>
      </w:r>
      <w:r w:rsidR="00C57FCA">
        <w:rPr>
          <w:noProof/>
        </w:rPr>
        <w:t>3</w:t>
      </w:r>
      <w:r w:rsidRPr="005503B4">
        <w:fldChar w:fldCharType="end"/>
      </w:r>
      <w:r w:rsidRPr="005503B4">
        <w:t xml:space="preserve"> presenta a continuación la evolución del flujo de caja</w:t>
      </w:r>
      <w:r>
        <w:t xml:space="preserve"> del FUTIC, relacionada particularmente con</w:t>
      </w:r>
      <w:r w:rsidRPr="005503B4">
        <w:t xml:space="preserve"> el sector postal, en materia de ingresos por concepto de contraprestaciones, así como los usos agregados de la entidad y que se r</w:t>
      </w:r>
      <w:r>
        <w:t>eferenciaron</w:t>
      </w:r>
      <w:r w:rsidRPr="005503B4">
        <w:t xml:space="preserve"> en la anterior sección del capítulo. </w:t>
      </w:r>
    </w:p>
    <w:p w14:paraId="7DEB9C9B" w14:textId="48F1DB5D" w:rsidR="00F262C2" w:rsidRDefault="00F262C2" w:rsidP="00F262C2">
      <w:pPr>
        <w:pStyle w:val="TITcuadro"/>
        <w:rPr>
          <w:sz w:val="16"/>
          <w:szCs w:val="14"/>
        </w:rPr>
      </w:pPr>
      <w:bookmarkStart w:id="115" w:name="_Ref101527338"/>
      <w:bookmarkStart w:id="116" w:name="_Toc104228717"/>
      <w:r w:rsidRPr="005503B4">
        <w:t xml:space="preserve">Gráfica </w:t>
      </w:r>
      <w:r w:rsidRPr="005503B4">
        <w:fldChar w:fldCharType="begin"/>
      </w:r>
      <w:r w:rsidRPr="005503B4">
        <w:instrText>STYLEREF 1 \s</w:instrText>
      </w:r>
      <w:r w:rsidRPr="005503B4">
        <w:fldChar w:fldCharType="separate"/>
      </w:r>
      <w:r w:rsidR="00C57FCA">
        <w:rPr>
          <w:noProof/>
        </w:rPr>
        <w:t>3</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3</w:t>
      </w:r>
      <w:r w:rsidRPr="005503B4">
        <w:fldChar w:fldCharType="end"/>
      </w:r>
      <w:bookmarkEnd w:id="115"/>
      <w:r w:rsidRPr="005503B4">
        <w:t xml:space="preserve"> – Flujo de caja del sector postal del FUTIC</w:t>
      </w:r>
      <w:r w:rsidRPr="005503B4">
        <w:rPr>
          <w:vertAlign w:val="superscript"/>
        </w:rPr>
        <w:t>1</w:t>
      </w:r>
      <w:r w:rsidRPr="005503B4">
        <w:t xml:space="preserve">. </w:t>
      </w:r>
      <w:r w:rsidRPr="005503B4">
        <w:rPr>
          <w:sz w:val="16"/>
          <w:szCs w:val="14"/>
        </w:rPr>
        <w:t xml:space="preserve">Millones de </w:t>
      </w:r>
      <w:r w:rsidR="002D3349">
        <w:rPr>
          <w:sz w:val="16"/>
          <w:szCs w:val="14"/>
        </w:rPr>
        <w:t>pesos</w:t>
      </w:r>
      <w:r w:rsidRPr="005503B4">
        <w:rPr>
          <w:sz w:val="16"/>
          <w:szCs w:val="14"/>
        </w:rPr>
        <w:t xml:space="preserve"> reales (2021 = 100)</w:t>
      </w:r>
      <w:bookmarkEnd w:id="116"/>
    </w:p>
    <w:p w14:paraId="56FEEF60" w14:textId="78D8AA15" w:rsidR="008D7EA7" w:rsidRPr="005503B4" w:rsidRDefault="00EF1C4E" w:rsidP="00F262C2">
      <w:pPr>
        <w:pStyle w:val="TITcuadro"/>
      </w:pPr>
      <w:r>
        <w:rPr>
          <w:noProof/>
        </w:rPr>
        <w:drawing>
          <wp:inline distT="0" distB="0" distL="0" distR="0" wp14:anchorId="2B01DE9E" wp14:editId="659BD263">
            <wp:extent cx="5849620" cy="3307080"/>
            <wp:effectExtent l="0" t="0" r="17780" b="7620"/>
            <wp:docPr id="450" name="Gráfico 450">
              <a:extLst xmlns:a="http://schemas.openxmlformats.org/drawingml/2006/main">
                <a:ext uri="{FF2B5EF4-FFF2-40B4-BE49-F238E27FC236}">
                  <a16:creationId xmlns:a16="http://schemas.microsoft.com/office/drawing/2014/main" id="{D0AEDBBD-1780-4FAE-8633-751FE6F44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3FDF11" w14:textId="0D4D9701" w:rsidR="00F262C2" w:rsidRPr="005503B4" w:rsidRDefault="00F262C2" w:rsidP="00806A5D">
      <w:pPr>
        <w:pStyle w:val="FuentedeGrfica"/>
        <w:spacing w:after="0"/>
        <w:ind w:left="426" w:right="-286" w:hanging="426"/>
        <w:rPr>
          <w:sz w:val="16"/>
          <w:szCs w:val="16"/>
        </w:rPr>
      </w:pPr>
      <w:r w:rsidRPr="005503B4">
        <w:t xml:space="preserve">1 </w:t>
      </w:r>
      <w:r w:rsidRPr="005503B4">
        <w:tab/>
      </w:r>
      <w:proofErr w:type="gramStart"/>
      <w:r w:rsidRPr="005503B4">
        <w:t>Para</w:t>
      </w:r>
      <w:proofErr w:type="gramEnd"/>
      <w:r w:rsidRPr="005503B4">
        <w:t xml:space="preserve"> la </w:t>
      </w:r>
      <w:r w:rsidRPr="005503B4">
        <w:rPr>
          <w:sz w:val="16"/>
          <w:szCs w:val="16"/>
        </w:rPr>
        <w:t xml:space="preserve">Franquicia y SPU aún no se han girado los recursos </w:t>
      </w:r>
      <w:r w:rsidR="00806A5D">
        <w:rPr>
          <w:sz w:val="16"/>
          <w:szCs w:val="16"/>
        </w:rPr>
        <w:t xml:space="preserve">totales </w:t>
      </w:r>
      <w:r w:rsidRPr="005503B4">
        <w:rPr>
          <w:sz w:val="16"/>
          <w:szCs w:val="16"/>
        </w:rPr>
        <w:t>del año 2021, toda vez que se es encuentra en verificación de los soportes del OPO.</w:t>
      </w:r>
    </w:p>
    <w:p w14:paraId="095D48E0" w14:textId="77777777" w:rsidR="00F262C2" w:rsidRPr="005503B4" w:rsidRDefault="00F262C2" w:rsidP="00806A5D">
      <w:pPr>
        <w:pStyle w:val="FuentedeGrfica"/>
        <w:ind w:right="-144" w:hanging="992"/>
      </w:pPr>
      <w:r w:rsidRPr="005503B4">
        <w:rPr>
          <w:noProof/>
          <w:lang w:eastAsia="es-CO"/>
        </w:rPr>
        <mc:AlternateContent>
          <mc:Choice Requires="wps">
            <w:drawing>
              <wp:anchor distT="0" distB="0" distL="114300" distR="114300" simplePos="0" relativeHeight="251697664" behindDoc="0" locked="0" layoutInCell="1" allowOverlap="1" wp14:anchorId="63052731" wp14:editId="57BD7B96">
                <wp:simplePos x="0" y="0"/>
                <wp:positionH relativeFrom="column">
                  <wp:posOffset>309245</wp:posOffset>
                </wp:positionH>
                <wp:positionV relativeFrom="paragraph">
                  <wp:posOffset>15298420</wp:posOffset>
                </wp:positionV>
                <wp:extent cx="503408" cy="248851"/>
                <wp:effectExtent l="0" t="0" r="0" b="0"/>
                <wp:wrapNone/>
                <wp:docPr id="14" name="CuadroTexto 3">
                  <a:extLst xmlns:a="http://schemas.openxmlformats.org/drawingml/2006/main">
                    <a:ext uri="{FF2B5EF4-FFF2-40B4-BE49-F238E27FC236}">
                      <a16:creationId xmlns:a16="http://schemas.microsoft.com/office/drawing/2014/main" id="{63D2C824-2E21-449C-980D-13E133C7A681}"/>
                    </a:ext>
                  </a:extLst>
                </wp:docPr>
                <wp:cNvGraphicFramePr/>
                <a:graphic xmlns:a="http://schemas.openxmlformats.org/drawingml/2006/main">
                  <a:graphicData uri="http://schemas.microsoft.com/office/word/2010/wordprocessingShape">
                    <wps:wsp>
                      <wps:cNvSpPr txBox="1"/>
                      <wps:spPr>
                        <a:xfrm>
                          <a:off x="0" y="0"/>
                          <a:ext cx="503408" cy="24885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D5F71A1"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88,8%</w:t>
                            </w:r>
                          </w:p>
                        </w:txbxContent>
                      </wps:txbx>
                      <wps:bodyPr wrap="none" rtlCol="0" anchor="t">
                        <a:spAutoFit/>
                      </wps:bodyPr>
                    </wps:wsp>
                  </a:graphicData>
                </a:graphic>
              </wp:anchor>
            </w:drawing>
          </mc:Choice>
          <mc:Fallback>
            <w:pict>
              <v:shape w14:anchorId="63052731" id="_x0000_s1035" type="#_x0000_t202" style="position:absolute;left:0;text-align:left;margin-left:24.35pt;margin-top:1204.6pt;width:39.65pt;height:19.6pt;z-index:25169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" filled="f" stroked="f">
                <v:textbox style="mso-fit-shape-to-text:t">
                  <w:txbxContent>
                    <w:p w14:paraId="2D5F71A1"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88,8%</w:t>
                      </w:r>
                    </w:p>
                  </w:txbxContent>
                </v:textbox>
              </v:shape>
            </w:pict>
          </mc:Fallback>
        </mc:AlternateContent>
      </w:r>
      <w:r w:rsidRPr="005503B4">
        <w:rPr>
          <w:noProof/>
          <w:lang w:eastAsia="es-CO"/>
        </w:rPr>
        <mc:AlternateContent>
          <mc:Choice Requires="wps">
            <w:drawing>
              <wp:anchor distT="0" distB="0" distL="114300" distR="114300" simplePos="0" relativeHeight="251698688" behindDoc="0" locked="0" layoutInCell="1" allowOverlap="1" wp14:anchorId="1B3AFBD7" wp14:editId="40DC327C">
                <wp:simplePos x="0" y="0"/>
                <wp:positionH relativeFrom="column">
                  <wp:posOffset>3101975</wp:posOffset>
                </wp:positionH>
                <wp:positionV relativeFrom="paragraph">
                  <wp:posOffset>15911830</wp:posOffset>
                </wp:positionV>
                <wp:extent cx="503408" cy="248851"/>
                <wp:effectExtent l="0" t="0" r="0" b="0"/>
                <wp:wrapNone/>
                <wp:docPr id="15" name="CuadroTexto 4">
                  <a:extLst xmlns:a="http://schemas.openxmlformats.org/drawingml/2006/main">
                    <a:ext uri="{FF2B5EF4-FFF2-40B4-BE49-F238E27FC236}">
                      <a16:creationId xmlns:a16="http://schemas.microsoft.com/office/drawing/2014/main" id="{CBF8CD18-5287-4E3E-8BE5-30FB7C781101}"/>
                    </a:ext>
                  </a:extLst>
                </wp:docPr>
                <wp:cNvGraphicFramePr/>
                <a:graphic xmlns:a="http://schemas.openxmlformats.org/drawingml/2006/main">
                  <a:graphicData uri="http://schemas.microsoft.com/office/word/2010/wordprocessingShape">
                    <wps:wsp>
                      <wps:cNvSpPr txBox="1"/>
                      <wps:spPr>
                        <a:xfrm>
                          <a:off x="0" y="0"/>
                          <a:ext cx="503408" cy="24885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196FA24"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59,0%</w:t>
                            </w:r>
                          </w:p>
                        </w:txbxContent>
                      </wps:txbx>
                      <wps:bodyPr wrap="none" rtlCol="0" anchor="t">
                        <a:spAutoFit/>
                      </wps:bodyPr>
                    </wps:wsp>
                  </a:graphicData>
                </a:graphic>
              </wp:anchor>
            </w:drawing>
          </mc:Choice>
          <mc:Fallback>
            <w:pict>
              <v:shape w14:anchorId="1B3AFBD7" id="CuadroTexto 4" o:spid="_x0000_s1036" type="#_x0000_t202" style="position:absolute;left:0;text-align:left;margin-left:244.25pt;margin-top:1252.9pt;width:39.65pt;height:19.6pt;z-index:25169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" filled="f" stroked="f">
                <v:textbox style="mso-fit-shape-to-text:t">
                  <w:txbxContent>
                    <w:p w14:paraId="4196FA24"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59,0%</w:t>
                      </w:r>
                    </w:p>
                  </w:txbxContent>
                </v:textbox>
              </v:shape>
            </w:pict>
          </mc:Fallback>
        </mc:AlternateContent>
      </w:r>
      <w:r w:rsidRPr="005503B4">
        <w:rPr>
          <w:noProof/>
          <w:lang w:eastAsia="es-CO"/>
        </w:rPr>
        <mc:AlternateContent>
          <mc:Choice Requires="wps">
            <w:drawing>
              <wp:anchor distT="0" distB="0" distL="114300" distR="114300" simplePos="0" relativeHeight="251699712" behindDoc="0" locked="0" layoutInCell="1" allowOverlap="1" wp14:anchorId="5A898E8B" wp14:editId="6A2E5FFB">
                <wp:simplePos x="0" y="0"/>
                <wp:positionH relativeFrom="column">
                  <wp:posOffset>5823585</wp:posOffset>
                </wp:positionH>
                <wp:positionV relativeFrom="paragraph">
                  <wp:posOffset>16008350</wp:posOffset>
                </wp:positionV>
                <wp:extent cx="503408" cy="248851"/>
                <wp:effectExtent l="0" t="0" r="0" b="0"/>
                <wp:wrapNone/>
                <wp:docPr id="16" name="CuadroTexto 5">
                  <a:extLst xmlns:a="http://schemas.openxmlformats.org/drawingml/2006/main">
                    <a:ext uri="{FF2B5EF4-FFF2-40B4-BE49-F238E27FC236}">
                      <a16:creationId xmlns:a16="http://schemas.microsoft.com/office/drawing/2014/main" id="{6633C738-D53E-42CC-A964-7A1920659DF2}"/>
                    </a:ext>
                  </a:extLst>
                </wp:docPr>
                <wp:cNvGraphicFramePr/>
                <a:graphic xmlns:a="http://schemas.openxmlformats.org/drawingml/2006/main">
                  <a:graphicData uri="http://schemas.microsoft.com/office/word/2010/wordprocessingShape">
                    <wps:wsp>
                      <wps:cNvSpPr txBox="1"/>
                      <wps:spPr>
                        <a:xfrm>
                          <a:off x="0" y="0"/>
                          <a:ext cx="503408" cy="24885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0709F3"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55,1%</w:t>
                            </w:r>
                          </w:p>
                        </w:txbxContent>
                      </wps:txbx>
                      <wps:bodyPr wrap="none" rtlCol="0" anchor="t">
                        <a:spAutoFit/>
                      </wps:bodyPr>
                    </wps:wsp>
                  </a:graphicData>
                </a:graphic>
              </wp:anchor>
            </w:drawing>
          </mc:Choice>
          <mc:Fallback>
            <w:pict>
              <v:shape w14:anchorId="5A898E8B" id="CuadroTexto 5" o:spid="_x0000_s1037" type="#_x0000_t202" style="position:absolute;left:0;text-align:left;margin-left:458.55pt;margin-top:1260.5pt;width:39.65pt;height:19.6pt;z-index:25169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" filled="f" stroked="f">
                <v:textbox style="mso-fit-shape-to-text:t">
                  <w:txbxContent>
                    <w:p w14:paraId="580709F3"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55,1%</w:t>
                      </w:r>
                    </w:p>
                  </w:txbxContent>
                </v:textbox>
              </v:shape>
            </w:pict>
          </mc:Fallback>
        </mc:AlternateContent>
      </w:r>
      <w:r w:rsidRPr="005503B4">
        <w:rPr>
          <w:noProof/>
          <w:lang w:eastAsia="es-CO"/>
        </w:rPr>
        <mc:AlternateContent>
          <mc:Choice Requires="wps">
            <w:drawing>
              <wp:anchor distT="0" distB="0" distL="114300" distR="114300" simplePos="0" relativeHeight="251700736" behindDoc="0" locked="0" layoutInCell="1" allowOverlap="1" wp14:anchorId="10251932" wp14:editId="7A44540C">
                <wp:simplePos x="0" y="0"/>
                <wp:positionH relativeFrom="column">
                  <wp:posOffset>8531225</wp:posOffset>
                </wp:positionH>
                <wp:positionV relativeFrom="paragraph">
                  <wp:posOffset>15817850</wp:posOffset>
                </wp:positionV>
                <wp:extent cx="503408" cy="248851"/>
                <wp:effectExtent l="0" t="0" r="0" b="0"/>
                <wp:wrapNone/>
                <wp:docPr id="17" name="CuadroTexto 6">
                  <a:extLst xmlns:a="http://schemas.openxmlformats.org/drawingml/2006/main">
                    <a:ext uri="{FF2B5EF4-FFF2-40B4-BE49-F238E27FC236}">
                      <a16:creationId xmlns:a16="http://schemas.microsoft.com/office/drawing/2014/main" id="{18048450-D193-46D4-BAAC-2F95D3D48CC7}"/>
                    </a:ext>
                  </a:extLst>
                </wp:docPr>
                <wp:cNvGraphicFramePr/>
                <a:graphic xmlns:a="http://schemas.openxmlformats.org/drawingml/2006/main">
                  <a:graphicData uri="http://schemas.microsoft.com/office/word/2010/wordprocessingShape">
                    <wps:wsp>
                      <wps:cNvSpPr txBox="1"/>
                      <wps:spPr>
                        <a:xfrm>
                          <a:off x="0" y="0"/>
                          <a:ext cx="503408" cy="24885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1158513"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62,2%</w:t>
                            </w:r>
                          </w:p>
                        </w:txbxContent>
                      </wps:txbx>
                      <wps:bodyPr wrap="none" rtlCol="0" anchor="t">
                        <a:spAutoFit/>
                      </wps:bodyPr>
                    </wps:wsp>
                  </a:graphicData>
                </a:graphic>
              </wp:anchor>
            </w:drawing>
          </mc:Choice>
          <mc:Fallback>
            <w:pict>
              <v:shape w14:anchorId="10251932" id="CuadroTexto 6" o:spid="_x0000_s1038" type="#_x0000_t202" style="position:absolute;left:0;text-align:left;margin-left:671.75pt;margin-top:1245.5pt;width:39.65pt;height:19.6pt;z-index:251700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" filled="f" stroked="f">
                <v:textbox style="mso-fit-shape-to-text:t">
                  <w:txbxContent>
                    <w:p w14:paraId="21158513"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62,2%</w:t>
                      </w:r>
                    </w:p>
                  </w:txbxContent>
                </v:textbox>
              </v:shape>
            </w:pict>
          </mc:Fallback>
        </mc:AlternateContent>
      </w:r>
      <w:r w:rsidRPr="005503B4">
        <w:rPr>
          <w:noProof/>
          <w:lang w:eastAsia="es-CO"/>
        </w:rPr>
        <mc:AlternateContent>
          <mc:Choice Requires="wps">
            <w:drawing>
              <wp:anchor distT="0" distB="0" distL="114300" distR="114300" simplePos="0" relativeHeight="251701760" behindDoc="0" locked="0" layoutInCell="1" allowOverlap="1" wp14:anchorId="2A595C1A" wp14:editId="412F2225">
                <wp:simplePos x="0" y="0"/>
                <wp:positionH relativeFrom="column">
                  <wp:posOffset>3101975</wp:posOffset>
                </wp:positionH>
                <wp:positionV relativeFrom="paragraph">
                  <wp:posOffset>13807440</wp:posOffset>
                </wp:positionV>
                <wp:extent cx="503408" cy="248851"/>
                <wp:effectExtent l="0" t="0" r="0" b="0"/>
                <wp:wrapNone/>
                <wp:docPr id="18" name="CuadroTexto 7">
                  <a:extLst xmlns:a="http://schemas.openxmlformats.org/drawingml/2006/main">
                    <a:ext uri="{FF2B5EF4-FFF2-40B4-BE49-F238E27FC236}">
                      <a16:creationId xmlns:a16="http://schemas.microsoft.com/office/drawing/2014/main" id="{B0B3D03A-EB17-49B8-86DE-5D19CE69685D}"/>
                    </a:ext>
                  </a:extLst>
                </wp:docPr>
                <wp:cNvGraphicFramePr/>
                <a:graphic xmlns:a="http://schemas.openxmlformats.org/drawingml/2006/main">
                  <a:graphicData uri="http://schemas.microsoft.com/office/word/2010/wordprocessingShape">
                    <wps:wsp>
                      <wps:cNvSpPr txBox="1"/>
                      <wps:spPr>
                        <a:xfrm>
                          <a:off x="0" y="0"/>
                          <a:ext cx="503408" cy="24885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9EDC8E"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41,0%</w:t>
                            </w:r>
                          </w:p>
                        </w:txbxContent>
                      </wps:txbx>
                      <wps:bodyPr wrap="none" rtlCol="0" anchor="t">
                        <a:spAutoFit/>
                      </wps:bodyPr>
                    </wps:wsp>
                  </a:graphicData>
                </a:graphic>
              </wp:anchor>
            </w:drawing>
          </mc:Choice>
          <mc:Fallback>
            <w:pict>
              <v:shape w14:anchorId="2A595C1A" id="CuadroTexto 7" o:spid="_x0000_s1039" type="#_x0000_t202" style="position:absolute;left:0;text-align:left;margin-left:244.25pt;margin-top:1087.2pt;width:39.65pt;height:19.6pt;z-index:25170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" filled="f" stroked="f">
                <v:textbox style="mso-fit-shape-to-text:t">
                  <w:txbxContent>
                    <w:p w14:paraId="519EDC8E"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41,0%</w:t>
                      </w:r>
                    </w:p>
                  </w:txbxContent>
                </v:textbox>
              </v:shape>
            </w:pict>
          </mc:Fallback>
        </mc:AlternateContent>
      </w:r>
      <w:r w:rsidRPr="005503B4">
        <w:rPr>
          <w:noProof/>
          <w:lang w:eastAsia="es-CO"/>
        </w:rPr>
        <mc:AlternateContent>
          <mc:Choice Requires="wps">
            <w:drawing>
              <wp:anchor distT="0" distB="0" distL="114300" distR="114300" simplePos="0" relativeHeight="251702784" behindDoc="0" locked="0" layoutInCell="1" allowOverlap="1" wp14:anchorId="483DB0F8" wp14:editId="01BAF789">
                <wp:simplePos x="0" y="0"/>
                <wp:positionH relativeFrom="column">
                  <wp:posOffset>5859145</wp:posOffset>
                </wp:positionH>
                <wp:positionV relativeFrom="paragraph">
                  <wp:posOffset>13829030</wp:posOffset>
                </wp:positionV>
                <wp:extent cx="503408" cy="248851"/>
                <wp:effectExtent l="0" t="0" r="0" b="0"/>
                <wp:wrapNone/>
                <wp:docPr id="19" name="CuadroTexto 8">
                  <a:extLst xmlns:a="http://schemas.openxmlformats.org/drawingml/2006/main">
                    <a:ext uri="{FF2B5EF4-FFF2-40B4-BE49-F238E27FC236}">
                      <a16:creationId xmlns:a16="http://schemas.microsoft.com/office/drawing/2014/main" id="{4F832682-28C8-4F51-8E6E-F577C974D035}"/>
                    </a:ext>
                  </a:extLst>
                </wp:docPr>
                <wp:cNvGraphicFramePr/>
                <a:graphic xmlns:a="http://schemas.openxmlformats.org/drawingml/2006/main">
                  <a:graphicData uri="http://schemas.microsoft.com/office/word/2010/wordprocessingShape">
                    <wps:wsp>
                      <wps:cNvSpPr txBox="1"/>
                      <wps:spPr>
                        <a:xfrm>
                          <a:off x="0" y="0"/>
                          <a:ext cx="503408" cy="24885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6800555"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44,9%</w:t>
                            </w:r>
                          </w:p>
                        </w:txbxContent>
                      </wps:txbx>
                      <wps:bodyPr wrap="none" rtlCol="0" anchor="t">
                        <a:spAutoFit/>
                      </wps:bodyPr>
                    </wps:wsp>
                  </a:graphicData>
                </a:graphic>
              </wp:anchor>
            </w:drawing>
          </mc:Choice>
          <mc:Fallback>
            <w:pict>
              <v:shape w14:anchorId="483DB0F8" id="CuadroTexto 8" o:spid="_x0000_s1040" type="#_x0000_t202" style="position:absolute;left:0;text-align:left;margin-left:461.35pt;margin-top:1088.9pt;width:39.65pt;height:19.6pt;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" filled="f" stroked="f">
                <v:textbox style="mso-fit-shape-to-text:t">
                  <w:txbxContent>
                    <w:p w14:paraId="56800555"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44,9%</w:t>
                      </w:r>
                    </w:p>
                  </w:txbxContent>
                </v:textbox>
              </v:shape>
            </w:pict>
          </mc:Fallback>
        </mc:AlternateContent>
      </w:r>
      <w:r w:rsidRPr="005503B4">
        <w:rPr>
          <w:noProof/>
          <w:lang w:eastAsia="es-CO"/>
        </w:rPr>
        <mc:AlternateContent>
          <mc:Choice Requires="wps">
            <w:drawing>
              <wp:anchor distT="0" distB="0" distL="114300" distR="114300" simplePos="0" relativeHeight="251703808" behindDoc="0" locked="0" layoutInCell="1" allowOverlap="1" wp14:anchorId="7CB6E349" wp14:editId="0F3A6149">
                <wp:simplePos x="0" y="0"/>
                <wp:positionH relativeFrom="column">
                  <wp:posOffset>8493125</wp:posOffset>
                </wp:positionH>
                <wp:positionV relativeFrom="paragraph">
                  <wp:posOffset>13695680</wp:posOffset>
                </wp:positionV>
                <wp:extent cx="503408" cy="248851"/>
                <wp:effectExtent l="0" t="0" r="0" b="0"/>
                <wp:wrapNone/>
                <wp:docPr id="20" name="CuadroTexto 9">
                  <a:extLst xmlns:a="http://schemas.openxmlformats.org/drawingml/2006/main">
                    <a:ext uri="{FF2B5EF4-FFF2-40B4-BE49-F238E27FC236}">
                      <a16:creationId xmlns:a16="http://schemas.microsoft.com/office/drawing/2014/main" id="{BB077B24-6416-41B4-BAEF-76BEC5624B03}"/>
                    </a:ext>
                  </a:extLst>
                </wp:docPr>
                <wp:cNvGraphicFramePr/>
                <a:graphic xmlns:a="http://schemas.openxmlformats.org/drawingml/2006/main">
                  <a:graphicData uri="http://schemas.microsoft.com/office/word/2010/wordprocessingShape">
                    <wps:wsp>
                      <wps:cNvSpPr txBox="1"/>
                      <wps:spPr>
                        <a:xfrm>
                          <a:off x="0" y="0"/>
                          <a:ext cx="503408" cy="24885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596E3E"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37,8%</w:t>
                            </w:r>
                          </w:p>
                        </w:txbxContent>
                      </wps:txbx>
                      <wps:bodyPr wrap="none" rtlCol="0" anchor="t">
                        <a:spAutoFit/>
                      </wps:bodyPr>
                    </wps:wsp>
                  </a:graphicData>
                </a:graphic>
              </wp:anchor>
            </w:drawing>
          </mc:Choice>
          <mc:Fallback>
            <w:pict>
              <v:shape w14:anchorId="7CB6E349" id="CuadroTexto 9" o:spid="_x0000_s1041" type="#_x0000_t202" style="position:absolute;left:0;text-align:left;margin-left:668.75pt;margin-top:1078.4pt;width:39.65pt;height:19.6pt;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" filled="f" stroked="f">
                <v:textbox style="mso-fit-shape-to-text:t">
                  <w:txbxContent>
                    <w:p w14:paraId="08596E3E"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37,8%</w:t>
                      </w:r>
                    </w:p>
                  </w:txbxContent>
                </v:textbox>
              </v:shape>
            </w:pict>
          </mc:Fallback>
        </mc:AlternateContent>
      </w:r>
      <w:r w:rsidRPr="005503B4">
        <w:rPr>
          <w:noProof/>
          <w:lang w:eastAsia="es-CO"/>
        </w:rPr>
        <mc:AlternateContent>
          <mc:Choice Requires="wps">
            <w:drawing>
              <wp:anchor distT="0" distB="0" distL="114300" distR="114300" simplePos="0" relativeHeight="251704832" behindDoc="0" locked="0" layoutInCell="1" allowOverlap="1" wp14:anchorId="4DB2D801" wp14:editId="611577D3">
                <wp:simplePos x="0" y="0"/>
                <wp:positionH relativeFrom="column">
                  <wp:posOffset>137795</wp:posOffset>
                </wp:positionH>
                <wp:positionV relativeFrom="paragraph">
                  <wp:posOffset>13202920</wp:posOffset>
                </wp:positionV>
                <wp:extent cx="525056" cy="246221"/>
                <wp:effectExtent l="0" t="0" r="0" b="0"/>
                <wp:wrapNone/>
                <wp:docPr id="5" name="CuadroTexto 3"/>
                <wp:cNvGraphicFramePr/>
                <a:graphic xmlns:a="http://schemas.openxmlformats.org/drawingml/2006/main">
                  <a:graphicData uri="http://schemas.microsoft.com/office/word/2010/wordprocessingShape">
                    <wps:wsp>
                      <wps:cNvSpPr txBox="1"/>
                      <wps:spPr>
                        <a:xfrm>
                          <a:off x="0" y="0"/>
                          <a:ext cx="525056" cy="2462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E6E443"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88,8%</w:t>
                            </w:r>
                          </w:p>
                        </w:txbxContent>
                      </wps:txbx>
                      <wps:bodyPr wrap="square" rtlCol="0" anchor="t">
                        <a:spAutoFit/>
                      </wps:bodyPr>
                    </wps:wsp>
                  </a:graphicData>
                </a:graphic>
              </wp:anchor>
            </w:drawing>
          </mc:Choice>
          <mc:Fallback>
            <w:pict>
              <v:shape w14:anchorId="4DB2D801" id="_x0000_s1042" type="#_x0000_t202" style="position:absolute;left:0;text-align:left;margin-left:10.85pt;margin-top:1039.6pt;width:41.35pt;height:19.4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" filled="f" stroked="f">
                <v:textbox style="mso-fit-shape-to-text:t">
                  <w:txbxContent>
                    <w:p w14:paraId="69E6E443"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88,8%</w:t>
                      </w:r>
                    </w:p>
                  </w:txbxContent>
                </v:textbox>
              </v:shape>
            </w:pict>
          </mc:Fallback>
        </mc:AlternateContent>
      </w:r>
      <w:r w:rsidRPr="005503B4">
        <w:rPr>
          <w:noProof/>
          <w:lang w:eastAsia="es-CO"/>
        </w:rPr>
        <mc:AlternateContent>
          <mc:Choice Requires="wps">
            <w:drawing>
              <wp:anchor distT="0" distB="0" distL="114300" distR="114300" simplePos="0" relativeHeight="251705856" behindDoc="0" locked="0" layoutInCell="1" allowOverlap="1" wp14:anchorId="0FA2D536" wp14:editId="74DA403F">
                <wp:simplePos x="0" y="0"/>
                <wp:positionH relativeFrom="column">
                  <wp:posOffset>2219325</wp:posOffset>
                </wp:positionH>
                <wp:positionV relativeFrom="paragraph">
                  <wp:posOffset>14091920</wp:posOffset>
                </wp:positionV>
                <wp:extent cx="525056" cy="246221"/>
                <wp:effectExtent l="0" t="0" r="0" b="0"/>
                <wp:wrapNone/>
                <wp:docPr id="25" name="CuadroTexto 4">
                  <a:extLst xmlns:a="http://schemas.openxmlformats.org/drawingml/2006/main">
                    <a:ext uri="{FF2B5EF4-FFF2-40B4-BE49-F238E27FC236}">
                      <a16:creationId xmlns:a16="http://schemas.microsoft.com/office/drawing/2014/main" id="{CBF8CD18-5287-4E3E-8BE5-30FB7C781101}"/>
                    </a:ext>
                  </a:extLst>
                </wp:docPr>
                <wp:cNvGraphicFramePr/>
                <a:graphic xmlns:a="http://schemas.openxmlformats.org/drawingml/2006/main">
                  <a:graphicData uri="http://schemas.microsoft.com/office/word/2010/wordprocessingShape">
                    <wps:wsp>
                      <wps:cNvSpPr txBox="1"/>
                      <wps:spPr>
                        <a:xfrm>
                          <a:off x="0" y="0"/>
                          <a:ext cx="525056" cy="2462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CFD0D4"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59,0%</w:t>
                            </w:r>
                          </w:p>
                        </w:txbxContent>
                      </wps:txbx>
                      <wps:bodyPr wrap="square" rtlCol="0" anchor="t">
                        <a:spAutoFit/>
                      </wps:bodyPr>
                    </wps:wsp>
                  </a:graphicData>
                </a:graphic>
              </wp:anchor>
            </w:drawing>
          </mc:Choice>
          <mc:Fallback>
            <w:pict>
              <v:shape w14:anchorId="0FA2D536" id="_x0000_s1043" type="#_x0000_t202" style="position:absolute;left:0;text-align:left;margin-left:174.75pt;margin-top:1109.6pt;width:41.35pt;height:19.4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" filled="f" stroked="f">
                <v:textbox style="mso-fit-shape-to-text:t">
                  <w:txbxContent>
                    <w:p w14:paraId="59CFD0D4"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59,0%</w:t>
                      </w:r>
                    </w:p>
                  </w:txbxContent>
                </v:textbox>
              </v:shape>
            </w:pict>
          </mc:Fallback>
        </mc:AlternateContent>
      </w:r>
      <w:r w:rsidRPr="005503B4">
        <w:rPr>
          <w:noProof/>
          <w:lang w:eastAsia="es-CO"/>
        </w:rPr>
        <mc:AlternateContent>
          <mc:Choice Requires="wps">
            <w:drawing>
              <wp:anchor distT="0" distB="0" distL="114300" distR="114300" simplePos="0" relativeHeight="251706880" behindDoc="0" locked="0" layoutInCell="1" allowOverlap="1" wp14:anchorId="73DFA399" wp14:editId="65942861">
                <wp:simplePos x="0" y="0"/>
                <wp:positionH relativeFrom="column">
                  <wp:posOffset>4209415</wp:posOffset>
                </wp:positionH>
                <wp:positionV relativeFrom="paragraph">
                  <wp:posOffset>13869670</wp:posOffset>
                </wp:positionV>
                <wp:extent cx="525056" cy="246221"/>
                <wp:effectExtent l="0" t="0" r="0" b="0"/>
                <wp:wrapNone/>
                <wp:docPr id="7" name="CuadroTexto 5"/>
                <wp:cNvGraphicFramePr/>
                <a:graphic xmlns:a="http://schemas.openxmlformats.org/drawingml/2006/main">
                  <a:graphicData uri="http://schemas.microsoft.com/office/word/2010/wordprocessingShape">
                    <wps:wsp>
                      <wps:cNvSpPr txBox="1"/>
                      <wps:spPr>
                        <a:xfrm>
                          <a:off x="0" y="0"/>
                          <a:ext cx="525056" cy="2462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8B43D6"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55,1%</w:t>
                            </w:r>
                          </w:p>
                        </w:txbxContent>
                      </wps:txbx>
                      <wps:bodyPr wrap="square" rtlCol="0" anchor="t">
                        <a:spAutoFit/>
                      </wps:bodyPr>
                    </wps:wsp>
                  </a:graphicData>
                </a:graphic>
              </wp:anchor>
            </w:drawing>
          </mc:Choice>
          <mc:Fallback>
            <w:pict>
              <v:shape w14:anchorId="73DFA399" id="_x0000_s1044" type="#_x0000_t202" style="position:absolute;left:0;text-align:left;margin-left:331.45pt;margin-top:1092.1pt;width:41.35pt;height:19.4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" filled="f" stroked="f">
                <v:textbox style="mso-fit-shape-to-text:t">
                  <w:txbxContent>
                    <w:p w14:paraId="148B43D6"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55,1%</w:t>
                      </w:r>
                    </w:p>
                  </w:txbxContent>
                </v:textbox>
              </v:shape>
            </w:pict>
          </mc:Fallback>
        </mc:AlternateContent>
      </w:r>
      <w:r w:rsidRPr="005503B4">
        <w:rPr>
          <w:noProof/>
          <w:lang w:eastAsia="es-CO"/>
        </w:rPr>
        <mc:AlternateContent>
          <mc:Choice Requires="wps">
            <w:drawing>
              <wp:anchor distT="0" distB="0" distL="114300" distR="114300" simplePos="0" relativeHeight="251707904" behindDoc="0" locked="0" layoutInCell="1" allowOverlap="1" wp14:anchorId="7FDDFE8E" wp14:editId="027B8E51">
                <wp:simplePos x="0" y="0"/>
                <wp:positionH relativeFrom="column">
                  <wp:posOffset>6278245</wp:posOffset>
                </wp:positionH>
                <wp:positionV relativeFrom="paragraph">
                  <wp:posOffset>13793470</wp:posOffset>
                </wp:positionV>
                <wp:extent cx="525056" cy="246221"/>
                <wp:effectExtent l="0" t="0" r="0" b="0"/>
                <wp:wrapNone/>
                <wp:docPr id="8" name="CuadroTexto 6"/>
                <wp:cNvGraphicFramePr/>
                <a:graphic xmlns:a="http://schemas.openxmlformats.org/drawingml/2006/main">
                  <a:graphicData uri="http://schemas.microsoft.com/office/word/2010/wordprocessingShape">
                    <wps:wsp>
                      <wps:cNvSpPr txBox="1"/>
                      <wps:spPr>
                        <a:xfrm>
                          <a:off x="0" y="0"/>
                          <a:ext cx="525056" cy="2462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DB63505"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62,2%</w:t>
                            </w:r>
                          </w:p>
                        </w:txbxContent>
                      </wps:txbx>
                      <wps:bodyPr wrap="square" rtlCol="0" anchor="t">
                        <a:spAutoFit/>
                      </wps:bodyPr>
                    </wps:wsp>
                  </a:graphicData>
                </a:graphic>
              </wp:anchor>
            </w:drawing>
          </mc:Choice>
          <mc:Fallback>
            <w:pict>
              <v:shape w14:anchorId="7FDDFE8E" id="_x0000_s1045" type="#_x0000_t202" style="position:absolute;left:0;text-align:left;margin-left:494.35pt;margin-top:1086.1pt;width:41.35pt;height:19.4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" filled="f" stroked="f">
                <v:textbox style="mso-fit-shape-to-text:t">
                  <w:txbxContent>
                    <w:p w14:paraId="3DB63505"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62,2%</w:t>
                      </w:r>
                    </w:p>
                  </w:txbxContent>
                </v:textbox>
              </v:shape>
            </w:pict>
          </mc:Fallback>
        </mc:AlternateContent>
      </w:r>
      <w:r w:rsidRPr="005503B4">
        <w:rPr>
          <w:noProof/>
          <w:lang w:eastAsia="es-CO"/>
        </w:rPr>
        <mc:AlternateContent>
          <mc:Choice Requires="wps">
            <w:drawing>
              <wp:anchor distT="0" distB="0" distL="114300" distR="114300" simplePos="0" relativeHeight="251708928" behindDoc="0" locked="0" layoutInCell="1" allowOverlap="1" wp14:anchorId="590F6F4C" wp14:editId="402DA774">
                <wp:simplePos x="0" y="0"/>
                <wp:positionH relativeFrom="column">
                  <wp:posOffset>2196465</wp:posOffset>
                </wp:positionH>
                <wp:positionV relativeFrom="paragraph">
                  <wp:posOffset>12754610</wp:posOffset>
                </wp:positionV>
                <wp:extent cx="525056" cy="246221"/>
                <wp:effectExtent l="0" t="0" r="0" b="0"/>
                <wp:wrapNone/>
                <wp:docPr id="21" name="CuadroTexto 7"/>
                <wp:cNvGraphicFramePr/>
                <a:graphic xmlns:a="http://schemas.openxmlformats.org/drawingml/2006/main">
                  <a:graphicData uri="http://schemas.microsoft.com/office/word/2010/wordprocessingShape">
                    <wps:wsp>
                      <wps:cNvSpPr txBox="1"/>
                      <wps:spPr>
                        <a:xfrm>
                          <a:off x="0" y="0"/>
                          <a:ext cx="525056" cy="2462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21CD736"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41,0%</w:t>
                            </w:r>
                          </w:p>
                        </w:txbxContent>
                      </wps:txbx>
                      <wps:bodyPr wrap="square" rtlCol="0" anchor="t">
                        <a:spAutoFit/>
                      </wps:bodyPr>
                    </wps:wsp>
                  </a:graphicData>
                </a:graphic>
              </wp:anchor>
            </w:drawing>
          </mc:Choice>
          <mc:Fallback>
            <w:pict>
              <v:shape w14:anchorId="590F6F4C" id="_x0000_s1046" type="#_x0000_t202" style="position:absolute;left:0;text-align:left;margin-left:172.95pt;margin-top:1004.3pt;width:41.35pt;height:19.4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" filled="f" stroked="f">
                <v:textbox style="mso-fit-shape-to-text:t">
                  <w:txbxContent>
                    <w:p w14:paraId="121CD736"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41,0%</w:t>
                      </w:r>
                    </w:p>
                  </w:txbxContent>
                </v:textbox>
              </v:shape>
            </w:pict>
          </mc:Fallback>
        </mc:AlternateContent>
      </w:r>
      <w:r w:rsidRPr="005503B4">
        <w:rPr>
          <w:noProof/>
          <w:lang w:eastAsia="es-CO"/>
        </w:rPr>
        <mc:AlternateContent>
          <mc:Choice Requires="wps">
            <w:drawing>
              <wp:anchor distT="0" distB="0" distL="114300" distR="114300" simplePos="0" relativeHeight="251709952" behindDoc="0" locked="0" layoutInCell="1" allowOverlap="1" wp14:anchorId="327DECC0" wp14:editId="23F052E6">
                <wp:simplePos x="0" y="0"/>
                <wp:positionH relativeFrom="column">
                  <wp:posOffset>4239895</wp:posOffset>
                </wp:positionH>
                <wp:positionV relativeFrom="paragraph">
                  <wp:posOffset>12875260</wp:posOffset>
                </wp:positionV>
                <wp:extent cx="525056" cy="246221"/>
                <wp:effectExtent l="0" t="0" r="0" b="0"/>
                <wp:wrapNone/>
                <wp:docPr id="23" name="CuadroTexto 8"/>
                <wp:cNvGraphicFramePr/>
                <a:graphic xmlns:a="http://schemas.openxmlformats.org/drawingml/2006/main">
                  <a:graphicData uri="http://schemas.microsoft.com/office/word/2010/wordprocessingShape">
                    <wps:wsp>
                      <wps:cNvSpPr txBox="1"/>
                      <wps:spPr>
                        <a:xfrm>
                          <a:off x="0" y="0"/>
                          <a:ext cx="525056" cy="2462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778F6A6"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44,9%</w:t>
                            </w:r>
                          </w:p>
                        </w:txbxContent>
                      </wps:txbx>
                      <wps:bodyPr wrap="square" rtlCol="0" anchor="t">
                        <a:spAutoFit/>
                      </wps:bodyPr>
                    </wps:wsp>
                  </a:graphicData>
                </a:graphic>
              </wp:anchor>
            </w:drawing>
          </mc:Choice>
          <mc:Fallback>
            <w:pict>
              <v:shape w14:anchorId="327DECC0" id="_x0000_s1047" type="#_x0000_t202" style="position:absolute;left:0;text-align:left;margin-left:333.85pt;margin-top:1013.8pt;width:41.35pt;height:19.4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" filled="f" stroked="f">
                <v:textbox style="mso-fit-shape-to-text:t">
                  <w:txbxContent>
                    <w:p w14:paraId="7778F6A6"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44,9%</w:t>
                      </w:r>
                    </w:p>
                  </w:txbxContent>
                </v:textbox>
              </v:shape>
            </w:pict>
          </mc:Fallback>
        </mc:AlternateContent>
      </w:r>
      <w:r w:rsidRPr="005503B4">
        <w:rPr>
          <w:noProof/>
          <w:lang w:eastAsia="es-CO"/>
        </w:rPr>
        <mc:AlternateContent>
          <mc:Choice Requires="wps">
            <w:drawing>
              <wp:anchor distT="0" distB="0" distL="114300" distR="114300" simplePos="0" relativeHeight="251710976" behindDoc="0" locked="0" layoutInCell="1" allowOverlap="1" wp14:anchorId="55A91087" wp14:editId="51EBF61D">
                <wp:simplePos x="0" y="0"/>
                <wp:positionH relativeFrom="column">
                  <wp:posOffset>6278245</wp:posOffset>
                </wp:positionH>
                <wp:positionV relativeFrom="paragraph">
                  <wp:posOffset>12740640</wp:posOffset>
                </wp:positionV>
                <wp:extent cx="525056" cy="246221"/>
                <wp:effectExtent l="0" t="0" r="0" b="0"/>
                <wp:wrapNone/>
                <wp:docPr id="30" name="CuadroTexto 9">
                  <a:extLst xmlns:a="http://schemas.openxmlformats.org/drawingml/2006/main">
                    <a:ext uri="{FF2B5EF4-FFF2-40B4-BE49-F238E27FC236}">
                      <a16:creationId xmlns:a16="http://schemas.microsoft.com/office/drawing/2014/main" id="{BB077B24-6416-41B4-BAEF-76BEC5624B03}"/>
                    </a:ext>
                  </a:extLst>
                </wp:docPr>
                <wp:cNvGraphicFramePr/>
                <a:graphic xmlns:a="http://schemas.openxmlformats.org/drawingml/2006/main">
                  <a:graphicData uri="http://schemas.microsoft.com/office/word/2010/wordprocessingShape">
                    <wps:wsp>
                      <wps:cNvSpPr txBox="1"/>
                      <wps:spPr>
                        <a:xfrm>
                          <a:off x="0" y="0"/>
                          <a:ext cx="525056" cy="2462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9B3BCE"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37,8%</w:t>
                            </w:r>
                          </w:p>
                        </w:txbxContent>
                      </wps:txbx>
                      <wps:bodyPr wrap="square" rtlCol="0" anchor="t">
                        <a:spAutoFit/>
                      </wps:bodyPr>
                    </wps:wsp>
                  </a:graphicData>
                </a:graphic>
              </wp:anchor>
            </w:drawing>
          </mc:Choice>
          <mc:Fallback>
            <w:pict>
              <v:shape w14:anchorId="55A91087" id="_x0000_s1048" type="#_x0000_t202" style="position:absolute;left:0;text-align:left;margin-left:494.35pt;margin-top:1003.2pt;width:41.35pt;height:19.4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" filled="f" stroked="f">
                <v:textbox style="mso-fit-shape-to-text:t">
                  <w:txbxContent>
                    <w:p w14:paraId="769B3BCE"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37,8%</w:t>
                      </w:r>
                    </w:p>
                  </w:txbxContent>
                </v:textbox>
              </v:shape>
            </w:pict>
          </mc:Fallback>
        </mc:AlternateContent>
      </w:r>
      <w:r w:rsidRPr="005503B4">
        <w:rPr>
          <w:noProof/>
          <w:lang w:eastAsia="es-CO"/>
        </w:rPr>
        <mc:AlternateContent>
          <mc:Choice Requires="wps">
            <w:drawing>
              <wp:anchor distT="0" distB="0" distL="114300" distR="114300" simplePos="0" relativeHeight="251712000" behindDoc="0" locked="0" layoutInCell="1" allowOverlap="1" wp14:anchorId="644DA607" wp14:editId="11E73F2D">
                <wp:simplePos x="0" y="0"/>
                <wp:positionH relativeFrom="column">
                  <wp:posOffset>8341995</wp:posOffset>
                </wp:positionH>
                <wp:positionV relativeFrom="paragraph">
                  <wp:posOffset>13704570</wp:posOffset>
                </wp:positionV>
                <wp:extent cx="525056" cy="246221"/>
                <wp:effectExtent l="0" t="0" r="0" b="0"/>
                <wp:wrapNone/>
                <wp:docPr id="31" name="CuadroTexto 11">
                  <a:extLst xmlns:a="http://schemas.openxmlformats.org/drawingml/2006/main">
                    <a:ext uri="{FF2B5EF4-FFF2-40B4-BE49-F238E27FC236}">
                      <a16:creationId xmlns:a16="http://schemas.microsoft.com/office/drawing/2014/main" id="{2312C059-EF93-4DD7-ADBC-14B1237C5A8F}"/>
                    </a:ext>
                  </a:extLst>
                </wp:docPr>
                <wp:cNvGraphicFramePr/>
                <a:graphic xmlns:a="http://schemas.openxmlformats.org/drawingml/2006/main">
                  <a:graphicData uri="http://schemas.microsoft.com/office/word/2010/wordprocessingShape">
                    <wps:wsp>
                      <wps:cNvSpPr txBox="1"/>
                      <wps:spPr>
                        <a:xfrm>
                          <a:off x="0" y="0"/>
                          <a:ext cx="525056" cy="2462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5257A1"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67,8%</w:t>
                            </w:r>
                          </w:p>
                        </w:txbxContent>
                      </wps:txbx>
                      <wps:bodyPr wrap="square" rtlCol="0" anchor="t">
                        <a:spAutoFit/>
                      </wps:bodyPr>
                    </wps:wsp>
                  </a:graphicData>
                </a:graphic>
              </wp:anchor>
            </w:drawing>
          </mc:Choice>
          <mc:Fallback>
            <w:pict>
              <v:shape w14:anchorId="644DA607" id="_x0000_s1049" type="#_x0000_t202" style="position:absolute;left:0;text-align:left;margin-left:656.85pt;margin-top:1079.1pt;width:41.35pt;height:19.4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" filled="f" stroked="f">
                <v:textbox style="mso-fit-shape-to-text:t">
                  <w:txbxContent>
                    <w:p w14:paraId="3C5257A1"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67,8%</w:t>
                      </w:r>
                    </w:p>
                  </w:txbxContent>
                </v:textbox>
              </v:shape>
            </w:pict>
          </mc:Fallback>
        </mc:AlternateContent>
      </w:r>
      <w:r w:rsidRPr="005503B4">
        <w:rPr>
          <w:noProof/>
          <w:lang w:eastAsia="es-CO"/>
        </w:rPr>
        <mc:AlternateContent>
          <mc:Choice Requires="wps">
            <w:drawing>
              <wp:anchor distT="0" distB="0" distL="114300" distR="114300" simplePos="0" relativeHeight="251713024" behindDoc="0" locked="0" layoutInCell="1" allowOverlap="1" wp14:anchorId="6F6F52A6" wp14:editId="1CC29814">
                <wp:simplePos x="0" y="0"/>
                <wp:positionH relativeFrom="column">
                  <wp:posOffset>8316595</wp:posOffset>
                </wp:positionH>
                <wp:positionV relativeFrom="paragraph">
                  <wp:posOffset>12594590</wp:posOffset>
                </wp:positionV>
                <wp:extent cx="525056" cy="246221"/>
                <wp:effectExtent l="0" t="0" r="0" b="0"/>
                <wp:wrapNone/>
                <wp:docPr id="34" name="CuadroTexto 12"/>
                <wp:cNvGraphicFramePr/>
                <a:graphic xmlns:a="http://schemas.openxmlformats.org/drawingml/2006/main">
                  <a:graphicData uri="http://schemas.microsoft.com/office/word/2010/wordprocessingShape">
                    <wps:wsp>
                      <wps:cNvSpPr txBox="1"/>
                      <wps:spPr>
                        <a:xfrm>
                          <a:off x="0" y="0"/>
                          <a:ext cx="525056" cy="2462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DF896D4"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32,2%</w:t>
                            </w:r>
                          </w:p>
                        </w:txbxContent>
                      </wps:txbx>
                      <wps:bodyPr wrap="square" rtlCol="0" anchor="t">
                        <a:spAutoFit/>
                      </wps:bodyPr>
                    </wps:wsp>
                  </a:graphicData>
                </a:graphic>
              </wp:anchor>
            </w:drawing>
          </mc:Choice>
          <mc:Fallback>
            <w:pict>
              <v:shape w14:anchorId="6F6F52A6" id="_x0000_s1050" type="#_x0000_t202" style="position:absolute;left:0;text-align:left;margin-left:654.85pt;margin-top:991.7pt;width:41.35pt;height:19.4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" filled="f" stroked="f">
                <v:textbox style="mso-fit-shape-to-text:t">
                  <w:txbxContent>
                    <w:p w14:paraId="3DF896D4" w14:textId="77777777" w:rsidR="003C7C2B" w:rsidRDefault="003C7C2B" w:rsidP="00F262C2">
                      <w:pPr>
                        <w:rPr>
                          <w:rFonts w:asciiTheme="minorHAnsi" w:hAnsi="Calibri"/>
                          <w:color w:val="FFFFFF" w:themeColor="background1"/>
                          <w:kern w:val="24"/>
                          <w:sz w:val="20"/>
                          <w:szCs w:val="20"/>
                        </w:rPr>
                      </w:pPr>
                      <w:r>
                        <w:rPr>
                          <w:rFonts w:asciiTheme="minorHAnsi" w:hAnsi="Calibri"/>
                          <w:color w:val="FFFFFF" w:themeColor="background1"/>
                          <w:kern w:val="24"/>
                          <w:sz w:val="20"/>
                          <w:szCs w:val="20"/>
                        </w:rPr>
                        <w:t>32,2%</w:t>
                      </w:r>
                    </w:p>
                  </w:txbxContent>
                </v:textbox>
              </v:shape>
            </w:pict>
          </mc:Fallback>
        </mc:AlternateContent>
      </w:r>
      <w:r w:rsidRPr="005503B4">
        <w:t>FUENTE: MinTIC, Boletín postal para los ingresos del sector postal, FUTIC y Subdirección de Asuntos Postales, informes en EXCEL de las contraprestaciones trimestrales por operadores y por tipo de servicio del sector postal y Estados Financieros de SPN.</w:t>
      </w:r>
    </w:p>
    <w:p w14:paraId="5AC1679B" w14:textId="77777777" w:rsidR="00F262C2" w:rsidRPr="005503B4" w:rsidRDefault="00F262C2" w:rsidP="00F262C2">
      <w:pPr>
        <w:rPr>
          <w:lang w:val="es-CO" w:eastAsia="es-ES"/>
        </w:rPr>
      </w:pPr>
      <w:r w:rsidRPr="005503B4">
        <w:rPr>
          <w:lang w:val="es-CO" w:eastAsia="es-ES"/>
        </w:rPr>
        <w:lastRenderedPageBreak/>
        <w:t xml:space="preserve">Del análisis de la gráfica, se observan varios </w:t>
      </w:r>
      <w:r>
        <w:rPr>
          <w:lang w:val="es-CO" w:eastAsia="es-ES"/>
        </w:rPr>
        <w:t>elementos</w:t>
      </w:r>
      <w:r w:rsidRPr="005503B4">
        <w:rPr>
          <w:lang w:val="es-CO" w:eastAsia="es-ES"/>
        </w:rPr>
        <w:t xml:space="preserve"> relevantes:</w:t>
      </w:r>
    </w:p>
    <w:p w14:paraId="48B081EB" w14:textId="77777777" w:rsidR="00F262C2" w:rsidRPr="005503B4" w:rsidRDefault="00F262C2" w:rsidP="00F262C2">
      <w:pPr>
        <w:pStyle w:val="Prrafodelista"/>
        <w:ind w:left="567" w:hanging="283"/>
        <w:rPr>
          <w:lang w:eastAsia="es-ES"/>
        </w:rPr>
      </w:pPr>
      <w:r w:rsidRPr="005503B4">
        <w:rPr>
          <w:b/>
          <w:bCs/>
          <w:u w:val="single"/>
          <w:lang w:eastAsia="es-ES"/>
        </w:rPr>
        <w:t>Disminución de los ingresos por contraprestaciones del sector postal</w:t>
      </w:r>
      <w:r w:rsidRPr="005503B4">
        <w:rPr>
          <w:lang w:eastAsia="es-ES"/>
        </w:rPr>
        <w:t xml:space="preserve">, hecho que se explica </w:t>
      </w:r>
      <w:r>
        <w:rPr>
          <w:lang w:eastAsia="es-ES"/>
        </w:rPr>
        <w:t xml:space="preserve">principalmente </w:t>
      </w:r>
      <w:r w:rsidRPr="005503B4">
        <w:rPr>
          <w:lang w:eastAsia="es-ES"/>
        </w:rPr>
        <w:t>por la reducción en los aportes de los operadores de</w:t>
      </w:r>
      <w:r>
        <w:rPr>
          <w:lang w:eastAsia="es-ES"/>
        </w:rPr>
        <w:t>l</w:t>
      </w:r>
      <w:r w:rsidRPr="005503B4">
        <w:rPr>
          <w:lang w:eastAsia="es-ES"/>
        </w:rPr>
        <w:t xml:space="preserve"> servicio postal</w:t>
      </w:r>
      <w:r>
        <w:rPr>
          <w:lang w:eastAsia="es-ES"/>
        </w:rPr>
        <w:t xml:space="preserve"> de pago</w:t>
      </w:r>
      <w:r w:rsidRPr="005503B4">
        <w:rPr>
          <w:lang w:eastAsia="es-ES"/>
        </w:rPr>
        <w:t xml:space="preserve"> desde el año 2018, a pesar del mayor recaudo proveniente de los operadores de mensajería expresa, producto de los mayores ingresos obtenidos por los productos de paquetes entre los 2 y los 5 Kg.</w:t>
      </w:r>
    </w:p>
    <w:p w14:paraId="367501B1" w14:textId="2D67BCEB" w:rsidR="00F262C2" w:rsidRDefault="00F262C2" w:rsidP="00F262C2">
      <w:pPr>
        <w:pStyle w:val="Prrafodelista"/>
        <w:ind w:left="567" w:hanging="283"/>
        <w:rPr>
          <w:lang w:eastAsia="es-ES"/>
        </w:rPr>
      </w:pPr>
      <w:r>
        <w:rPr>
          <w:b/>
          <w:bCs/>
          <w:u w:val="single"/>
          <w:lang w:eastAsia="es-ES"/>
        </w:rPr>
        <w:t>Disminución</w:t>
      </w:r>
      <w:r w:rsidRPr="005503B4">
        <w:rPr>
          <w:b/>
          <w:bCs/>
          <w:u w:val="single"/>
          <w:lang w:eastAsia="es-ES"/>
        </w:rPr>
        <w:t xml:space="preserve"> significativa en las transferencias a SPN, por</w:t>
      </w:r>
      <w:r>
        <w:rPr>
          <w:b/>
          <w:bCs/>
          <w:u w:val="single"/>
          <w:lang w:eastAsia="es-ES"/>
        </w:rPr>
        <w:t xml:space="preserve"> la prestación del servicio de Franquicia Postal</w:t>
      </w:r>
      <w:r w:rsidRPr="005503B4">
        <w:rPr>
          <w:lang w:eastAsia="es-ES"/>
        </w:rPr>
        <w:t xml:space="preserve">. Nótese que, mientras que en el año 2016 el Fondo </w:t>
      </w:r>
      <w:r>
        <w:rPr>
          <w:lang w:eastAsia="es-ES"/>
        </w:rPr>
        <w:t>transfirió</w:t>
      </w:r>
      <w:r w:rsidRPr="005503B4">
        <w:rPr>
          <w:lang w:eastAsia="es-ES"/>
        </w:rPr>
        <w:t xml:space="preserve"> a SPN $55.550 millones por este concepto, cifra que no varió de manera significativa entre ese año y el 2019, en </w:t>
      </w:r>
      <w:r>
        <w:rPr>
          <w:lang w:eastAsia="es-ES"/>
        </w:rPr>
        <w:t xml:space="preserve">el </w:t>
      </w:r>
      <w:r w:rsidRPr="005503B4">
        <w:rPr>
          <w:lang w:eastAsia="es-ES"/>
        </w:rPr>
        <w:t>año 2020, el monto pagado a SPN</w:t>
      </w:r>
      <w:r>
        <w:rPr>
          <w:lang w:eastAsia="es-ES"/>
        </w:rPr>
        <w:t xml:space="preserve"> </w:t>
      </w:r>
      <w:r w:rsidRPr="005503B4">
        <w:rPr>
          <w:lang w:eastAsia="es-ES"/>
        </w:rPr>
        <w:t xml:space="preserve">por </w:t>
      </w:r>
      <w:r>
        <w:rPr>
          <w:lang w:eastAsia="es-ES"/>
        </w:rPr>
        <w:t xml:space="preserve">ese </w:t>
      </w:r>
      <w:r w:rsidRPr="005503B4">
        <w:rPr>
          <w:lang w:eastAsia="es-ES"/>
        </w:rPr>
        <w:t xml:space="preserve">concepto se </w:t>
      </w:r>
      <w:r>
        <w:rPr>
          <w:lang w:eastAsia="es-ES"/>
        </w:rPr>
        <w:t>redujo</w:t>
      </w:r>
      <w:r w:rsidRPr="005503B4">
        <w:rPr>
          <w:lang w:eastAsia="es-ES"/>
        </w:rPr>
        <w:t xml:space="preserve"> a $14.589,6</w:t>
      </w:r>
      <w:r>
        <w:rPr>
          <w:lang w:eastAsia="es-ES"/>
        </w:rPr>
        <w:t xml:space="preserve"> millones.</w:t>
      </w:r>
    </w:p>
    <w:p w14:paraId="41CEBDAA" w14:textId="77777777" w:rsidR="00F262C2" w:rsidRPr="00EB3ADB" w:rsidRDefault="00F262C2" w:rsidP="00F262C2">
      <w:pPr>
        <w:ind w:left="567"/>
        <w:rPr>
          <w:rFonts w:eastAsiaTheme="minorHAnsi"/>
          <w:sz w:val="22"/>
          <w:szCs w:val="22"/>
          <w:lang w:val="es-ES" w:eastAsia="es-ES"/>
        </w:rPr>
      </w:pPr>
      <w:r w:rsidRPr="00EB3ADB">
        <w:rPr>
          <w:rFonts w:eastAsiaTheme="minorHAnsi"/>
          <w:sz w:val="22"/>
          <w:szCs w:val="22"/>
          <w:lang w:val="es-ES" w:eastAsia="es-ES"/>
        </w:rPr>
        <w:t>Es preciso señalar que la mencionada disminución en los pagos a SPN, generados por la prestación del servicio de Franquicia Postal influyó lo dispuesto en el Decreto Legislativo 806 de 2020, expedido en atención a la situación de emergencia sanitaria decretada como medida de prevención ante el COVID 19, ello considerando la posibilidad del uso de las TIC dentro de los procesos judiciales y en la atención a los usuarios del servicio de justicia, esto en concordancia con la expedición de normativa en materia de salud pública y con las restricciones adoptadas por el Gobierno Nacional.</w:t>
      </w:r>
    </w:p>
    <w:p w14:paraId="334EFED9" w14:textId="012F340F" w:rsidR="00F262C2" w:rsidRDefault="00F262C2" w:rsidP="00F262C2">
      <w:pPr>
        <w:pStyle w:val="Prrafodelista"/>
        <w:ind w:left="567" w:hanging="283"/>
        <w:rPr>
          <w:lang w:eastAsia="es-ES"/>
        </w:rPr>
      </w:pPr>
      <w:r w:rsidRPr="005503B4">
        <w:rPr>
          <w:b/>
          <w:bCs/>
          <w:u w:val="single"/>
          <w:lang w:eastAsia="es-ES"/>
        </w:rPr>
        <w:t>Reducción del</w:t>
      </w:r>
      <w:r>
        <w:rPr>
          <w:b/>
          <w:bCs/>
          <w:u w:val="single"/>
          <w:lang w:eastAsia="es-ES"/>
        </w:rPr>
        <w:t xml:space="preserve"> valor del</w:t>
      </w:r>
      <w:r w:rsidRPr="005503B4">
        <w:rPr>
          <w:b/>
          <w:bCs/>
          <w:u w:val="single"/>
          <w:lang w:eastAsia="es-ES"/>
        </w:rPr>
        <w:t xml:space="preserve"> déficit en la </w:t>
      </w:r>
      <w:r>
        <w:rPr>
          <w:b/>
          <w:bCs/>
          <w:u w:val="single"/>
          <w:lang w:eastAsia="es-ES"/>
        </w:rPr>
        <w:t>prestación</w:t>
      </w:r>
      <w:r w:rsidRPr="005503B4">
        <w:rPr>
          <w:b/>
          <w:bCs/>
          <w:u w:val="single"/>
          <w:lang w:eastAsia="es-ES"/>
        </w:rPr>
        <w:t xml:space="preserve"> del SPU</w:t>
      </w:r>
      <w:r w:rsidRPr="005503B4">
        <w:rPr>
          <w:lang w:eastAsia="es-ES"/>
        </w:rPr>
        <w:t xml:space="preserve">: Como se presenta en la </w:t>
      </w:r>
      <w:r w:rsidRPr="005503B4">
        <w:rPr>
          <w:lang w:eastAsia="es-ES"/>
        </w:rPr>
        <w:fldChar w:fldCharType="begin"/>
      </w:r>
      <w:r w:rsidRPr="005503B4">
        <w:rPr>
          <w:lang w:eastAsia="es-ES"/>
        </w:rPr>
        <w:instrText xml:space="preserve"> REF _Ref101527338 \h </w:instrText>
      </w:r>
      <w:r>
        <w:rPr>
          <w:lang w:eastAsia="es-ES"/>
        </w:rPr>
        <w:instrText xml:space="preserve"> \* MERGEFORMAT </w:instrText>
      </w:r>
      <w:r w:rsidRPr="005503B4">
        <w:rPr>
          <w:lang w:eastAsia="es-ES"/>
        </w:rPr>
      </w:r>
      <w:r w:rsidRPr="005503B4">
        <w:rPr>
          <w:lang w:eastAsia="es-ES"/>
        </w:rPr>
        <w:fldChar w:fldCharType="separate"/>
      </w:r>
      <w:r w:rsidR="00C57FCA" w:rsidRPr="005503B4">
        <w:t xml:space="preserve">Gráfica </w:t>
      </w:r>
      <w:r w:rsidR="00C57FCA">
        <w:rPr>
          <w:noProof/>
        </w:rPr>
        <w:t>3</w:t>
      </w:r>
      <w:r w:rsidR="00C57FCA" w:rsidRPr="005503B4">
        <w:rPr>
          <w:noProof/>
        </w:rPr>
        <w:noBreakHyphen/>
      </w:r>
      <w:r w:rsidR="00C57FCA">
        <w:rPr>
          <w:noProof/>
        </w:rPr>
        <w:t>3</w:t>
      </w:r>
      <w:r w:rsidRPr="005503B4">
        <w:rPr>
          <w:lang w:eastAsia="es-ES"/>
        </w:rPr>
        <w:fldChar w:fldCharType="end"/>
      </w:r>
      <w:r w:rsidRPr="005503B4">
        <w:rPr>
          <w:lang w:eastAsia="es-ES"/>
        </w:rPr>
        <w:t xml:space="preserve">, la transferencia de los recursos que </w:t>
      </w:r>
      <w:r>
        <w:rPr>
          <w:lang w:eastAsia="es-ES"/>
        </w:rPr>
        <w:t>se</w:t>
      </w:r>
      <w:r w:rsidRPr="005503B4">
        <w:rPr>
          <w:lang w:eastAsia="es-ES"/>
        </w:rPr>
        <w:t xml:space="preserve"> ha</w:t>
      </w:r>
      <w:r>
        <w:rPr>
          <w:lang w:eastAsia="es-ES"/>
        </w:rPr>
        <w:t>n</w:t>
      </w:r>
      <w:r w:rsidRPr="005503B4">
        <w:rPr>
          <w:lang w:eastAsia="es-ES"/>
        </w:rPr>
        <w:t xml:space="preserve"> realizado </w:t>
      </w:r>
      <w:r>
        <w:rPr>
          <w:lang w:eastAsia="es-ES"/>
        </w:rPr>
        <w:t>desde el</w:t>
      </w:r>
      <w:r w:rsidRPr="005503B4">
        <w:rPr>
          <w:lang w:eastAsia="es-ES"/>
        </w:rPr>
        <w:t xml:space="preserve"> FUTIC a SPN para cubrir el déficit</w:t>
      </w:r>
      <w:r>
        <w:rPr>
          <w:rStyle w:val="Refdenotaalpie"/>
          <w:lang w:eastAsia="es-ES"/>
        </w:rPr>
        <w:footnoteReference w:id="6"/>
      </w:r>
      <w:r w:rsidRPr="005503B4">
        <w:rPr>
          <w:lang w:eastAsia="es-ES"/>
        </w:rPr>
        <w:t xml:space="preserve"> </w:t>
      </w:r>
      <w:r>
        <w:rPr>
          <w:lang w:eastAsia="es-ES"/>
        </w:rPr>
        <w:t xml:space="preserve">por concepto de la prestación del </w:t>
      </w:r>
      <w:r w:rsidRPr="005503B4">
        <w:rPr>
          <w:lang w:eastAsia="es-ES"/>
        </w:rPr>
        <w:t>SPU, ha disminuido sistemáticamente en los últimos seis años. Mientras que</w:t>
      </w:r>
      <w:r w:rsidR="00795ECB">
        <w:rPr>
          <w:lang w:eastAsia="es-ES"/>
        </w:rPr>
        <w:t>,</w:t>
      </w:r>
      <w:r w:rsidRPr="005503B4">
        <w:rPr>
          <w:lang w:eastAsia="es-ES"/>
        </w:rPr>
        <w:t xml:space="preserve"> en el año 2016, según los estados financieros de SPN, el déficit del SPU era del orden de los $19.144 millones, en pesos constantes de 2021, para el 2017 ya había disminuido a $13.760, mientras que para </w:t>
      </w:r>
      <w:r>
        <w:rPr>
          <w:lang w:eastAsia="es-ES"/>
        </w:rPr>
        <w:t>el</w:t>
      </w:r>
      <w:r w:rsidRPr="005503B4">
        <w:rPr>
          <w:lang w:eastAsia="es-ES"/>
        </w:rPr>
        <w:t xml:space="preserve"> año 2020 el déficit se había reducido a los $</w:t>
      </w:r>
      <w:r>
        <w:rPr>
          <w:lang w:eastAsia="es-ES"/>
        </w:rPr>
        <w:t xml:space="preserve">5.946,8 millones, </w:t>
      </w:r>
    </w:p>
    <w:p w14:paraId="7893875F" w14:textId="77777777" w:rsidR="00F262C2" w:rsidRPr="00AC3852" w:rsidRDefault="00F262C2" w:rsidP="00AC3852">
      <w:r w:rsidRPr="00AC3852">
        <w:t>Con base en los elementos anteriormente expuestos, se observan dos particularidades: la primera, que hasta el año 2019 los recursos recaudados por el Fondo producto de las contraprestaciones a cargo de los operadores Postales, se destinaron en su integralidad a financiar el Servicio Postal Universal, cubrir los gastos asociados a la franquicia postal y a cubrir los gastos de vigilancia y control de los Operadores Postales, de acuerdo a lo dispuesto en la ley postal, mientras que la segunda particularidad, se presenta en la vigencia 2020, donde la contraprestación en favor del fondo fue mayor, con relación a los gastos para financiar el SPU, cubrir los gastos asociados a la Franquicia Postal y los de Vigilancia, Inspección y Control.</w:t>
      </w:r>
    </w:p>
    <w:p w14:paraId="4EBD3EB9" w14:textId="77777777" w:rsidR="00F262C2" w:rsidRPr="005503B4" w:rsidRDefault="00F262C2" w:rsidP="00F262C2">
      <w:pPr>
        <w:pStyle w:val="Ttulo2"/>
      </w:pPr>
      <w:bookmarkStart w:id="118" w:name="_Toc102393269"/>
      <w:bookmarkStart w:id="119" w:name="_Toc104272128"/>
      <w:r w:rsidRPr="005503B4">
        <w:lastRenderedPageBreak/>
        <w:t>Conclusiones</w:t>
      </w:r>
      <w:bookmarkEnd w:id="118"/>
      <w:bookmarkEnd w:id="119"/>
    </w:p>
    <w:p w14:paraId="4D1C18BF" w14:textId="671F0FD4" w:rsidR="00F262C2" w:rsidRPr="005503B4" w:rsidRDefault="00F262C2" w:rsidP="00F262C2">
      <w:r w:rsidRPr="005503B4">
        <w:t xml:space="preserve">En el desarrollo de este capítulo se encontró que el volumen promedio de las contraprestaciones postales se ha mantenido en los últimos años alrededor de los $60 mil millones, hallándose que los recursos que aportan los operadores postales al Fondo han disminuido a tasas del 2,9%, promedio anual, en los pasados siete años. </w:t>
      </w:r>
    </w:p>
    <w:p w14:paraId="49EE338C" w14:textId="77777777" w:rsidR="00F262C2" w:rsidRPr="005503B4" w:rsidRDefault="00F262C2" w:rsidP="00F262C2">
      <w:r w:rsidRPr="005503B4">
        <w:t>Influyen en este comportamiento varios fenómenos: El primer factor que explica la disminución</w:t>
      </w:r>
      <w:r>
        <w:t xml:space="preserve">, se relaciona con la inesperada disrupción de la pandemia generada por el COVID-19, en segundo lugar, las decisiones adoptadas para su mitigación, y en tercer lugar </w:t>
      </w:r>
      <w:r w:rsidRPr="005503B4">
        <w:t>la expedición del Decreto 887 de junio de 2020,</w:t>
      </w:r>
      <w:r>
        <w:t xml:space="preserve"> que permitió la reducción de la </w:t>
      </w:r>
      <w:r w:rsidRPr="005503B4">
        <w:t>contraprestación del 3% al 2,5%.</w:t>
      </w:r>
    </w:p>
    <w:p w14:paraId="523C6BBB" w14:textId="77777777" w:rsidR="00F262C2" w:rsidRPr="005503B4" w:rsidRDefault="00F262C2" w:rsidP="00F262C2">
      <w:r w:rsidRPr="005503B4">
        <w:t>De otro lado, se encontró que los operadores de</w:t>
      </w:r>
      <w:r>
        <w:t>l servicio Postal de Pago</w:t>
      </w:r>
      <w:r w:rsidRPr="005503B4">
        <w:t xml:space="preserve"> ha</w:t>
      </w:r>
      <w:r>
        <w:t>n</w:t>
      </w:r>
      <w:r w:rsidRPr="005503B4">
        <w:t xml:space="preserve"> v</w:t>
      </w:r>
      <w:r>
        <w:t>isto</w:t>
      </w:r>
      <w:r w:rsidRPr="005503B4">
        <w:t xml:space="preserve"> dismin</w:t>
      </w:r>
      <w:r>
        <w:t>uido</w:t>
      </w:r>
      <w:r w:rsidRPr="005503B4">
        <w:t xml:space="preserve"> su crecimiento en el mercado desde el año 2018, hecho que se explica, en gran medida, por la entrada y consolidación de agentes del sector bancario en los servicios de pago en efectivo, a través de los servicios Fintech y de operadores bancarios, </w:t>
      </w:r>
      <w:r>
        <w:t>afectando</w:t>
      </w:r>
      <w:r w:rsidRPr="005503B4">
        <w:t xml:space="preserve"> la participación </w:t>
      </w:r>
      <w:r>
        <w:t>en el</w:t>
      </w:r>
      <w:r w:rsidRPr="005503B4">
        <w:t xml:space="preserve"> mercado de los operadores postales de pago</w:t>
      </w:r>
      <w:r>
        <w:t>.</w:t>
      </w:r>
    </w:p>
    <w:p w14:paraId="72FDD805" w14:textId="77777777" w:rsidR="00F262C2" w:rsidRPr="005503B4" w:rsidRDefault="00F262C2" w:rsidP="00F262C2">
      <w:r w:rsidRPr="005503B4">
        <w:t>Finalmente, con base</w:t>
      </w:r>
      <w:r>
        <w:t xml:space="preserve"> en</w:t>
      </w:r>
      <w:r w:rsidRPr="005503B4">
        <w:t xml:space="preserve"> los estados financieros de SPN, las c</w:t>
      </w:r>
      <w:r>
        <w:t xml:space="preserve">ifras del Fondo en materia de recaudo en virtud de </w:t>
      </w:r>
      <w:r w:rsidRPr="005503B4">
        <w:t>contraprestaciones</w:t>
      </w:r>
      <w:r>
        <w:t xml:space="preserve"> a cargo de los operadores postales, así como en las destinaciones de </w:t>
      </w:r>
      <w:proofErr w:type="gramStart"/>
      <w:r>
        <w:t>la misma</w:t>
      </w:r>
      <w:proofErr w:type="gramEnd"/>
      <w:r>
        <w:t xml:space="preserve">, </w:t>
      </w:r>
      <w:r w:rsidRPr="005503B4">
        <w:t>se pudo constatar</w:t>
      </w:r>
      <w:r>
        <w:t xml:space="preserve"> que desde el año </w:t>
      </w:r>
      <w:r w:rsidRPr="00C20131">
        <w:t>2020 se presenta un superávit significativo, originado</w:t>
      </w:r>
      <w:r w:rsidRPr="005503B4">
        <w:t xml:space="preserve"> fundamentalmente, en la disminución de los pagos que realiza el Fondo por concepto de la atención tanto de la Franquicia Postal como del SPU. </w:t>
      </w:r>
    </w:p>
    <w:p w14:paraId="0F553806" w14:textId="77777777" w:rsidR="00F262C2" w:rsidRDefault="00F262C2" w:rsidP="00F262C2">
      <w:pPr>
        <w:spacing w:before="0" w:after="120" w:line="276" w:lineRule="auto"/>
      </w:pPr>
      <w:r>
        <w:br w:type="page"/>
      </w:r>
    </w:p>
    <w:p w14:paraId="2ED719AC" w14:textId="77777777" w:rsidR="00F262C2" w:rsidRPr="005503B4" w:rsidRDefault="00F262C2" w:rsidP="00F262C2">
      <w:pPr>
        <w:pStyle w:val="Ttulo1"/>
        <w:rPr>
          <w:rFonts w:ascii="Arial Narrow" w:hAnsi="Arial Narrow"/>
        </w:rPr>
      </w:pPr>
      <w:bookmarkStart w:id="120" w:name="_Toc102393270"/>
      <w:bookmarkStart w:id="121" w:name="_Toc104272129"/>
      <w:bookmarkStart w:id="122" w:name="_Ref39479067"/>
      <w:bookmarkEnd w:id="120"/>
      <w:bookmarkEnd w:id="121"/>
    </w:p>
    <w:p w14:paraId="0D00A598" w14:textId="77777777" w:rsidR="00F262C2" w:rsidRPr="005503B4" w:rsidRDefault="00F262C2" w:rsidP="00F262C2">
      <w:pPr>
        <w:pStyle w:val="Titulodescripcin"/>
        <w:rPr>
          <w:rFonts w:ascii="Arial Narrow" w:hAnsi="Arial Narrow"/>
        </w:rPr>
      </w:pPr>
      <w:bookmarkStart w:id="123" w:name="_Toc102393271"/>
      <w:bookmarkStart w:id="124" w:name="_Toc104272130"/>
      <w:bookmarkEnd w:id="122"/>
      <w:r w:rsidRPr="005503B4">
        <w:rPr>
          <w:rFonts w:ascii="Arial Narrow" w:hAnsi="Arial Narrow"/>
        </w:rPr>
        <w:t>El Servicio Postal Universal (SPU): Marco legal, definiciones, componentes, tendencias históricas y mecanismo de cálculo.</w:t>
      </w:r>
      <w:bookmarkEnd w:id="123"/>
      <w:bookmarkEnd w:id="124"/>
    </w:p>
    <w:p w14:paraId="6CDD5DFB" w14:textId="77777777" w:rsidR="00F262C2" w:rsidRPr="005503B4" w:rsidRDefault="00F262C2" w:rsidP="00F262C2">
      <w:pPr>
        <w:pStyle w:val="Ttulo2"/>
      </w:pPr>
      <w:bookmarkStart w:id="125" w:name="_Toc102393272"/>
      <w:bookmarkStart w:id="126" w:name="_Toc104272131"/>
      <w:r w:rsidRPr="005503B4">
        <w:t>Introducción.</w:t>
      </w:r>
      <w:bookmarkEnd w:id="125"/>
      <w:bookmarkEnd w:id="126"/>
    </w:p>
    <w:p w14:paraId="036B5502" w14:textId="5C63A59A" w:rsidR="00F262C2" w:rsidRPr="005503B4" w:rsidRDefault="00F262C2" w:rsidP="00F262C2">
      <w:r w:rsidRPr="005503B4">
        <w:t>Este capítulo está dirigido a presentar las principales definiciones, productos, usos, criterios y estimaci</w:t>
      </w:r>
      <w:r>
        <w:t>o</w:t>
      </w:r>
      <w:r w:rsidRPr="005503B4">
        <w:t>n</w:t>
      </w:r>
      <w:r>
        <w:t>es</w:t>
      </w:r>
      <w:r w:rsidRPr="005503B4">
        <w:t>, asociados al concepto del Servicio Postal Universal - SPU y su déficit en Colombia. De otro lado, en el capítulo se presenta</w:t>
      </w:r>
      <w:r>
        <w:t>n</w:t>
      </w:r>
      <w:r w:rsidRPr="005503B4">
        <w:t xml:space="preserve"> </w:t>
      </w:r>
      <w:r>
        <w:t>los</w:t>
      </w:r>
      <w:r w:rsidRPr="005503B4">
        <w:t xml:space="preserve"> valor</w:t>
      </w:r>
      <w:r>
        <w:t>es</w:t>
      </w:r>
      <w:r w:rsidRPr="005503B4">
        <w:t xml:space="preserve"> históricamente</w:t>
      </w:r>
      <w:r>
        <w:t xml:space="preserve"> pagados</w:t>
      </w:r>
      <w:r w:rsidRPr="005503B4">
        <w:t xml:space="preserve"> por el MinTIC a SPN por </w:t>
      </w:r>
      <w:r>
        <w:t>la prestación</w:t>
      </w:r>
      <w:r w:rsidRPr="005503B4">
        <w:t xml:space="preserve"> del SPU, a efectos de</w:t>
      </w:r>
      <w:r>
        <w:t xml:space="preserve"> que sirvan como insumos fundamentales para</w:t>
      </w:r>
      <w:r w:rsidRPr="005503B4">
        <w:t xml:space="preserve"> determinar la contraprestación </w:t>
      </w:r>
      <w:r>
        <w:t xml:space="preserve">a cargo de los operadores Postales, </w:t>
      </w:r>
      <w:r w:rsidRPr="005503B4">
        <w:t>para el período 2022 – 2024</w:t>
      </w:r>
      <w:r>
        <w:t xml:space="preserve"> y f</w:t>
      </w:r>
      <w:r w:rsidRPr="005503B4">
        <w:t>inalmente, se presenta la</w:t>
      </w:r>
      <w:r>
        <w:t xml:space="preserve"> información relacionada con la</w:t>
      </w:r>
      <w:r w:rsidRPr="005503B4">
        <w:t xml:space="preserve"> evolución del déficit del SPU</w:t>
      </w:r>
      <w:r>
        <w:t xml:space="preserve"> de</w:t>
      </w:r>
      <w:r w:rsidR="003B3496">
        <w:t>sde el año 2016</w:t>
      </w:r>
      <w:r>
        <w:t>.</w:t>
      </w:r>
    </w:p>
    <w:p w14:paraId="47A8D3B7" w14:textId="77777777" w:rsidR="00F262C2" w:rsidRPr="005503B4" w:rsidRDefault="00F262C2" w:rsidP="00F262C2">
      <w:pPr>
        <w:pStyle w:val="Ttulo2"/>
      </w:pPr>
      <w:bookmarkStart w:id="127" w:name="_Toc40094010"/>
      <w:bookmarkStart w:id="128" w:name="_Toc102393273"/>
      <w:bookmarkStart w:id="129" w:name="_Toc104272132"/>
      <w:r w:rsidRPr="005503B4">
        <w:t>El Servicio Postal Universal (SPU) en Colombia: Definiciones, productos, usos, proyección del déficit.</w:t>
      </w:r>
      <w:bookmarkEnd w:id="127"/>
      <w:bookmarkEnd w:id="128"/>
      <w:bookmarkEnd w:id="129"/>
    </w:p>
    <w:p w14:paraId="32CEF0D8" w14:textId="77777777" w:rsidR="00F262C2" w:rsidRPr="005503B4" w:rsidRDefault="00F262C2" w:rsidP="00F262C2">
      <w:pPr>
        <w:pStyle w:val="Ttulo3"/>
      </w:pPr>
      <w:bookmarkStart w:id="130" w:name="_Toc40094011"/>
      <w:bookmarkStart w:id="131" w:name="_Toc102393274"/>
      <w:bookmarkStart w:id="132" w:name="_Toc104272133"/>
      <w:r w:rsidRPr="005503B4">
        <w:t>Definición del SPU.</w:t>
      </w:r>
      <w:bookmarkEnd w:id="130"/>
      <w:bookmarkEnd w:id="131"/>
      <w:bookmarkEnd w:id="132"/>
    </w:p>
    <w:p w14:paraId="47FA4E62" w14:textId="77777777" w:rsidR="00F262C2" w:rsidRPr="005503B4" w:rsidRDefault="00F262C2" w:rsidP="00F262C2">
      <w:r w:rsidRPr="005503B4">
        <w:t xml:space="preserve">En el artículo 3º de la Ley 1369 de 2009, se define el SPU como los servicios postales que cualquier colombiano debería poder utilizar a precios y niveles de calidad razonables, en los siguientes términos:  </w:t>
      </w:r>
    </w:p>
    <w:p w14:paraId="689DDD1E" w14:textId="77777777" w:rsidR="00F262C2" w:rsidRPr="005503B4" w:rsidRDefault="00F262C2" w:rsidP="00F262C2">
      <w:pPr>
        <w:pStyle w:val="Citatextuallarga"/>
      </w:pPr>
      <w:r w:rsidRPr="005503B4">
        <w:t>“(…) el servicio Postal Universal es el conjunto de servicios postales de calidad, prestados en forma permanente y a precios asequibles, que el Estado garantiza a todos los habitantes del territorio nacional con independencia de su localización geográfica a través del Operador Postal Oficial o Concesionario de Correo (…)”.</w:t>
      </w:r>
    </w:p>
    <w:p w14:paraId="0B38A7BC" w14:textId="77777777" w:rsidR="00F262C2" w:rsidRPr="005503B4" w:rsidRDefault="00F262C2" w:rsidP="00F262C2">
      <w:r w:rsidRPr="005503B4">
        <w:t xml:space="preserve">De igual manera, en </w:t>
      </w:r>
      <w:bookmarkStart w:id="133" w:name="_Hlk101096162"/>
      <w:r w:rsidRPr="005503B4">
        <w:t>la Ley 1978 de 2019, se le asigna a la CRC la responsabilidad de definir los criterios de prestación del servicio y los niveles de calidad y demás características de la prestación del SPU por parte del OPO. A este respecto, la Ley plantea que será función de la CRC:</w:t>
      </w:r>
    </w:p>
    <w:bookmarkEnd w:id="133"/>
    <w:p w14:paraId="178796FD" w14:textId="6A300304" w:rsidR="00F262C2" w:rsidRPr="005503B4" w:rsidRDefault="00F262C2" w:rsidP="00F262C2">
      <w:pPr>
        <w:pStyle w:val="Citatextuallarga"/>
      </w:pPr>
      <w:r w:rsidRPr="005503B4">
        <w:t>“(…) Fijar indicadores y metas de calidad y eficiencia de los servicios postales, incluyendo aquellos comprendidos dentro del Servicio Postal Universal, teniendo en cuenta los recursos disponibles para su financiación y la política pública definida para el sector postal por el Ministerio de Tecnologías de la Información y las Comunicaciones e imponer índices de calidad, cobertura y eficiencia a uno o varios operadores para determinados servicios (…)”.</w:t>
      </w:r>
      <w:sdt>
        <w:sdtPr>
          <w:id w:val="-866365890"/>
          <w:citation/>
        </w:sdtPr>
        <w:sdtEndPr/>
        <w:sdtContent>
          <w:r w:rsidRPr="005503B4">
            <w:fldChar w:fldCharType="begin"/>
          </w:r>
          <w:r w:rsidRPr="005503B4">
            <w:instrText xml:space="preserve">CITATION Ley19 \p "Art. 23" \l 9226 </w:instrText>
          </w:r>
          <w:r w:rsidRPr="005503B4">
            <w:fldChar w:fldCharType="separate"/>
          </w:r>
          <w:r w:rsidR="00C57FCA">
            <w:rPr>
              <w:noProof/>
            </w:rPr>
            <w:t xml:space="preserve"> (Ley 1978, 2019, pág. Art. 23)</w:t>
          </w:r>
          <w:r w:rsidRPr="005503B4">
            <w:fldChar w:fldCharType="end"/>
          </w:r>
        </w:sdtContent>
      </w:sdt>
      <w:r w:rsidRPr="005503B4">
        <w:t>.</w:t>
      </w:r>
    </w:p>
    <w:p w14:paraId="47B82A85" w14:textId="77777777" w:rsidR="00F262C2" w:rsidRPr="005503B4" w:rsidRDefault="00F262C2" w:rsidP="00F262C2">
      <w:r>
        <w:rPr>
          <w:lang w:val="es-CO" w:eastAsia="es-ES"/>
        </w:rPr>
        <w:lastRenderedPageBreak/>
        <w:t>Adicionalmente, luego de la aprobación de</w:t>
      </w:r>
      <w:r w:rsidRPr="005503B4">
        <w:rPr>
          <w:lang w:val="es-CO" w:eastAsia="es-ES"/>
        </w:rPr>
        <w:t xml:space="preserve"> la Ley 1978</w:t>
      </w:r>
      <w:r>
        <w:rPr>
          <w:lang w:val="es-CO" w:eastAsia="es-ES"/>
        </w:rPr>
        <w:t xml:space="preserve"> de 2019</w:t>
      </w:r>
      <w:r w:rsidRPr="005503B4">
        <w:rPr>
          <w:lang w:val="es-CO" w:eastAsia="es-ES"/>
        </w:rPr>
        <w:t xml:space="preserve">, </w:t>
      </w:r>
      <w:r>
        <w:rPr>
          <w:lang w:val="es-CO" w:eastAsia="es-ES"/>
        </w:rPr>
        <w:t xml:space="preserve">es </w:t>
      </w:r>
      <w:r w:rsidRPr="005503B4">
        <w:rPr>
          <w:lang w:val="es-CO" w:eastAsia="es-ES"/>
        </w:rPr>
        <w:t xml:space="preserve">el MinTIC </w:t>
      </w:r>
      <w:r>
        <w:rPr>
          <w:lang w:val="es-CO" w:eastAsia="es-ES"/>
        </w:rPr>
        <w:t>el</w:t>
      </w:r>
      <w:r w:rsidRPr="005503B4">
        <w:rPr>
          <w:lang w:val="es-CO" w:eastAsia="es-ES"/>
        </w:rPr>
        <w:t xml:space="preserve"> responsable de fijar la política en materia de servicios postales y definir los servicios que hacen parte del SPU.</w:t>
      </w:r>
    </w:p>
    <w:p w14:paraId="7F441C82" w14:textId="77777777" w:rsidR="00F262C2" w:rsidRPr="005503B4" w:rsidRDefault="00F262C2" w:rsidP="00F262C2">
      <w:pPr>
        <w:pStyle w:val="Ttulo3"/>
      </w:pPr>
      <w:bookmarkStart w:id="134" w:name="_Toc102393275"/>
      <w:bookmarkStart w:id="135" w:name="_Toc104272134"/>
      <w:r w:rsidRPr="005503B4">
        <w:t>Servicios exclusivos del OPO</w:t>
      </w:r>
      <w:bookmarkEnd w:id="134"/>
      <w:bookmarkEnd w:id="135"/>
    </w:p>
    <w:p w14:paraId="7306B284" w14:textId="77777777" w:rsidR="00F262C2" w:rsidRPr="005503B4" w:rsidRDefault="00F262C2" w:rsidP="00F262C2">
      <w:r w:rsidRPr="005503B4">
        <w:t>De acuerdo con lo establecido en el artículo 2.2.8.2.2.1. del Decreto 1078 de 2015, son servicios exclusivos del OPO los siguientes:</w:t>
      </w:r>
    </w:p>
    <w:p w14:paraId="62FB6591" w14:textId="77777777" w:rsidR="00F262C2" w:rsidRPr="005503B4" w:rsidRDefault="00F262C2" w:rsidP="00795ECB">
      <w:pPr>
        <w:pStyle w:val="Vietascuadradas-Tamao12pto"/>
        <w:spacing w:before="120" w:after="0"/>
      </w:pPr>
      <w:r w:rsidRPr="005503B4">
        <w:t>El Servicio Postal Universal previsto en el numeral 1º del artículo 3o de la Ley 1369 de 2009.</w:t>
      </w:r>
    </w:p>
    <w:p w14:paraId="61745001" w14:textId="77777777" w:rsidR="00F262C2" w:rsidRPr="005503B4" w:rsidRDefault="00F262C2" w:rsidP="00795ECB">
      <w:pPr>
        <w:pStyle w:val="Vietascuadradas-Tamao12pto"/>
        <w:spacing w:before="120" w:after="0"/>
      </w:pPr>
      <w:r w:rsidRPr="005503B4">
        <w:t>El servicio de correo contemplado en el numeral 2.1 del artículo 3º de la Ley 1369 de 2009.</w:t>
      </w:r>
    </w:p>
    <w:p w14:paraId="462E1885" w14:textId="77777777" w:rsidR="00F262C2" w:rsidRPr="005503B4" w:rsidRDefault="00F262C2" w:rsidP="00795ECB">
      <w:pPr>
        <w:pStyle w:val="Vietascuadradas-Tamao12pto"/>
        <w:spacing w:before="120" w:after="0"/>
      </w:pPr>
      <w:r w:rsidRPr="005503B4">
        <w:t>El servicio postal de pago de giros internacionales previsto en el numeral 2.2.2 del artículo 3º de la Ley en mención.</w:t>
      </w:r>
    </w:p>
    <w:p w14:paraId="716F7E34" w14:textId="77777777" w:rsidR="00F262C2" w:rsidRPr="005503B4" w:rsidRDefault="00F262C2" w:rsidP="00795ECB">
      <w:pPr>
        <w:pStyle w:val="Vietascuadradas-Tamao12pto"/>
        <w:spacing w:before="120" w:after="0"/>
      </w:pPr>
      <w:r w:rsidRPr="005503B4">
        <w:t>Los servicios del área de reserva definida en el artículo 15 de la Ley 1369 en cita.</w:t>
      </w:r>
    </w:p>
    <w:p w14:paraId="5D499390" w14:textId="77777777" w:rsidR="00F262C2" w:rsidRPr="005503B4" w:rsidRDefault="00F262C2" w:rsidP="00795ECB">
      <w:pPr>
        <w:pStyle w:val="Vietascuadradas-Tamao12pto"/>
        <w:spacing w:before="120" w:after="0"/>
      </w:pPr>
      <w:r w:rsidRPr="005503B4">
        <w:t>Los servicios incluidos en la franquicia postal definida en el artículo 47 de la Ley 1369 de 2009.</w:t>
      </w:r>
    </w:p>
    <w:p w14:paraId="6AAEF31F" w14:textId="77777777" w:rsidR="00F262C2" w:rsidRPr="004567F4" w:rsidRDefault="00F262C2" w:rsidP="004567F4">
      <w:pPr>
        <w:pStyle w:val="Ttulo3"/>
      </w:pPr>
      <w:bookmarkStart w:id="136" w:name="_Ref101119415"/>
      <w:bookmarkStart w:id="137" w:name="_Toc102393276"/>
      <w:bookmarkStart w:id="138" w:name="_Toc104272135"/>
      <w:r w:rsidRPr="004567F4">
        <w:t>Servicios postales que hacen parte del SPU.</w:t>
      </w:r>
      <w:bookmarkEnd w:id="136"/>
      <w:bookmarkEnd w:id="137"/>
      <w:bookmarkEnd w:id="138"/>
    </w:p>
    <w:p w14:paraId="54B1D71C" w14:textId="77777777" w:rsidR="00F262C2" w:rsidRPr="005503B4" w:rsidRDefault="00F262C2" w:rsidP="00F262C2">
      <w:r w:rsidRPr="005503B4">
        <w:t xml:space="preserve">En el artículo 2.2.8.2.2.2. del Decreto 1078 de 2015, se determinan los servicios que hacen parte del SPU relacionados con </w:t>
      </w:r>
      <w:r w:rsidRPr="005503B4">
        <w:rPr>
          <w:i/>
          <w:iCs/>
        </w:rPr>
        <w:t>“(…) el servicio de correspondencia prioritaria y no prioritaria, la entrega del servicio de correo telegráfico, las encomiendas, el correo certificado y los envíos con valor declarado”</w:t>
      </w:r>
      <w:r w:rsidRPr="005503B4">
        <w:t xml:space="preserve">. </w:t>
      </w:r>
    </w:p>
    <w:p w14:paraId="459627C3" w14:textId="492F196C" w:rsidR="00F262C2" w:rsidRPr="005503B4" w:rsidRDefault="00F262C2" w:rsidP="00F262C2">
      <w:r w:rsidRPr="005503B4">
        <w:t xml:space="preserve">A este respecto, la </w:t>
      </w:r>
      <w:r w:rsidRPr="005503B4">
        <w:fldChar w:fldCharType="begin"/>
      </w:r>
      <w:r w:rsidRPr="005503B4">
        <w:instrText xml:space="preserve"> REF _Ref101086106 \h </w:instrText>
      </w:r>
      <w:r>
        <w:instrText xml:space="preserve"> \* MERGEFORMAT </w:instrText>
      </w:r>
      <w:r w:rsidRPr="005503B4">
        <w:fldChar w:fldCharType="separate"/>
      </w:r>
      <w:r w:rsidR="00C57FCA" w:rsidRPr="005503B4">
        <w:t xml:space="preserve">Tabla </w:t>
      </w:r>
      <w:r w:rsidR="00C57FCA">
        <w:rPr>
          <w:noProof/>
        </w:rPr>
        <w:t>4</w:t>
      </w:r>
      <w:r w:rsidR="00C57FCA" w:rsidRPr="005503B4">
        <w:rPr>
          <w:noProof/>
        </w:rPr>
        <w:noBreakHyphen/>
      </w:r>
      <w:r w:rsidR="00C57FCA">
        <w:rPr>
          <w:noProof/>
        </w:rPr>
        <w:t>1</w:t>
      </w:r>
      <w:r w:rsidRPr="005503B4">
        <w:fldChar w:fldCharType="end"/>
      </w:r>
      <w:r w:rsidRPr="005503B4">
        <w:t xml:space="preserve"> presenta los servicios incluidos en el SPU para el caso colombiano, junto con sus respectivas definiciones,</w:t>
      </w:r>
      <w:r>
        <w:t xml:space="preserve"> de acuerdo con lo</w:t>
      </w:r>
      <w:r w:rsidRPr="005503B4">
        <w:t xml:space="preserve"> contemplad</w:t>
      </w:r>
      <w:r>
        <w:t>o</w:t>
      </w:r>
      <w:r w:rsidRPr="005503B4">
        <w:t xml:space="preserve"> en el Decreto 1078 de 2015, en su artículo 2.2.8.2.1.2.</w:t>
      </w:r>
    </w:p>
    <w:p w14:paraId="2C802E78" w14:textId="4D15A51C" w:rsidR="00F262C2" w:rsidRPr="005503B4" w:rsidRDefault="00F262C2" w:rsidP="00F262C2">
      <w:r w:rsidRPr="005503B4">
        <w:t xml:space="preserve">En este orden de ideas, en los estudios que desarrolló el Ministerio, previos a la expedición del Decreto 223 de 2014, compilado en </w:t>
      </w:r>
      <w:proofErr w:type="spellStart"/>
      <w:r w:rsidRPr="005503B4">
        <w:t>el</w:t>
      </w:r>
      <w:proofErr w:type="spellEnd"/>
      <w:r w:rsidRPr="005503B4">
        <w:t xml:space="preserve"> </w:t>
      </w:r>
      <w:sdt>
        <w:sdtPr>
          <w:id w:val="1378659327"/>
          <w:placeholder>
            <w:docPart w:val="037534CEE78A4392B0EE63179171347D"/>
          </w:placeholder>
          <w:citation/>
        </w:sdtPr>
        <w:sdtEndPr/>
        <w:sdtContent>
          <w:r w:rsidRPr="005503B4">
            <w:fldChar w:fldCharType="begin"/>
          </w:r>
          <w:r w:rsidRPr="005503B4">
            <w:rPr>
              <w:lang w:val="es-CO"/>
            </w:rPr>
            <w:instrText xml:space="preserve">CITATION Dec15 \l 9226 </w:instrText>
          </w:r>
          <w:r w:rsidRPr="005503B4">
            <w:fldChar w:fldCharType="separate"/>
          </w:r>
          <w:r w:rsidR="00C57FCA" w:rsidRPr="00C57FCA">
            <w:rPr>
              <w:noProof/>
              <w:lang w:val="es-CO"/>
            </w:rPr>
            <w:t>(Decreto 1078, 2015)</w:t>
          </w:r>
          <w:r w:rsidRPr="005503B4">
            <w:fldChar w:fldCharType="end"/>
          </w:r>
        </w:sdtContent>
      </w:sdt>
      <w:r w:rsidRPr="005503B4">
        <w:t xml:space="preserve">, </w:t>
      </w:r>
      <w:r>
        <w:t xml:space="preserve">tanto </w:t>
      </w:r>
      <w:r w:rsidRPr="005503B4">
        <w:t>las encomiendas, como</w:t>
      </w:r>
      <w:r>
        <w:t xml:space="preserve"> el</w:t>
      </w:r>
      <w:r w:rsidRPr="005503B4">
        <w:t xml:space="preserve"> envío de paquetes no urgentes, fue</w:t>
      </w:r>
      <w:r>
        <w:t xml:space="preserve">ron </w:t>
      </w:r>
      <w:r w:rsidRPr="005503B4">
        <w:t xml:space="preserve">los productos </w:t>
      </w:r>
      <w:r>
        <w:t>sobre</w:t>
      </w:r>
      <w:r w:rsidRPr="005503B4">
        <w:t xml:space="preserve"> los cuales se centró la estrategia y la importancia relativa del SPU en Colombia por parte del OPO. Plantea el MinTIC en los considerandos del citado decreto que:</w:t>
      </w:r>
    </w:p>
    <w:p w14:paraId="4C838823" w14:textId="77777777" w:rsidR="00F262C2" w:rsidRPr="005503B4" w:rsidRDefault="00F262C2" w:rsidP="00F262C2">
      <w:pPr>
        <w:pStyle w:val="Citatextuallarga"/>
      </w:pPr>
      <w:r w:rsidRPr="005503B4">
        <w:t xml:space="preserve">“(…) se encontró que, dentro de los servicios de correo, los servicios más relevantes en términos de impacto social y desarrollo futuro del sector postal serán los servicios de encomiendas y que con el advenimiento del Internet y de los servicios informáticos electrónicos las cartas y correspondencia de menor peso irán perdiendo relevancia en el tiempo, sin que por ello deban ser en todo caso excluidas del SPU (…)”. </w:t>
      </w:r>
    </w:p>
    <w:p w14:paraId="6D0A78AF" w14:textId="5E63AD31" w:rsidR="00F262C2" w:rsidRPr="005503B4" w:rsidRDefault="00F262C2" w:rsidP="00F262C2">
      <w:pPr>
        <w:pStyle w:val="TtulodeFigura"/>
      </w:pPr>
      <w:bookmarkStart w:id="139" w:name="_Ref101086106"/>
      <w:bookmarkStart w:id="140" w:name="_Toc104227929"/>
      <w:r w:rsidRPr="005503B4">
        <w:lastRenderedPageBreak/>
        <w:t xml:space="preserve">Tabla </w:t>
      </w:r>
      <w:r w:rsidRPr="005503B4">
        <w:fldChar w:fldCharType="begin"/>
      </w:r>
      <w:r w:rsidRPr="005503B4">
        <w:instrText>STYLEREF 1 \s</w:instrText>
      </w:r>
      <w:r w:rsidRPr="005503B4">
        <w:fldChar w:fldCharType="separate"/>
      </w:r>
      <w:r w:rsidR="00C57FCA">
        <w:rPr>
          <w:noProof/>
        </w:rPr>
        <w:t>4</w:t>
      </w:r>
      <w:r w:rsidRPr="005503B4">
        <w:fldChar w:fldCharType="end"/>
      </w:r>
      <w:r w:rsidRPr="005503B4">
        <w:noBreakHyphen/>
      </w:r>
      <w:r w:rsidRPr="005503B4">
        <w:fldChar w:fldCharType="begin"/>
      </w:r>
      <w:r w:rsidRPr="005503B4">
        <w:instrText>SEQ Tabla \* ARABIC \s 1</w:instrText>
      </w:r>
      <w:r w:rsidRPr="005503B4">
        <w:fldChar w:fldCharType="separate"/>
      </w:r>
      <w:r w:rsidR="00C57FCA">
        <w:rPr>
          <w:noProof/>
        </w:rPr>
        <w:t>1</w:t>
      </w:r>
      <w:r w:rsidRPr="005503B4">
        <w:fldChar w:fldCharType="end"/>
      </w:r>
      <w:bookmarkEnd w:id="139"/>
      <w:r w:rsidRPr="005503B4">
        <w:t xml:space="preserve"> - Servicios incluidos en el Servicio Postal Universal en Colombia.</w:t>
      </w:r>
      <w:bookmarkEnd w:id="140"/>
    </w:p>
    <w:p w14:paraId="45C4C6D6" w14:textId="77777777" w:rsidR="00F262C2" w:rsidRPr="005503B4" w:rsidRDefault="00F262C2" w:rsidP="00F262C2">
      <w:pPr>
        <w:pStyle w:val="Grfica"/>
      </w:pPr>
      <w:r w:rsidRPr="005503B4">
        <w:rPr>
          <w:noProof/>
          <w:lang w:eastAsia="es-CO"/>
        </w:rPr>
        <w:drawing>
          <wp:inline distT="0" distB="0" distL="0" distR="0" wp14:anchorId="7050EEC9" wp14:editId="04DA91E1">
            <wp:extent cx="5022215" cy="3351947"/>
            <wp:effectExtent l="0" t="0" r="26035" b="2032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90CE3EC" w14:textId="2F5A36F2" w:rsidR="00F262C2" w:rsidRPr="005503B4" w:rsidRDefault="00F262C2" w:rsidP="00F262C2">
      <w:pPr>
        <w:pStyle w:val="FuentedeGrfica"/>
      </w:pPr>
      <w:r w:rsidRPr="005503B4">
        <w:t xml:space="preserve">FUENTE: Decreto 223 de 2014, art 4. </w:t>
      </w:r>
      <w:sdt>
        <w:sdtPr>
          <w:id w:val="-617376892"/>
          <w:placeholder>
            <w:docPart w:val="037534CEE78A4392B0EE63179171347D"/>
          </w:placeholder>
          <w:citation/>
        </w:sdtPr>
        <w:sdtEndPr/>
        <w:sdtContent>
          <w:r w:rsidRPr="005503B4">
            <w:fldChar w:fldCharType="begin"/>
          </w:r>
          <w:r w:rsidRPr="005503B4">
            <w:instrText xml:space="preserve">CITATION Dec141 \p "Art. 4o." \l 9226 </w:instrText>
          </w:r>
          <w:r w:rsidRPr="005503B4">
            <w:fldChar w:fldCharType="separate"/>
          </w:r>
          <w:r w:rsidR="00C57FCA">
            <w:rPr>
              <w:noProof/>
            </w:rPr>
            <w:t>(Decreto 223, 2014, pág. Art. 4o.)</w:t>
          </w:r>
          <w:r w:rsidRPr="005503B4">
            <w:fldChar w:fldCharType="end"/>
          </w:r>
        </w:sdtContent>
      </w:sdt>
      <w:r w:rsidRPr="005503B4">
        <w:t>.</w:t>
      </w:r>
    </w:p>
    <w:p w14:paraId="6E90A8F4" w14:textId="77777777" w:rsidR="00F262C2" w:rsidRPr="005503B4" w:rsidRDefault="00F262C2" w:rsidP="00F262C2">
      <w:r w:rsidRPr="005503B4">
        <w:t xml:space="preserve">Asimismo, es claro para el Ministerio en los considerandos del Decreto en mención, </w:t>
      </w:r>
      <w:r w:rsidRPr="005503B4">
        <w:rPr>
          <w:i/>
          <w:iCs/>
        </w:rPr>
        <w:t>“(…) que teniendo en cuenta la importancia que irán tomando en el tiempo las encomiendas y, en consecuencia, la necesidad de promover la utilización [de las encomiendas], el Ministerio encuentra que es necesario fijar condiciones adecuadas de precio y calidad que reflejen costos eficientes que presenta la industria postal en Colombia (…)”.</w:t>
      </w:r>
    </w:p>
    <w:p w14:paraId="3EAE78C6" w14:textId="77777777" w:rsidR="00F262C2" w:rsidRPr="005503B4" w:rsidRDefault="00F262C2" w:rsidP="00F262C2">
      <w:pPr>
        <w:rPr>
          <w:i/>
          <w:iCs/>
        </w:rPr>
      </w:pPr>
      <w:r w:rsidRPr="005503B4">
        <w:t xml:space="preserve">De otro lado, es preciso tener presente en este estudio, que el parágrafo 1º del artículo 2.2.8.2.2.2 del Decreto 1078 de 2015 plantea explícitamente que </w:t>
      </w:r>
      <w:r w:rsidRPr="005503B4">
        <w:rPr>
          <w:i/>
          <w:iCs/>
        </w:rPr>
        <w:t xml:space="preserve">“(…) los servicios de correo certificado que se presten sobre </w:t>
      </w:r>
      <w:r w:rsidRPr="005503B4">
        <w:rPr>
          <w:b/>
          <w:bCs/>
          <w:i/>
          <w:iCs/>
        </w:rPr>
        <w:t>objetos postales masivos</w:t>
      </w:r>
      <w:r w:rsidRPr="005503B4">
        <w:rPr>
          <w:i/>
          <w:iCs/>
        </w:rPr>
        <w:t xml:space="preserve"> a personas jurídicas públicas o privadas y a impositores del área de reserva o la franquicia, no serán parte del SPU (…)”. (El resaltado fuera de texto).</w:t>
      </w:r>
    </w:p>
    <w:p w14:paraId="465C1F91" w14:textId="1923AEB3" w:rsidR="00F262C2" w:rsidRDefault="00F262C2" w:rsidP="00F262C2">
      <w:r w:rsidRPr="005503B4">
        <w:t xml:space="preserve">Finalmente, a este respecto, y como se analizará más adelante, el OPO, como prestador del SPU, deberá llevar contabilidad separada por cada uno de los servicios que preste, de manera que se puedan identificar con precisión los costos de dicho servicio y el eventual déficit que se pudiera originar en la prestación del mismo (Véase para este efecto, el parágrafo del artículo 13 de la Ley 1369 del 2009, en el que se plantea  </w:t>
      </w:r>
      <w:r w:rsidRPr="005503B4">
        <w:rPr>
          <w:i/>
          <w:iCs/>
        </w:rPr>
        <w:t xml:space="preserve">“(…) El Operador Postal oficial o Concesionario de Correo, como responsable de prestar el Servicio Postal </w:t>
      </w:r>
      <w:r w:rsidRPr="005503B4">
        <w:rPr>
          <w:i/>
          <w:iCs/>
        </w:rPr>
        <w:lastRenderedPageBreak/>
        <w:t>Universal, deberá llevar contabilidad separada por cada uno de los servicios que preste. El costo y modalidad de las operaciones entre cada servicio deberán registrarse de manera explícita (…)”.</w:t>
      </w:r>
      <w:r w:rsidRPr="005503B4">
        <w:t xml:space="preserve"> </w:t>
      </w:r>
    </w:p>
    <w:p w14:paraId="5733DD22" w14:textId="44980BBA" w:rsidR="00F262C2" w:rsidRPr="004567F4" w:rsidRDefault="00F262C2" w:rsidP="004567F4">
      <w:pPr>
        <w:pStyle w:val="Ttulo3"/>
      </w:pPr>
      <w:bookmarkStart w:id="141" w:name="_Toc102393277"/>
      <w:bookmarkStart w:id="142" w:name="_Toc104272136"/>
      <w:r w:rsidRPr="004567F4">
        <w:t xml:space="preserve">Destinación de los recursos </w:t>
      </w:r>
      <w:r w:rsidR="00407CA4">
        <w:t xml:space="preserve">percibidos </w:t>
      </w:r>
      <w:r w:rsidRPr="004567F4">
        <w:t>de la contraprestaci</w:t>
      </w:r>
      <w:r w:rsidR="00407CA4">
        <w:t>ón</w:t>
      </w:r>
      <w:r w:rsidRPr="004567F4">
        <w:t xml:space="preserve"> postal.</w:t>
      </w:r>
      <w:bookmarkEnd w:id="141"/>
      <w:bookmarkEnd w:id="142"/>
    </w:p>
    <w:p w14:paraId="7BB74AEC" w14:textId="77777777" w:rsidR="00F262C2" w:rsidRPr="005503B4" w:rsidRDefault="00F262C2" w:rsidP="00F262C2">
      <w:pPr>
        <w:rPr>
          <w:lang w:val="es-CO" w:eastAsia="es-ES"/>
        </w:rPr>
      </w:pPr>
      <w:r w:rsidRPr="005503B4">
        <w:rPr>
          <w:lang w:val="es-CO" w:eastAsia="es-ES"/>
        </w:rPr>
        <w:t xml:space="preserve">En cuanto a la destinación de los recursos que le transfiera el Fondo al OPO, el artículo 13 de la Ley 1369 de 2009, señala: </w:t>
      </w:r>
    </w:p>
    <w:p w14:paraId="41C23D50" w14:textId="77777777" w:rsidR="00F262C2" w:rsidRPr="005503B4" w:rsidRDefault="00F262C2" w:rsidP="00F262C2">
      <w:pPr>
        <w:pStyle w:val="Citatextuallarga"/>
        <w:rPr>
          <w:i w:val="0"/>
          <w:iCs/>
        </w:rPr>
      </w:pPr>
      <w:r w:rsidRPr="005503B4">
        <w:t>“(…) el Operador Postal Oficial o Concesionario de Correo no podrá destinar recursos financieros distintos a los señalados en el presente artículo para financiar el Servicio Postal Universal. Tampoco podrán financiar, con estos recursos, la prestación de los Servicios Postales que no tengan las características de Servicio Postal Universal (…)”</w:t>
      </w:r>
      <w:r w:rsidRPr="005503B4">
        <w:rPr>
          <w:i w:val="0"/>
          <w:iCs/>
        </w:rPr>
        <w:t>.</w:t>
      </w:r>
    </w:p>
    <w:p w14:paraId="53B71063" w14:textId="238F6095" w:rsidR="00F262C2" w:rsidRPr="005503B4" w:rsidRDefault="00F262C2" w:rsidP="00F262C2">
      <w:r w:rsidRPr="005503B4">
        <w:t xml:space="preserve">Entre los gastos e inversiones que, según lo establecido en la Ley, deben cubrirse con las transferencias al FUTIC, destinadas al OPO, se encuentran las siguientes </w:t>
      </w:r>
      <w:sdt>
        <w:sdtPr>
          <w:id w:val="-170730144"/>
          <w:placeholder>
            <w:docPart w:val="037534CEE78A4392B0EE63179171347D"/>
          </w:placeholder>
          <w:citation/>
        </w:sdtPr>
        <w:sdtEndPr/>
        <w:sdtContent>
          <w:r w:rsidRPr="005503B4">
            <w:fldChar w:fldCharType="begin"/>
          </w:r>
          <w:r w:rsidRPr="005503B4">
            <w:rPr>
              <w:lang w:val="es-CO"/>
            </w:rPr>
            <w:instrText xml:space="preserve">CITATION Ley22 \p "art. 51" \l 9226 </w:instrText>
          </w:r>
          <w:r w:rsidRPr="005503B4">
            <w:fldChar w:fldCharType="separate"/>
          </w:r>
          <w:r w:rsidR="00C57FCA" w:rsidRPr="00C57FCA">
            <w:rPr>
              <w:noProof/>
              <w:lang w:val="es-CO"/>
            </w:rPr>
            <w:t>(Ley 2159 de 2021, 2021, pág. art. 51)</w:t>
          </w:r>
          <w:r w:rsidRPr="005503B4">
            <w:fldChar w:fldCharType="end"/>
          </w:r>
        </w:sdtContent>
      </w:sdt>
      <w:r w:rsidRPr="005503B4">
        <w:t>:</w:t>
      </w:r>
    </w:p>
    <w:p w14:paraId="30FC7624" w14:textId="77777777" w:rsidR="00F262C2" w:rsidRPr="005503B4" w:rsidRDefault="00F262C2" w:rsidP="00F262C2">
      <w:pPr>
        <w:pStyle w:val="Prrafodelista"/>
        <w:numPr>
          <w:ilvl w:val="0"/>
          <w:numId w:val="24"/>
        </w:numPr>
        <w:spacing w:before="120" w:line="264" w:lineRule="auto"/>
        <w:ind w:left="714" w:hanging="357"/>
      </w:pPr>
      <w:r w:rsidRPr="005503B4">
        <w:t>El déficit en que incurre el OPO en la atención del Servicio Postal Universal.</w:t>
      </w:r>
    </w:p>
    <w:p w14:paraId="604D0430" w14:textId="2245FAE8" w:rsidR="00F262C2" w:rsidRPr="005503B4" w:rsidRDefault="00F262C2" w:rsidP="00F262C2">
      <w:pPr>
        <w:pStyle w:val="Prrafodelista"/>
        <w:numPr>
          <w:ilvl w:val="0"/>
          <w:numId w:val="24"/>
        </w:numPr>
        <w:spacing w:before="120" w:line="264" w:lineRule="auto"/>
        <w:ind w:left="714" w:hanging="357"/>
      </w:pPr>
      <w:r w:rsidRPr="005503B4">
        <w:t>Los gastos en que incurra el Mi</w:t>
      </w:r>
      <w:r>
        <w:t>nTIC</w:t>
      </w:r>
      <w:r w:rsidRPr="005503B4">
        <w:t xml:space="preserve"> para adelantar la vigilancia y control de los operadores postales</w:t>
      </w:r>
      <w:r>
        <w:t xml:space="preserve">, </w:t>
      </w:r>
      <w:r w:rsidRPr="005503B4">
        <w:t>control se realiza</w:t>
      </w:r>
      <w:r>
        <w:t xml:space="preserve"> en la actualidad</w:t>
      </w:r>
      <w:r w:rsidRPr="005503B4">
        <w:t xml:space="preserve"> de manera tercerizada a través del Consorcio Red Postal de Colombia.</w:t>
      </w:r>
    </w:p>
    <w:p w14:paraId="05A69FB9" w14:textId="77777777" w:rsidR="00F262C2" w:rsidRPr="005503B4" w:rsidRDefault="00F262C2" w:rsidP="00F262C2">
      <w:pPr>
        <w:pStyle w:val="Prrafodelista"/>
        <w:numPr>
          <w:ilvl w:val="0"/>
          <w:numId w:val="25"/>
        </w:numPr>
        <w:spacing w:before="120" w:line="264" w:lineRule="auto"/>
        <w:ind w:left="714" w:hanging="357"/>
      </w:pPr>
      <w:r w:rsidRPr="005503B4">
        <w:t>Las contribuciones que realiza Colombia a entidades postales internacionales, como la UPU y la UPAEP.</w:t>
      </w:r>
    </w:p>
    <w:p w14:paraId="644A4077" w14:textId="77777777" w:rsidR="00F262C2" w:rsidRPr="005503B4" w:rsidRDefault="00F262C2" w:rsidP="00F262C2">
      <w:pPr>
        <w:pStyle w:val="Prrafodelista"/>
        <w:numPr>
          <w:ilvl w:val="0"/>
          <w:numId w:val="25"/>
        </w:numPr>
        <w:spacing w:before="120" w:line="264" w:lineRule="auto"/>
        <w:ind w:left="714" w:hanging="357"/>
      </w:pPr>
      <w:r w:rsidRPr="005503B4">
        <w:t xml:space="preserve">Los pagos a personal, contratistas, inversiones postales, entre otros. </w:t>
      </w:r>
    </w:p>
    <w:p w14:paraId="0F980148" w14:textId="3334A9EE" w:rsidR="00F262C2" w:rsidRPr="005503B4" w:rsidRDefault="00F262C2" w:rsidP="00F262C2">
      <w:pPr>
        <w:pStyle w:val="Ttulo2"/>
      </w:pPr>
      <w:bookmarkStart w:id="143" w:name="_Toc104272137"/>
      <w:r w:rsidRPr="005503B4">
        <w:t xml:space="preserve">El tope de recursos a transferir por parte del Fondo </w:t>
      </w:r>
      <w:r w:rsidR="00407CA4">
        <w:t>a SPN</w:t>
      </w:r>
      <w:r w:rsidRPr="005503B4">
        <w:t xml:space="preserve"> por el déficit del SPU.</w:t>
      </w:r>
      <w:bookmarkEnd w:id="143"/>
      <w:r w:rsidRPr="005503B4">
        <w:t xml:space="preserve"> </w:t>
      </w:r>
    </w:p>
    <w:p w14:paraId="5575D7C9" w14:textId="77777777" w:rsidR="00F262C2" w:rsidRPr="005503B4" w:rsidRDefault="00F262C2" w:rsidP="00F262C2">
      <w:r w:rsidRPr="005503B4">
        <w:t>El artículo 7º del del Decreto 223 de 2014, propone la siguiente fórmula para determinar el v</w:t>
      </w:r>
      <w:r>
        <w:t>alor</w:t>
      </w:r>
      <w:r w:rsidRPr="005503B4">
        <w:t xml:space="preserve"> máximo anual de recursos que deberá transferir el Fondo al OPO por el déficit del SPU:</w:t>
      </w:r>
    </w:p>
    <w:p w14:paraId="24E40F71" w14:textId="77777777" w:rsidR="00F262C2" w:rsidRPr="005503B4" w:rsidRDefault="00F262C2" w:rsidP="00F262C2">
      <w:pPr>
        <w:spacing w:before="0" w:after="0"/>
      </w:pPr>
      <m:oMathPara>
        <m:oMath>
          <m:r>
            <w:rPr>
              <w:rFonts w:ascii="Cambria Math" w:hAnsi="Cambria Math"/>
              <w:sz w:val="22"/>
              <w:szCs w:val="24"/>
            </w:rPr>
            <m:t xml:space="preserve">Déficit </m:t>
          </m:r>
          <m:d>
            <m:dPr>
              <m:ctrlPr>
                <w:rPr>
                  <w:rFonts w:ascii="Cambria Math" w:hAnsi="Cambria Math"/>
                  <w:i/>
                  <w:sz w:val="22"/>
                  <w:szCs w:val="24"/>
                </w:rPr>
              </m:ctrlPr>
            </m:dPr>
            <m:e>
              <m:r>
                <w:rPr>
                  <w:rFonts w:ascii="Cambria Math" w:hAnsi="Cambria Math"/>
                  <w:sz w:val="22"/>
                  <w:szCs w:val="24"/>
                </w:rPr>
                <m:t>superávit</m:t>
              </m:r>
            </m:e>
          </m:d>
          <m:r>
            <w:rPr>
              <w:rFonts w:ascii="Cambria Math" w:hAnsi="Cambria Math"/>
              <w:sz w:val="22"/>
              <w:szCs w:val="24"/>
            </w:rPr>
            <m:t xml:space="preserve"> calculado del SPU =Ingresos del SPU -Costos del SPU</m:t>
          </m:r>
        </m:oMath>
      </m:oMathPara>
    </w:p>
    <w:p w14:paraId="5C311839" w14:textId="46AF4996" w:rsidR="00F262C2" w:rsidRPr="005503B4" w:rsidRDefault="00F262C2" w:rsidP="00F262C2">
      <w:pPr>
        <w:pStyle w:val="Descripcin"/>
        <w:spacing w:after="0"/>
      </w:pPr>
      <w:bookmarkStart w:id="144" w:name="_Ref101171619"/>
      <w:r w:rsidRPr="005503B4">
        <w:t xml:space="preserve">Ecuación </w:t>
      </w:r>
      <w:r w:rsidRPr="005503B4">
        <w:fldChar w:fldCharType="begin"/>
      </w:r>
      <w:r w:rsidRPr="005503B4">
        <w:instrText>STYLEREF 1 \s</w:instrText>
      </w:r>
      <w:r w:rsidRPr="005503B4">
        <w:fldChar w:fldCharType="separate"/>
      </w:r>
      <w:r w:rsidR="00C57FCA">
        <w:rPr>
          <w:noProof/>
        </w:rPr>
        <w:t>4</w:t>
      </w:r>
      <w:r w:rsidRPr="005503B4">
        <w:fldChar w:fldCharType="end"/>
      </w:r>
      <w:r w:rsidRPr="005503B4">
        <w:noBreakHyphen/>
      </w:r>
      <w:r w:rsidRPr="005503B4">
        <w:fldChar w:fldCharType="begin"/>
      </w:r>
      <w:r w:rsidRPr="005503B4">
        <w:instrText>SEQ Ecuación \* ARABIC \s 1</w:instrText>
      </w:r>
      <w:r w:rsidRPr="005503B4">
        <w:fldChar w:fldCharType="separate"/>
      </w:r>
      <w:r w:rsidR="00C57FCA">
        <w:rPr>
          <w:noProof/>
        </w:rPr>
        <w:t>1</w:t>
      </w:r>
      <w:r w:rsidRPr="005503B4">
        <w:fldChar w:fldCharType="end"/>
      </w:r>
      <w:bookmarkEnd w:id="144"/>
      <w:r w:rsidRPr="005503B4">
        <w:t xml:space="preserve"> - Cálculo del déficit del SPU </w:t>
      </w:r>
    </w:p>
    <w:p w14:paraId="627B290F" w14:textId="77777777" w:rsidR="00F262C2" w:rsidRPr="0024262C" w:rsidRDefault="00F262C2" w:rsidP="00F262C2">
      <w:pPr>
        <w:spacing w:before="0" w:after="0" w:line="240" w:lineRule="auto"/>
        <w:rPr>
          <w:sz w:val="22"/>
          <w:szCs w:val="24"/>
        </w:rPr>
      </w:pPr>
      <w:r w:rsidRPr="0024262C">
        <w:rPr>
          <w:sz w:val="22"/>
          <w:szCs w:val="24"/>
        </w:rPr>
        <w:t>Dónde:</w:t>
      </w:r>
    </w:p>
    <w:p w14:paraId="29E302EF" w14:textId="77777777" w:rsidR="00F262C2" w:rsidRPr="005503B4" w:rsidRDefault="00F262C2" w:rsidP="00F262C2">
      <w:pPr>
        <w:spacing w:before="0" w:after="120" w:line="240" w:lineRule="auto"/>
        <w:ind w:left="2410" w:hanging="1701"/>
        <w:rPr>
          <w:rStyle w:val="DescripcindeVariableenFrmula"/>
          <w:sz w:val="18"/>
          <w:szCs w:val="18"/>
        </w:rPr>
      </w:pPr>
      <w:r w:rsidRPr="005503B4">
        <w:rPr>
          <w:rStyle w:val="DescripcindeVariableenFrmula"/>
          <w:sz w:val="18"/>
          <w:szCs w:val="18"/>
        </w:rPr>
        <w:t xml:space="preserve">Ingresos del SPU     = </w:t>
      </w:r>
      <w:r w:rsidRPr="005503B4">
        <w:rPr>
          <w:rStyle w:val="DescripcindeVariableenFrmula"/>
          <w:sz w:val="18"/>
          <w:szCs w:val="18"/>
        </w:rPr>
        <w:tab/>
        <w:t xml:space="preserve">Son todos los ingresos por los servicios incluidos en el SPU, incluyendo todos los ingresos que se causen por servicios definidos como parte del SPU que correspondan al área de reserva y a las franquicias. </w:t>
      </w:r>
    </w:p>
    <w:p w14:paraId="04F4668A" w14:textId="77777777" w:rsidR="00F262C2" w:rsidRPr="005503B4" w:rsidRDefault="00F262C2" w:rsidP="00F262C2">
      <w:pPr>
        <w:spacing w:line="240" w:lineRule="auto"/>
        <w:ind w:left="2410" w:hanging="1985"/>
        <w:rPr>
          <w:rStyle w:val="DescripcindeVariableenFrmula"/>
          <w:sz w:val="18"/>
          <w:szCs w:val="18"/>
        </w:rPr>
      </w:pPr>
      <w:r w:rsidRPr="005503B4">
        <w:rPr>
          <w:rStyle w:val="DescripcindeVariableenFrmula"/>
          <w:sz w:val="18"/>
          <w:szCs w:val="18"/>
        </w:rPr>
        <w:t>Costos del SPU            =</w:t>
      </w:r>
      <w:r w:rsidRPr="005503B4">
        <w:rPr>
          <w:rStyle w:val="DescripcindeVariableenFrmula"/>
          <w:sz w:val="18"/>
          <w:szCs w:val="18"/>
        </w:rPr>
        <w:tab/>
        <w:t>Costos totales del OPO * Factor de Estimación</w:t>
      </w:r>
    </w:p>
    <w:p w14:paraId="2F0E7C33" w14:textId="75D4DDBB" w:rsidR="00F262C2" w:rsidRPr="005503B4" w:rsidRDefault="00F262C2" w:rsidP="00F262C2">
      <w:pPr>
        <w:spacing w:line="240" w:lineRule="auto"/>
        <w:ind w:left="2410" w:hanging="1985"/>
        <w:rPr>
          <w:rStyle w:val="DescripcindeVariableenFrmula"/>
          <w:sz w:val="18"/>
          <w:szCs w:val="18"/>
        </w:rPr>
      </w:pPr>
      <w:r w:rsidRPr="005503B4">
        <w:rPr>
          <w:rStyle w:val="DescripcindeVariableenFrmula"/>
          <w:sz w:val="18"/>
          <w:szCs w:val="18"/>
        </w:rPr>
        <w:t>Costos totales del OPO</w:t>
      </w:r>
      <w:r>
        <w:rPr>
          <w:rStyle w:val="DescripcindeVariableenFrmula"/>
          <w:sz w:val="18"/>
          <w:szCs w:val="18"/>
        </w:rPr>
        <w:t xml:space="preserve"> </w:t>
      </w:r>
      <w:r w:rsidRPr="005503B4">
        <w:rPr>
          <w:rStyle w:val="DescripcindeVariableenFrmula"/>
          <w:sz w:val="18"/>
          <w:szCs w:val="18"/>
        </w:rPr>
        <w:t>=</w:t>
      </w:r>
      <w:r w:rsidRPr="005503B4">
        <w:rPr>
          <w:rStyle w:val="DescripcindeVariableenFrmula"/>
          <w:sz w:val="18"/>
          <w:szCs w:val="18"/>
        </w:rPr>
        <w:tab/>
        <w:t xml:space="preserve">Son los costos y gastos del OPO generados por </w:t>
      </w:r>
      <w:r>
        <w:rPr>
          <w:rStyle w:val="DescripcindeVariableenFrmula"/>
          <w:sz w:val="18"/>
          <w:szCs w:val="18"/>
        </w:rPr>
        <w:t>o</w:t>
      </w:r>
      <w:r w:rsidRPr="005503B4">
        <w:rPr>
          <w:rStyle w:val="DescripcindeVariableenFrmula"/>
          <w:sz w:val="18"/>
          <w:szCs w:val="18"/>
        </w:rPr>
        <w:t>peraciones de todos los servicios postales a su cargo.</w:t>
      </w:r>
    </w:p>
    <w:p w14:paraId="59BF6F9E" w14:textId="78AB55E4" w:rsidR="00F262C2" w:rsidRPr="005503B4" w:rsidRDefault="00F262C2" w:rsidP="00F262C2">
      <w:pPr>
        <w:spacing w:line="240" w:lineRule="auto"/>
        <w:ind w:left="2410" w:hanging="1984"/>
        <w:rPr>
          <w:rStyle w:val="DescripcindeVariableenFrmula"/>
          <w:sz w:val="18"/>
          <w:szCs w:val="18"/>
        </w:rPr>
      </w:pPr>
      <w:r w:rsidRPr="005503B4">
        <w:rPr>
          <w:rStyle w:val="DescripcindeVariableenFrmula"/>
          <w:sz w:val="18"/>
          <w:szCs w:val="18"/>
        </w:rPr>
        <w:t xml:space="preserve">Factor de Estimación    = </w:t>
      </w:r>
      <w:r w:rsidRPr="005503B4">
        <w:rPr>
          <w:rStyle w:val="DescripcindeVariableenFrmula"/>
          <w:sz w:val="18"/>
          <w:szCs w:val="18"/>
        </w:rPr>
        <w:tab/>
        <w:t>Factor ingresos + Factor volumen + Factor peso.</w:t>
      </w:r>
    </w:p>
    <w:p w14:paraId="2029D7FE" w14:textId="77777777" w:rsidR="00F262C2" w:rsidRPr="005503B4" w:rsidRDefault="00F262C2" w:rsidP="00F262C2">
      <w:r w:rsidRPr="005503B4">
        <w:lastRenderedPageBreak/>
        <w:t>Dónde:</w:t>
      </w:r>
    </w:p>
    <w:p w14:paraId="004FEBB7" w14:textId="77777777" w:rsidR="00F262C2" w:rsidRPr="005503B4" w:rsidRDefault="00F262C2" w:rsidP="00F262C2">
      <w:pPr>
        <w:spacing w:line="240" w:lineRule="auto"/>
        <w:ind w:left="2835" w:hanging="2410"/>
        <w:rPr>
          <w:rStyle w:val="DescripcindeVariableenFrmula"/>
          <w:sz w:val="18"/>
          <w:szCs w:val="18"/>
        </w:rPr>
      </w:pPr>
      <w:r w:rsidRPr="005503B4">
        <w:rPr>
          <w:rStyle w:val="DescripcindeVariableenFrmula"/>
          <w:sz w:val="18"/>
          <w:szCs w:val="18"/>
        </w:rPr>
        <w:t>Factor ingresos            =</w:t>
      </w:r>
      <w:r w:rsidRPr="005503B4">
        <w:rPr>
          <w:rStyle w:val="DescripcindeVariableenFrmula"/>
          <w:sz w:val="18"/>
          <w:szCs w:val="18"/>
        </w:rPr>
        <w:tab/>
        <w:t>Ingresos del SPU / Total de ingresos del OPO por prestación de servicios postales</w:t>
      </w:r>
    </w:p>
    <w:p w14:paraId="1512870D" w14:textId="77777777" w:rsidR="00F262C2" w:rsidRPr="005503B4" w:rsidRDefault="00F262C2" w:rsidP="00F262C2">
      <w:pPr>
        <w:spacing w:line="240" w:lineRule="auto"/>
        <w:ind w:left="2835" w:hanging="2410"/>
        <w:rPr>
          <w:rStyle w:val="DescripcindeVariableenFrmula"/>
          <w:sz w:val="18"/>
          <w:szCs w:val="18"/>
        </w:rPr>
      </w:pPr>
      <w:r w:rsidRPr="005503B4">
        <w:rPr>
          <w:rStyle w:val="DescripcindeVariableenFrmula"/>
          <w:sz w:val="18"/>
          <w:szCs w:val="18"/>
        </w:rPr>
        <w:t>Factor volumen            =</w:t>
      </w:r>
      <w:r w:rsidRPr="005503B4">
        <w:rPr>
          <w:rStyle w:val="DescripcindeVariableenFrmula"/>
          <w:sz w:val="18"/>
          <w:szCs w:val="18"/>
        </w:rPr>
        <w:tab/>
        <w:t>Número de piezas postales físicas tramitadas en servicios incluidos en el SPU / número total de piezas postales físicas tramitadas por el OPO.</w:t>
      </w:r>
    </w:p>
    <w:p w14:paraId="02D3C0B7" w14:textId="77777777" w:rsidR="00F262C2" w:rsidRPr="005503B4" w:rsidRDefault="00F262C2" w:rsidP="00F262C2">
      <w:pPr>
        <w:spacing w:line="240" w:lineRule="auto"/>
        <w:ind w:left="2835" w:hanging="2410"/>
        <w:rPr>
          <w:rStyle w:val="DescripcindeVariableenFrmula"/>
          <w:sz w:val="18"/>
          <w:szCs w:val="18"/>
        </w:rPr>
      </w:pPr>
      <w:r w:rsidRPr="005503B4">
        <w:rPr>
          <w:rStyle w:val="DescripcindeVariableenFrmula"/>
          <w:sz w:val="18"/>
          <w:szCs w:val="18"/>
        </w:rPr>
        <w:t>Factor peso                  =</w:t>
      </w:r>
      <w:r w:rsidRPr="005503B4">
        <w:rPr>
          <w:rStyle w:val="DescripcindeVariableenFrmula"/>
          <w:sz w:val="18"/>
          <w:szCs w:val="18"/>
        </w:rPr>
        <w:tab/>
        <w:t>Peso total de las piezas postales tramitadas en servicios incluidos en el SPU / Peso total de todas las piezas postales tramitadas por el OPO.</w:t>
      </w:r>
    </w:p>
    <w:p w14:paraId="2E16083A" w14:textId="51B047C9" w:rsidR="004813D8" w:rsidRDefault="00ED648D" w:rsidP="00F262C2">
      <w:r>
        <w:t>No obstante</w:t>
      </w:r>
      <w:r w:rsidR="004813D8">
        <w:t xml:space="preserve">, basado en el parágrafo 2, numeral </w:t>
      </w:r>
      <w:proofErr w:type="spellStart"/>
      <w:r w:rsidR="004813D8">
        <w:t>iv</w:t>
      </w:r>
      <w:proofErr w:type="spellEnd"/>
      <w:r w:rsidR="004813D8">
        <w:t xml:space="preserve"> del artículo 7 del Decreto No. 223 del 2014, </w:t>
      </w:r>
      <w:r w:rsidR="004813D8" w:rsidRPr="004813D8">
        <w:t xml:space="preserve">Servicios Postales Nacionales, </w:t>
      </w:r>
      <w:r w:rsidR="004813D8">
        <w:t xml:space="preserve">puso a consideración del </w:t>
      </w:r>
      <w:r w:rsidR="004813D8" w:rsidRPr="004813D8">
        <w:t>Ministerio la</w:t>
      </w:r>
      <w:r>
        <w:t xml:space="preserve"> propuesta de</w:t>
      </w:r>
      <w:r w:rsidR="004813D8" w:rsidRPr="004813D8">
        <w:t xml:space="preserve"> metodología basada en costos ABC</w:t>
      </w:r>
      <w:r w:rsidR="00D86881">
        <w:t>,</w:t>
      </w:r>
      <w:r w:rsidR="004813D8" w:rsidRPr="004813D8">
        <w:t xml:space="preserve"> con la cual se calcula el déficit </w:t>
      </w:r>
      <w:r>
        <w:t xml:space="preserve">originado en la prestación </w:t>
      </w:r>
      <w:r w:rsidR="004813D8" w:rsidRPr="004813D8">
        <w:t>del SPU</w:t>
      </w:r>
      <w:r w:rsidR="00D86881">
        <w:t>,</w:t>
      </w:r>
      <w:r w:rsidR="004813D8" w:rsidRPr="004813D8">
        <w:t xml:space="preserve"> justifica</w:t>
      </w:r>
      <w:r>
        <w:t>ndo</w:t>
      </w:r>
      <w:r w:rsidR="004813D8" w:rsidRPr="004813D8">
        <w:t xml:space="preserve"> debidamente mediante</w:t>
      </w:r>
      <w:r>
        <w:t xml:space="preserve"> un</w:t>
      </w:r>
      <w:r w:rsidR="004813D8" w:rsidRPr="004813D8">
        <w:t xml:space="preserve"> documento técnico y contable la pertinencia de </w:t>
      </w:r>
      <w:r>
        <w:t xml:space="preserve">los criterios seleccionados, la misma </w:t>
      </w:r>
      <w:r w:rsidRPr="004813D8">
        <w:t xml:space="preserve">fue aprobada por </w:t>
      </w:r>
      <w:r>
        <w:t>el</w:t>
      </w:r>
      <w:r w:rsidRPr="004813D8">
        <w:t xml:space="preserve"> Ministerio </w:t>
      </w:r>
      <w:r>
        <w:t>en el año 2018.</w:t>
      </w:r>
    </w:p>
    <w:p w14:paraId="1094D6CD" w14:textId="316819E6" w:rsidR="00F262C2" w:rsidRPr="005503B4" w:rsidRDefault="00F262C2" w:rsidP="00F262C2">
      <w:r w:rsidRPr="005503B4">
        <w:t xml:space="preserve">Teniendo en cuenta lo anterior, para efectos de </w:t>
      </w:r>
      <w:r>
        <w:t xml:space="preserve">que sirvan como insumo en </w:t>
      </w:r>
      <w:r w:rsidRPr="005503B4">
        <w:t>la definición de la contraprestación para el período comprendido entre 2022 y 2024, el</w:t>
      </w:r>
      <w:r>
        <w:t xml:space="preserve"> presente</w:t>
      </w:r>
      <w:r w:rsidRPr="005503B4">
        <w:t xml:space="preserve"> estudio toma</w:t>
      </w:r>
      <w:r w:rsidR="00ED648D">
        <w:t xml:space="preserve"> en consideración</w:t>
      </w:r>
      <w:r w:rsidRPr="005503B4">
        <w:t xml:space="preserve"> </w:t>
      </w:r>
      <w:r w:rsidR="00ED648D">
        <w:t>esta</w:t>
      </w:r>
      <w:r w:rsidRPr="005503B4">
        <w:t xml:space="preserve"> metodología</w:t>
      </w:r>
      <w:r w:rsidR="00ED648D">
        <w:t>.</w:t>
      </w:r>
    </w:p>
    <w:p w14:paraId="3901237D" w14:textId="634AD62E" w:rsidR="00F262C2" w:rsidRPr="005503B4" w:rsidRDefault="00F262C2" w:rsidP="00F262C2">
      <w:r w:rsidRPr="005503B4">
        <w:t xml:space="preserve">Con base en el resultado de la aplicación de la </w:t>
      </w:r>
      <w:r w:rsidRPr="005503B4">
        <w:fldChar w:fldCharType="begin"/>
      </w:r>
      <w:r w:rsidRPr="005503B4">
        <w:instrText xml:space="preserve"> REF _Ref101171619 \h </w:instrText>
      </w:r>
      <w:r>
        <w:instrText xml:space="preserve"> \* MERGEFORMAT </w:instrText>
      </w:r>
      <w:r w:rsidRPr="005503B4">
        <w:fldChar w:fldCharType="separate"/>
      </w:r>
      <w:r w:rsidR="00C57FCA" w:rsidRPr="005503B4">
        <w:t xml:space="preserve">Ecuación </w:t>
      </w:r>
      <w:r w:rsidR="00C57FCA">
        <w:rPr>
          <w:noProof/>
        </w:rPr>
        <w:t>4</w:t>
      </w:r>
      <w:r w:rsidR="00C57FCA" w:rsidRPr="005503B4">
        <w:rPr>
          <w:noProof/>
        </w:rPr>
        <w:noBreakHyphen/>
      </w:r>
      <w:r w:rsidR="00C57FCA">
        <w:rPr>
          <w:noProof/>
        </w:rPr>
        <w:t>1</w:t>
      </w:r>
      <w:r w:rsidRPr="005503B4">
        <w:fldChar w:fldCharType="end"/>
      </w:r>
      <w:r w:rsidRPr="005503B4">
        <w:t xml:space="preserve">, en el Decreto 223 antes mencionado, se plantea que el OPO deberá adoptar una metodología de costos que permita determinar el déficit o el superávit en la prestación del SPU, en un año determinado. sobre este punto, en el Decreto se establece: </w:t>
      </w:r>
    </w:p>
    <w:p w14:paraId="7BBB4B1A" w14:textId="21997A58" w:rsidR="00F262C2" w:rsidRDefault="00F262C2" w:rsidP="00F262C2">
      <w:pPr>
        <w:pStyle w:val="Citatextuallarga"/>
        <w:ind w:left="142" w:right="140"/>
      </w:pPr>
      <w:r w:rsidRPr="005503B4">
        <w:t xml:space="preserve"> “(…) el OPO deberá confrontar el resultado de la anterior fórmula con su sistema de separación contable en el cual se asignen para el cálculo del déficit exclusivamente los ingresos por prestación de servicios incluidos en el SPU y se le resten los costos imputados por la prestación de dichos servicios; se tomará para efectos de reconocimiento del déficit el mayor valor (…) entre la fórmula prevista en el numeral (i) del presente artículo y el ejercicio realizado por el OPO”.</w:t>
      </w:r>
    </w:p>
    <w:p w14:paraId="5B3D2EE9" w14:textId="1165CB27" w:rsidR="00F262C2" w:rsidRPr="005503B4" w:rsidRDefault="00F262C2" w:rsidP="00F262C2">
      <w:pPr>
        <w:pStyle w:val="Ttulo2"/>
      </w:pPr>
      <w:bookmarkStart w:id="145" w:name="_Toc102393280"/>
      <w:bookmarkStart w:id="146" w:name="_Toc104272138"/>
      <w:r w:rsidRPr="005503B4">
        <w:t xml:space="preserve">Evolución del déficit </w:t>
      </w:r>
      <w:r w:rsidR="00407CA4" w:rsidRPr="00407CA4">
        <w:t xml:space="preserve">en la prestación </w:t>
      </w:r>
      <w:r w:rsidRPr="005503B4">
        <w:t>del SPU en el período 2016 – 2021.</w:t>
      </w:r>
      <w:bookmarkEnd w:id="145"/>
      <w:bookmarkEnd w:id="146"/>
    </w:p>
    <w:p w14:paraId="553D9442" w14:textId="02841D64" w:rsidR="00F262C2" w:rsidRPr="005503B4" w:rsidRDefault="00F262C2" w:rsidP="00F262C2">
      <w:pPr>
        <w:rPr>
          <w:lang w:val="es-CO"/>
        </w:rPr>
      </w:pPr>
      <w:r w:rsidRPr="005503B4">
        <w:rPr>
          <w:lang w:val="es-CO"/>
        </w:rPr>
        <w:t xml:space="preserve">A efectos de contar con una idea de la evolución del déficit del SPU en el tiempo, la </w:t>
      </w:r>
      <w:r w:rsidRPr="005503B4">
        <w:rPr>
          <w:lang w:val="es-CO"/>
        </w:rPr>
        <w:fldChar w:fldCharType="begin"/>
      </w:r>
      <w:r w:rsidRPr="005503B4">
        <w:rPr>
          <w:lang w:val="es-CO"/>
        </w:rPr>
        <w:instrText xml:space="preserve"> REF _Ref101191128 \h </w:instrText>
      </w:r>
      <w:r>
        <w:rPr>
          <w:lang w:val="es-CO"/>
        </w:rPr>
        <w:instrText xml:space="preserve"> \* MERGEFORMAT </w:instrText>
      </w:r>
      <w:r w:rsidRPr="005503B4">
        <w:rPr>
          <w:lang w:val="es-CO"/>
        </w:rPr>
      </w:r>
      <w:r w:rsidRPr="005503B4">
        <w:rPr>
          <w:lang w:val="es-CO"/>
        </w:rPr>
        <w:fldChar w:fldCharType="separate"/>
      </w:r>
      <w:r w:rsidR="00C57FCA" w:rsidRPr="005503B4">
        <w:t xml:space="preserve">Gráfica </w:t>
      </w:r>
      <w:r w:rsidR="00C57FCA">
        <w:rPr>
          <w:noProof/>
        </w:rPr>
        <w:t>4</w:t>
      </w:r>
      <w:r w:rsidR="00C57FCA" w:rsidRPr="005503B4">
        <w:rPr>
          <w:noProof/>
        </w:rPr>
        <w:noBreakHyphen/>
      </w:r>
      <w:r w:rsidR="00C57FCA">
        <w:rPr>
          <w:noProof/>
        </w:rPr>
        <w:t>1</w:t>
      </w:r>
      <w:r w:rsidRPr="005503B4">
        <w:rPr>
          <w:lang w:val="es-CO"/>
        </w:rPr>
        <w:fldChar w:fldCharType="end"/>
      </w:r>
      <w:r w:rsidRPr="005503B4">
        <w:rPr>
          <w:lang w:val="es-CO"/>
        </w:rPr>
        <w:t xml:space="preserve"> presenta, en pesos reales de diciembre de 2021, las transferencias que le ha realizado el Fondo Único TIC a SPN, originadas en la atención del déficit del SPU, a lo largo del período comprendido entre 2016 y 2021.</w:t>
      </w:r>
    </w:p>
    <w:p w14:paraId="366D8C3B" w14:textId="385E184B" w:rsidR="00F262C2" w:rsidRDefault="00F262C2" w:rsidP="003A2BB8">
      <w:pPr>
        <w:pStyle w:val="TITcuadro"/>
        <w:ind w:right="-2"/>
      </w:pPr>
      <w:bookmarkStart w:id="147" w:name="_Ref101191128"/>
      <w:bookmarkStart w:id="148" w:name="_Toc104228718"/>
      <w:r w:rsidRPr="005503B4">
        <w:lastRenderedPageBreak/>
        <w:t xml:space="preserve">Gráfica </w:t>
      </w:r>
      <w:r w:rsidRPr="005503B4">
        <w:fldChar w:fldCharType="begin"/>
      </w:r>
      <w:r w:rsidRPr="005503B4">
        <w:instrText>STYLEREF 1 \s</w:instrText>
      </w:r>
      <w:r w:rsidRPr="005503B4">
        <w:fldChar w:fldCharType="separate"/>
      </w:r>
      <w:r w:rsidR="00C57FCA">
        <w:rPr>
          <w:noProof/>
        </w:rPr>
        <w:t>4</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1</w:t>
      </w:r>
      <w:r w:rsidRPr="005503B4">
        <w:fldChar w:fldCharType="end"/>
      </w:r>
      <w:bookmarkEnd w:id="147"/>
      <w:r w:rsidRPr="005503B4">
        <w:t xml:space="preserve"> – FUTIC: Pagos a SPN por la atención del déficit del SPU. </w:t>
      </w:r>
      <w:r w:rsidR="003A2BB8">
        <w:t>Millones de pesos</w:t>
      </w:r>
      <w:r w:rsidRPr="005503B4">
        <w:t xml:space="preserve"> reales (2021 = 100)</w:t>
      </w:r>
      <w:bookmarkEnd w:id="148"/>
    </w:p>
    <w:p w14:paraId="65CBB944" w14:textId="03A94FAB" w:rsidR="00F97259" w:rsidRPr="005503B4" w:rsidRDefault="00F97259" w:rsidP="00F262C2">
      <w:pPr>
        <w:pStyle w:val="TITcuadro"/>
      </w:pPr>
      <w:r>
        <w:rPr>
          <w:noProof/>
          <w:lang w:eastAsia="es-CO"/>
        </w:rPr>
        <w:drawing>
          <wp:inline distT="0" distB="0" distL="0" distR="0" wp14:anchorId="1161F8AA" wp14:editId="09ED10BF">
            <wp:extent cx="5086350" cy="2743200"/>
            <wp:effectExtent l="0" t="0" r="0" b="0"/>
            <wp:docPr id="59" name="Gráfico 59">
              <a:extLst xmlns:a="http://schemas.openxmlformats.org/drawingml/2006/main">
                <a:ext uri="{FF2B5EF4-FFF2-40B4-BE49-F238E27FC236}">
                  <a16:creationId xmlns:a16="http://schemas.microsoft.com/office/drawing/2014/main" id="{ADCBE463-6B13-4DE8-989E-585CECE9E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6E98DF" w14:textId="6218841B" w:rsidR="00F262C2" w:rsidRDefault="00F262C2" w:rsidP="00F262C2">
      <w:pPr>
        <w:pStyle w:val="FuentedeGrfica"/>
      </w:pPr>
      <w:r w:rsidRPr="005503B4">
        <w:t xml:space="preserve">FUENTE: </w:t>
      </w:r>
      <w:r w:rsidR="00F97259">
        <w:t>FUTIC</w:t>
      </w:r>
      <w:r w:rsidR="001B0A9C">
        <w:t xml:space="preserve"> y</w:t>
      </w:r>
      <w:r w:rsidR="001B0A9C" w:rsidRPr="001B0A9C">
        <w:t xml:space="preserve"> </w:t>
      </w:r>
      <w:r w:rsidR="001B0A9C" w:rsidRPr="005503B4">
        <w:t>Subdirección de Asuntos Postales del MinTIC</w:t>
      </w:r>
      <w:r w:rsidR="00F97259">
        <w:t xml:space="preserve">, pagos realizados por la atención del SPU. </w:t>
      </w:r>
    </w:p>
    <w:p w14:paraId="72EB519D" w14:textId="6D793768" w:rsidR="00F262C2" w:rsidRPr="005503B4" w:rsidRDefault="00F262C2" w:rsidP="00F262C2">
      <w:pPr>
        <w:rPr>
          <w:lang w:val="es-CO" w:eastAsia="es-ES"/>
        </w:rPr>
      </w:pPr>
      <w:r w:rsidRPr="005503B4">
        <w:rPr>
          <w:lang w:val="es-CO" w:eastAsia="es-ES"/>
        </w:rPr>
        <w:t xml:space="preserve">Como se puede apreciar del análisis de la gráfica, el déficit del SPU ha decrecido de una manera significativa en el período </w:t>
      </w:r>
      <w:r>
        <w:rPr>
          <w:lang w:val="es-CO" w:eastAsia="es-ES"/>
        </w:rPr>
        <w:t>de análisis</w:t>
      </w:r>
      <w:r w:rsidRPr="005503B4">
        <w:rPr>
          <w:lang w:val="es-CO" w:eastAsia="es-ES"/>
        </w:rPr>
        <w:t xml:space="preserve">. De un total de $19.145 millones que </w:t>
      </w:r>
      <w:r>
        <w:rPr>
          <w:lang w:val="es-CO" w:eastAsia="es-ES"/>
        </w:rPr>
        <w:t>fueron pagados por</w:t>
      </w:r>
      <w:r w:rsidRPr="005503B4">
        <w:rPr>
          <w:lang w:val="es-CO" w:eastAsia="es-ES"/>
        </w:rPr>
        <w:t xml:space="preserve"> el Fondo a SPN</w:t>
      </w:r>
      <w:r>
        <w:rPr>
          <w:lang w:val="es-CO" w:eastAsia="es-ES"/>
        </w:rPr>
        <w:t xml:space="preserve"> en 2016</w:t>
      </w:r>
      <w:r w:rsidRPr="005503B4">
        <w:rPr>
          <w:lang w:val="es-CO" w:eastAsia="es-ES"/>
        </w:rPr>
        <w:t xml:space="preserve">, se </w:t>
      </w:r>
      <w:r>
        <w:rPr>
          <w:lang w:val="es-CO" w:eastAsia="es-ES"/>
        </w:rPr>
        <w:t>encuentra</w:t>
      </w:r>
      <w:r w:rsidRPr="005503B4">
        <w:rPr>
          <w:lang w:val="es-CO" w:eastAsia="es-ES"/>
        </w:rPr>
        <w:t xml:space="preserve"> que</w:t>
      </w:r>
      <w:r>
        <w:rPr>
          <w:lang w:val="es-CO" w:eastAsia="es-ES"/>
        </w:rPr>
        <w:t xml:space="preserve"> por el mismo concepto para el 2020 fueron pagados $</w:t>
      </w:r>
      <w:r w:rsidR="001B0A9C">
        <w:rPr>
          <w:lang w:val="es-CO" w:eastAsia="es-ES"/>
        </w:rPr>
        <w:t>5.947</w:t>
      </w:r>
      <w:r>
        <w:rPr>
          <w:lang w:val="es-CO" w:eastAsia="es-ES"/>
        </w:rPr>
        <w:t xml:space="preserve"> millones</w:t>
      </w:r>
      <w:r w:rsidR="00261FF9">
        <w:rPr>
          <w:lang w:val="es-CO" w:eastAsia="es-ES"/>
        </w:rPr>
        <w:t xml:space="preserve"> </w:t>
      </w:r>
      <w:r w:rsidR="00261FF9" w:rsidRPr="00261FF9">
        <w:rPr>
          <w:lang w:val="es-CO" w:eastAsia="es-ES"/>
        </w:rPr>
        <w:t>de pesos</w:t>
      </w:r>
      <w:r w:rsidRPr="00261FF9">
        <w:rPr>
          <w:lang w:val="es-CO" w:eastAsia="es-ES"/>
        </w:rPr>
        <w:t xml:space="preserve">, lo que representa un descenso del </w:t>
      </w:r>
      <w:r w:rsidR="001B0A9C" w:rsidRPr="00261FF9">
        <w:rPr>
          <w:lang w:val="es-CO" w:eastAsia="es-ES"/>
        </w:rPr>
        <w:t>25,3</w:t>
      </w:r>
      <w:r w:rsidRPr="00261FF9">
        <w:rPr>
          <w:lang w:val="es-CO" w:eastAsia="es-ES"/>
        </w:rPr>
        <w:t>% promedio anual a lo largo del período en estudio.</w:t>
      </w:r>
    </w:p>
    <w:p w14:paraId="48A6F37D" w14:textId="77777777" w:rsidR="00F262C2" w:rsidRPr="005503B4" w:rsidRDefault="00F262C2" w:rsidP="00F262C2">
      <w:pPr>
        <w:pStyle w:val="Ttulo2"/>
      </w:pPr>
      <w:bookmarkStart w:id="149" w:name="_Toc102393281"/>
      <w:bookmarkStart w:id="150" w:name="_Toc104272139"/>
      <w:r w:rsidRPr="005503B4">
        <w:t>Conclusiones.</w:t>
      </w:r>
      <w:bookmarkEnd w:id="149"/>
      <w:bookmarkEnd w:id="150"/>
    </w:p>
    <w:p w14:paraId="47D7DB33" w14:textId="727F511A" w:rsidR="00F262C2" w:rsidRPr="005503B4" w:rsidRDefault="00F262C2" w:rsidP="00F262C2">
      <w:r w:rsidRPr="005503B4">
        <w:t xml:space="preserve">Este capítulo presentó un detalle de las principales definiciones legales, </w:t>
      </w:r>
      <w:r>
        <w:t xml:space="preserve">los </w:t>
      </w:r>
      <w:r w:rsidRPr="005503B4">
        <w:t xml:space="preserve">criterios en el uso del gasto, </w:t>
      </w:r>
      <w:r>
        <w:t xml:space="preserve">el </w:t>
      </w:r>
      <w:r w:rsidRPr="005503B4">
        <w:t>esquema del cálculo, la manera en que funciona y la forma en que se calcula el déficit</w:t>
      </w:r>
      <w:r>
        <w:t xml:space="preserve"> por la prestación del </w:t>
      </w:r>
      <w:r w:rsidRPr="005503B4">
        <w:t>Servicio Postal Universal -SPU en Colombia. Con base en lo expuesto en este capítulo se concluye que el déficit del SPU ha decrecido de una manera significativa en el período</w:t>
      </w:r>
      <w:r>
        <w:t xml:space="preserve"> de análisis</w:t>
      </w:r>
      <w:r w:rsidRPr="005503B4">
        <w:t xml:space="preserve">, experimentando </w:t>
      </w:r>
      <w:r w:rsidRPr="00261FF9">
        <w:t xml:space="preserve">un descenso del </w:t>
      </w:r>
      <w:r w:rsidR="001B0A9C" w:rsidRPr="00261FF9">
        <w:t>25,3</w:t>
      </w:r>
      <w:r w:rsidRPr="00261FF9">
        <w:t>%</w:t>
      </w:r>
      <w:r w:rsidRPr="005503B4">
        <w:t xml:space="preserve"> promedio anual a lo largo de los últimos </w:t>
      </w:r>
      <w:r w:rsidR="001B0A9C">
        <w:t>cinco</w:t>
      </w:r>
      <w:r w:rsidR="001B0A9C" w:rsidRPr="005503B4">
        <w:t xml:space="preserve"> </w:t>
      </w:r>
      <w:r w:rsidRPr="005503B4">
        <w:t xml:space="preserve">años, hecho que permite contar con una perspectiva </w:t>
      </w:r>
      <w:r>
        <w:t>para</w:t>
      </w:r>
      <w:r w:rsidRPr="005503B4">
        <w:t xml:space="preserve"> la estimación que realiza el presente estudio sobre la evolución de</w:t>
      </w:r>
      <w:r>
        <w:t>l mencionado</w:t>
      </w:r>
      <w:r w:rsidRPr="005503B4">
        <w:t xml:space="preserve"> déficit </w:t>
      </w:r>
      <w:r>
        <w:t xml:space="preserve">para los </w:t>
      </w:r>
      <w:r w:rsidRPr="005503B4">
        <w:t>próximos años. La explicación de este fenómeno será objeto de análisis en secciones posteriores del documento.</w:t>
      </w:r>
    </w:p>
    <w:p w14:paraId="3F0116BC" w14:textId="77777777" w:rsidR="00F262C2" w:rsidRPr="005503B4" w:rsidRDefault="00F262C2" w:rsidP="00F262C2">
      <w:pPr>
        <w:spacing w:before="0" w:after="120" w:line="276" w:lineRule="auto"/>
      </w:pPr>
      <w:r w:rsidRPr="005503B4">
        <w:br w:type="page"/>
      </w:r>
    </w:p>
    <w:p w14:paraId="27D1F0A8" w14:textId="77777777" w:rsidR="00F262C2" w:rsidRPr="005503B4" w:rsidRDefault="00F262C2" w:rsidP="00F262C2">
      <w:pPr>
        <w:pStyle w:val="Ttulo1"/>
        <w:rPr>
          <w:rFonts w:ascii="Arial Narrow" w:hAnsi="Arial Narrow"/>
        </w:rPr>
      </w:pPr>
      <w:bookmarkStart w:id="151" w:name="_Toc102393282"/>
      <w:bookmarkStart w:id="152" w:name="_Toc104272140"/>
      <w:bookmarkStart w:id="153" w:name="_Ref39474673"/>
      <w:bookmarkEnd w:id="151"/>
      <w:bookmarkEnd w:id="152"/>
    </w:p>
    <w:p w14:paraId="3C0A2603" w14:textId="188FB4E4" w:rsidR="00F262C2" w:rsidRPr="005503B4" w:rsidRDefault="00F262C2" w:rsidP="00F262C2">
      <w:pPr>
        <w:pStyle w:val="Titulodescripcin"/>
        <w:rPr>
          <w:rFonts w:ascii="Arial Narrow" w:hAnsi="Arial Narrow"/>
        </w:rPr>
      </w:pPr>
      <w:bookmarkStart w:id="154" w:name="_Toc102393283"/>
      <w:bookmarkStart w:id="155" w:name="_Toc104272141"/>
      <w:bookmarkEnd w:id="153"/>
      <w:r w:rsidRPr="005503B4">
        <w:rPr>
          <w:rFonts w:ascii="Arial Narrow" w:hAnsi="Arial Narrow"/>
        </w:rPr>
        <w:t>El mercado de Mensajería Expresa en Colombia para el período 202</w:t>
      </w:r>
      <w:r w:rsidR="00D634E6">
        <w:rPr>
          <w:rFonts w:ascii="Arial Narrow" w:hAnsi="Arial Narrow"/>
        </w:rPr>
        <w:t>2</w:t>
      </w:r>
      <w:r w:rsidRPr="005503B4">
        <w:rPr>
          <w:rFonts w:ascii="Arial Narrow" w:hAnsi="Arial Narrow"/>
        </w:rPr>
        <w:t xml:space="preserve"> – 202</w:t>
      </w:r>
      <w:r w:rsidR="00D634E6">
        <w:rPr>
          <w:rFonts w:ascii="Arial Narrow" w:hAnsi="Arial Narrow"/>
        </w:rPr>
        <w:t>4</w:t>
      </w:r>
      <w:r w:rsidRPr="005503B4">
        <w:rPr>
          <w:rFonts w:ascii="Arial Narrow" w:hAnsi="Arial Narrow"/>
        </w:rPr>
        <w:t>.</w:t>
      </w:r>
      <w:bookmarkEnd w:id="154"/>
      <w:bookmarkEnd w:id="155"/>
    </w:p>
    <w:p w14:paraId="63DA3390" w14:textId="73A25132" w:rsidR="00F262C2" w:rsidRPr="005503B4" w:rsidRDefault="00F262C2" w:rsidP="00F262C2">
      <w:r w:rsidRPr="005503B4">
        <w:t xml:space="preserve">Esta sección del documento está dirigido a analizar la evolución, estructura, segmentos y productos del mercado de mensajería expresa, a partir del análisis inicial que se llevó a cabo en la sección </w:t>
      </w:r>
      <w:r w:rsidRPr="005503B4">
        <w:fldChar w:fldCharType="begin"/>
      </w:r>
      <w:r w:rsidRPr="005503B4">
        <w:instrText xml:space="preserve"> REF _Ref102393145 \r \h </w:instrText>
      </w:r>
      <w:r>
        <w:instrText xml:space="preserve"> \* MERGEFORMAT </w:instrText>
      </w:r>
      <w:r w:rsidRPr="005503B4">
        <w:fldChar w:fldCharType="separate"/>
      </w:r>
      <w:r w:rsidR="00C57FCA">
        <w:t>2.2</w:t>
      </w:r>
      <w:r w:rsidRPr="005503B4">
        <w:fldChar w:fldCharType="end"/>
      </w:r>
      <w:r w:rsidRPr="005503B4">
        <w:t xml:space="preserve"> del Capítulo </w:t>
      </w:r>
      <w:r w:rsidRPr="005503B4">
        <w:fldChar w:fldCharType="begin"/>
      </w:r>
      <w:r w:rsidRPr="005503B4">
        <w:instrText xml:space="preserve"> REF _Ref100959767 \r \h </w:instrText>
      </w:r>
      <w:r>
        <w:instrText xml:space="preserve"> \* MERGEFORMAT </w:instrText>
      </w:r>
      <w:r w:rsidRPr="005503B4">
        <w:fldChar w:fldCharType="separate"/>
      </w:r>
      <w:r w:rsidR="00C57FCA">
        <w:t>2</w:t>
      </w:r>
      <w:r w:rsidRPr="005503B4">
        <w:fldChar w:fldCharType="end"/>
      </w:r>
      <w:r w:rsidRPr="005503B4">
        <w:t xml:space="preserve">, avanzando en la evolución de los segmentos de ese mercado, claves para la definición de la contraprestación postal objeto del presente estudio. Adicionalmente, en el capítulo se avanzará en los detalles de la manera como se modeló la proyección del mercado de mensajería expresa para los próximos cinco años, de acuerdo con las tendencias históricas que se analizaron en el Capítulo </w:t>
      </w:r>
      <w:r w:rsidRPr="005503B4">
        <w:fldChar w:fldCharType="begin"/>
      </w:r>
      <w:r w:rsidRPr="005503B4">
        <w:instrText xml:space="preserve"> REF _Ref100959767 \r \h </w:instrText>
      </w:r>
      <w:r>
        <w:instrText xml:space="preserve"> \* MERGEFORMAT </w:instrText>
      </w:r>
      <w:r w:rsidRPr="005503B4">
        <w:fldChar w:fldCharType="separate"/>
      </w:r>
      <w:r w:rsidR="00C57FCA">
        <w:t>2</w:t>
      </w:r>
      <w:r w:rsidRPr="005503B4">
        <w:fldChar w:fldCharType="end"/>
      </w:r>
      <w:r w:rsidRPr="005503B4">
        <w:t xml:space="preserve"> .</w:t>
      </w:r>
    </w:p>
    <w:p w14:paraId="44F90855" w14:textId="77777777" w:rsidR="00F262C2" w:rsidRPr="005503B4" w:rsidRDefault="00F262C2" w:rsidP="00F262C2">
      <w:pPr>
        <w:pStyle w:val="Ttulo2"/>
      </w:pPr>
      <w:bookmarkStart w:id="156" w:name="_Toc101727634"/>
      <w:bookmarkStart w:id="157" w:name="_Toc101865388"/>
      <w:bookmarkStart w:id="158" w:name="_Toc102393285"/>
      <w:bookmarkStart w:id="159" w:name="_Toc104272142"/>
      <w:r w:rsidRPr="005503B4">
        <w:t>El mercado de mensajería expresa: Evolución, estructura</w:t>
      </w:r>
      <w:r>
        <w:t xml:space="preserve"> y segmentos</w:t>
      </w:r>
      <w:r w:rsidRPr="005503B4">
        <w:t>.</w:t>
      </w:r>
      <w:bookmarkEnd w:id="156"/>
      <w:bookmarkEnd w:id="157"/>
      <w:bookmarkEnd w:id="158"/>
      <w:bookmarkEnd w:id="159"/>
    </w:p>
    <w:p w14:paraId="3BCDB781" w14:textId="1615E190" w:rsidR="00F262C2" w:rsidRDefault="00F262C2" w:rsidP="00F262C2">
      <w:r w:rsidRPr="005503B4">
        <w:rPr>
          <w:lang w:val="es-CO" w:eastAsia="es-ES"/>
        </w:rPr>
        <w:t xml:space="preserve">Como se planteó en el </w:t>
      </w:r>
      <w:r w:rsidRPr="005503B4">
        <w:t xml:space="preserve">Capítulo </w:t>
      </w:r>
      <w:r w:rsidRPr="005503B4">
        <w:fldChar w:fldCharType="begin"/>
      </w:r>
      <w:r w:rsidRPr="005503B4">
        <w:instrText xml:space="preserve"> REF _Ref100959767 \r \h </w:instrText>
      </w:r>
      <w:r>
        <w:instrText xml:space="preserve"> \* MERGEFORMAT </w:instrText>
      </w:r>
      <w:r w:rsidRPr="005503B4">
        <w:fldChar w:fldCharType="separate"/>
      </w:r>
      <w:r w:rsidR="00C57FCA">
        <w:t>2</w:t>
      </w:r>
      <w:r w:rsidRPr="005503B4">
        <w:fldChar w:fldCharType="end"/>
      </w:r>
      <w:r w:rsidRPr="005503B4">
        <w:t xml:space="preserve">, dentro de los tres servicios que conforman el </w:t>
      </w:r>
      <w:r w:rsidR="00261FF9">
        <w:t>sector</w:t>
      </w:r>
      <w:r w:rsidR="00261FF9" w:rsidRPr="005503B4">
        <w:t xml:space="preserve"> </w:t>
      </w:r>
      <w:r w:rsidRPr="005503B4">
        <w:t>postal, el</w:t>
      </w:r>
      <w:r w:rsidRPr="005503B4">
        <w:rPr>
          <w:lang w:val="es-CO" w:eastAsia="es-ES"/>
        </w:rPr>
        <w:t xml:space="preserve"> de mayor tamaño en la está representado por la </w:t>
      </w:r>
      <w:r w:rsidRPr="00D634E6">
        <w:rPr>
          <w:lang w:val="es-CO" w:eastAsia="es-ES"/>
        </w:rPr>
        <w:t>mensajería expresa. Los operadores del mercado generaron, en su conjunto, un volumen de ingresos del orden de los $1,3 y $1,5 billones constantes</w:t>
      </w:r>
      <w:r w:rsidR="000B551D" w:rsidRPr="00D634E6">
        <w:rPr>
          <w:rStyle w:val="Refdenotaalpie"/>
          <w:lang w:val="es-CO" w:eastAsia="es-ES"/>
        </w:rPr>
        <w:footnoteReference w:id="7"/>
      </w:r>
      <w:r w:rsidRPr="00D634E6">
        <w:rPr>
          <w:lang w:val="es-CO" w:eastAsia="es-ES"/>
        </w:rPr>
        <w:t xml:space="preserve">, </w:t>
      </w:r>
      <w:r w:rsidR="00261FF9" w:rsidRPr="00D634E6">
        <w:rPr>
          <w:lang w:val="es-CO" w:eastAsia="es-ES"/>
        </w:rPr>
        <w:t>para</w:t>
      </w:r>
      <w:r w:rsidRPr="00D634E6">
        <w:rPr>
          <w:lang w:val="es-CO" w:eastAsia="es-ES"/>
        </w:rPr>
        <w:t xml:space="preserve"> los años de 2020 y 2021, representando cerca del 57% y el 63,6%</w:t>
      </w:r>
      <w:r w:rsidRPr="005503B4">
        <w:rPr>
          <w:lang w:val="es-CO" w:eastAsia="es-ES"/>
        </w:rPr>
        <w:t xml:space="preserve"> de los ingresos totales de la industria en esos dos años (véase para este efecto la</w:t>
      </w:r>
      <w:r w:rsidR="00590BCF">
        <w:rPr>
          <w:lang w:val="es-CO" w:eastAsia="es-ES"/>
        </w:rPr>
        <w:t xml:space="preserve"> </w:t>
      </w:r>
      <w:r w:rsidR="00590BCF">
        <w:rPr>
          <w:lang w:val="es-CO" w:eastAsia="es-ES"/>
        </w:rPr>
        <w:fldChar w:fldCharType="begin"/>
      </w:r>
      <w:r w:rsidR="00590BCF">
        <w:rPr>
          <w:lang w:val="es-CO" w:eastAsia="es-ES"/>
        </w:rPr>
        <w:instrText xml:space="preserve"> REF _Ref101603423 \h </w:instrText>
      </w:r>
      <w:r w:rsidR="00590BCF">
        <w:rPr>
          <w:lang w:val="es-CO" w:eastAsia="es-ES"/>
        </w:rPr>
      </w:r>
      <w:r w:rsidR="00590BCF">
        <w:rPr>
          <w:lang w:val="es-CO" w:eastAsia="es-ES"/>
        </w:rPr>
        <w:fldChar w:fldCharType="separate"/>
      </w:r>
      <w:r w:rsidR="00C57FCA" w:rsidRPr="005503B4">
        <w:t xml:space="preserve">Gráfica </w:t>
      </w:r>
      <w:r w:rsidR="00C57FCA">
        <w:rPr>
          <w:noProof/>
        </w:rPr>
        <w:t>5</w:t>
      </w:r>
      <w:r w:rsidR="00C57FCA" w:rsidRPr="005503B4">
        <w:noBreakHyphen/>
      </w:r>
      <w:r w:rsidR="00C57FCA">
        <w:rPr>
          <w:noProof/>
        </w:rPr>
        <w:t>1</w:t>
      </w:r>
      <w:r w:rsidR="00590BCF">
        <w:rPr>
          <w:lang w:val="es-CO" w:eastAsia="es-ES"/>
        </w:rPr>
        <w:fldChar w:fldCharType="end"/>
      </w:r>
      <w:r w:rsidRPr="005503B4">
        <w:rPr>
          <w:lang w:val="es-CO" w:eastAsia="es-ES"/>
        </w:rPr>
        <w:t xml:space="preserve">). Como se comentó en el </w:t>
      </w:r>
      <w:r w:rsidRPr="005503B4">
        <w:t xml:space="preserve">Capítulo </w:t>
      </w:r>
      <w:r w:rsidRPr="005503B4">
        <w:fldChar w:fldCharType="begin"/>
      </w:r>
      <w:r w:rsidRPr="005503B4">
        <w:instrText xml:space="preserve"> REF _Ref100959767 \r \h </w:instrText>
      </w:r>
      <w:r>
        <w:instrText xml:space="preserve"> \* MERGEFORMAT </w:instrText>
      </w:r>
      <w:r w:rsidRPr="005503B4">
        <w:fldChar w:fldCharType="separate"/>
      </w:r>
      <w:r w:rsidR="00C57FCA">
        <w:t>2</w:t>
      </w:r>
      <w:r w:rsidRPr="005503B4">
        <w:fldChar w:fldCharType="end"/>
      </w:r>
      <w:r w:rsidRPr="005503B4">
        <w:t xml:space="preserve">, los dos </w:t>
      </w:r>
      <w:r w:rsidR="00261FF9">
        <w:t>sectores</w:t>
      </w:r>
      <w:r w:rsidR="000B551D">
        <w:t xml:space="preserve"> </w:t>
      </w:r>
      <w:r w:rsidR="000B551D" w:rsidRPr="005503B4">
        <w:t xml:space="preserve">restantes </w:t>
      </w:r>
      <w:r w:rsidRPr="005503B4">
        <w:t xml:space="preserve">son el de giros postales que posee el 31,5% de cuota de mercado, medido sobre ingresos, y el de correo, que posee el 4,9% de participación en </w:t>
      </w:r>
      <w:r>
        <w:t>sector</w:t>
      </w:r>
      <w:r w:rsidRPr="005503B4">
        <w:t xml:space="preserve"> postal colombian</w:t>
      </w:r>
      <w:r>
        <w:t>o.</w:t>
      </w:r>
    </w:p>
    <w:p w14:paraId="69297CFE" w14:textId="2B4BDCC4" w:rsidR="00F459A1" w:rsidRPr="005503B4" w:rsidRDefault="00822518" w:rsidP="00F459A1">
      <w:pPr>
        <w:pStyle w:val="Ttulo3"/>
      </w:pPr>
      <w:bookmarkStart w:id="160" w:name="_Toc104272143"/>
      <w:bookmarkStart w:id="161" w:name="_Toc101727635"/>
      <w:bookmarkStart w:id="162" w:name="_Toc101865389"/>
      <w:bookmarkStart w:id="163" w:name="_Toc102393286"/>
      <w:r w:rsidRPr="00822518">
        <w:t>Envíos masivos: El mercado</w:t>
      </w:r>
      <w:r w:rsidRPr="005503B4">
        <w:rPr>
          <w:rStyle w:val="Refdenotaalpie"/>
        </w:rPr>
        <w:footnoteReference w:id="8"/>
      </w:r>
      <w:r w:rsidRPr="005503B4">
        <w:t xml:space="preserve"> </w:t>
      </w:r>
      <w:r w:rsidRPr="00822518">
        <w:t xml:space="preserve"> de Mensajería Expresa y de Correo</w:t>
      </w:r>
      <w:bookmarkEnd w:id="160"/>
      <w:r w:rsidRPr="00822518">
        <w:t xml:space="preserve"> </w:t>
      </w:r>
      <w:bookmarkEnd w:id="161"/>
      <w:bookmarkEnd w:id="162"/>
      <w:bookmarkEnd w:id="163"/>
    </w:p>
    <w:p w14:paraId="77AD1488" w14:textId="018D3CBC" w:rsidR="00F459A1" w:rsidRDefault="00F459A1" w:rsidP="00F459A1">
      <w:pPr>
        <w:pStyle w:val="Ttulo4"/>
      </w:pPr>
      <w:bookmarkStart w:id="164" w:name="_Toc104272144"/>
      <w:r w:rsidRPr="005503B4">
        <w:t>El mercado de envíos masivos: Tendencias y estructura histórica.</w:t>
      </w:r>
      <w:bookmarkEnd w:id="164"/>
    </w:p>
    <w:p w14:paraId="45F993B3" w14:textId="23EA3794" w:rsidR="00F459A1" w:rsidRPr="005503B4" w:rsidRDefault="00F459A1" w:rsidP="00F459A1">
      <w:r w:rsidRPr="005503B4">
        <w:t xml:space="preserve">Como se comentó anteriormente en la sección </w:t>
      </w:r>
      <w:r w:rsidRPr="005503B4">
        <w:fldChar w:fldCharType="begin"/>
      </w:r>
      <w:r w:rsidRPr="005503B4">
        <w:instrText xml:space="preserve"> REF _Ref100959714 \r \h </w:instrText>
      </w:r>
      <w:r>
        <w:instrText xml:space="preserve"> \* MERGEFORMAT </w:instrText>
      </w:r>
      <w:r w:rsidRPr="005503B4">
        <w:fldChar w:fldCharType="separate"/>
      </w:r>
      <w:r w:rsidR="00C57FCA">
        <w:t>2.2.1</w:t>
      </w:r>
      <w:r w:rsidRPr="005503B4">
        <w:fldChar w:fldCharType="end"/>
      </w:r>
      <w:r w:rsidRPr="005503B4">
        <w:t xml:space="preserve"> del Capítulo </w:t>
      </w:r>
      <w:r w:rsidRPr="005503B4">
        <w:fldChar w:fldCharType="begin"/>
      </w:r>
      <w:r w:rsidRPr="005503B4">
        <w:instrText xml:space="preserve"> REF _Ref100959767 \r \h </w:instrText>
      </w:r>
      <w:r>
        <w:instrText xml:space="preserve"> \* MERGEFORMAT </w:instrText>
      </w:r>
      <w:r w:rsidRPr="005503B4">
        <w:fldChar w:fldCharType="separate"/>
      </w:r>
      <w:r w:rsidR="00C57FCA">
        <w:t>2</w:t>
      </w:r>
      <w:r w:rsidRPr="005503B4">
        <w:fldChar w:fldCharType="end"/>
      </w:r>
      <w:r w:rsidRPr="005503B4">
        <w:t>, el mercado de envíos masivos total, incluyendo el mercado de los servicios de correo y de mensajería expresa, ha disminuido a tasas reales anuales promedio del 9,3%. (Véa</w:t>
      </w:r>
      <w:r>
        <w:t>n</w:t>
      </w:r>
      <w:r w:rsidRPr="005503B4">
        <w:t xml:space="preserve">se para tal efecto la </w:t>
      </w:r>
      <w:r w:rsidRPr="005503B4">
        <w:fldChar w:fldCharType="begin"/>
      </w:r>
      <w:r w:rsidRPr="005503B4">
        <w:instrText xml:space="preserve"> REF _Ref101606185 \h </w:instrText>
      </w:r>
      <w:r>
        <w:instrText xml:space="preserve"> \* MERGEFORMAT </w:instrText>
      </w:r>
      <w:r w:rsidRPr="005503B4">
        <w:fldChar w:fldCharType="separate"/>
      </w:r>
      <w:r w:rsidR="00C57FCA" w:rsidRPr="005503B4">
        <w:t xml:space="preserve">Gráfica </w:t>
      </w:r>
      <w:r w:rsidR="00C57FCA">
        <w:rPr>
          <w:noProof/>
        </w:rPr>
        <w:t>5</w:t>
      </w:r>
      <w:r w:rsidR="00C57FCA" w:rsidRPr="005503B4">
        <w:rPr>
          <w:noProof/>
        </w:rPr>
        <w:noBreakHyphen/>
      </w:r>
      <w:r w:rsidR="00C57FCA">
        <w:rPr>
          <w:noProof/>
        </w:rPr>
        <w:t>2</w:t>
      </w:r>
      <w:r w:rsidRPr="005503B4">
        <w:fldChar w:fldCharType="end"/>
      </w:r>
      <w:r w:rsidRPr="005503B4">
        <w:t xml:space="preserve"> y la </w:t>
      </w:r>
      <w:r w:rsidRPr="005503B4">
        <w:fldChar w:fldCharType="begin"/>
      </w:r>
      <w:r w:rsidRPr="005503B4">
        <w:instrText xml:space="preserve"> REF _Ref101603443 \h </w:instrText>
      </w:r>
      <w:r>
        <w:instrText xml:space="preserve"> \* MERGEFORMAT </w:instrText>
      </w:r>
      <w:r w:rsidRPr="005503B4">
        <w:fldChar w:fldCharType="separate"/>
      </w:r>
      <w:r w:rsidR="00C57FCA" w:rsidRPr="005503B4">
        <w:t xml:space="preserve">Gráfica </w:t>
      </w:r>
      <w:r w:rsidR="00C57FCA">
        <w:rPr>
          <w:noProof/>
        </w:rPr>
        <w:t>5</w:t>
      </w:r>
      <w:r w:rsidR="00C57FCA" w:rsidRPr="005503B4">
        <w:rPr>
          <w:noProof/>
        </w:rPr>
        <w:noBreakHyphen/>
      </w:r>
      <w:r w:rsidR="00C57FCA">
        <w:rPr>
          <w:noProof/>
        </w:rPr>
        <w:t>4</w:t>
      </w:r>
      <w:r w:rsidRPr="005503B4">
        <w:fldChar w:fldCharType="end"/>
      </w:r>
      <w:r w:rsidRPr="005503B4">
        <w:t xml:space="preserve"> que se presentan a </w:t>
      </w:r>
      <w:r w:rsidRPr="005503B4">
        <w:lastRenderedPageBreak/>
        <w:t xml:space="preserve">continuación). </w:t>
      </w:r>
      <w:r>
        <w:t xml:space="preserve"> De otro lado, </w:t>
      </w:r>
      <w:r w:rsidRPr="005503B4">
        <w:t>el mercado postal de envíos masivos, tanto de mensajería expresa, como de correo, ha venido perdiendo importancia en el portafolio de servicios de los operadores postales, especialmente en el de los primeros.</w:t>
      </w:r>
    </w:p>
    <w:p w14:paraId="5E05B145" w14:textId="0E77296F" w:rsidR="00F262C2" w:rsidRPr="005503B4" w:rsidRDefault="00F262C2" w:rsidP="003A2BB8">
      <w:pPr>
        <w:pStyle w:val="TITcuadro"/>
        <w:ind w:right="707"/>
      </w:pPr>
      <w:bookmarkStart w:id="165" w:name="_Ref101603423"/>
      <w:bookmarkStart w:id="166" w:name="_Toc101865446"/>
      <w:bookmarkStart w:id="167" w:name="_Toc104228719"/>
      <w:r w:rsidRPr="005503B4">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1</w:t>
      </w:r>
      <w:r w:rsidRPr="005503B4">
        <w:fldChar w:fldCharType="end"/>
      </w:r>
      <w:bookmarkEnd w:id="165"/>
      <w:r w:rsidRPr="005503B4">
        <w:t xml:space="preserve"> - Ingresos reales del mercado postal</w:t>
      </w:r>
      <w:r w:rsidRPr="005503B4">
        <w:rPr>
          <w:vertAlign w:val="superscript"/>
        </w:rPr>
        <w:t>1</w:t>
      </w:r>
      <w:r w:rsidRPr="005503B4">
        <w:t xml:space="preserve"> Millones de </w:t>
      </w:r>
      <w:r w:rsidR="003A2BB8">
        <w:t>pesos</w:t>
      </w:r>
      <w:r w:rsidRPr="005503B4">
        <w:t xml:space="preserve"> reales (</w:t>
      </w:r>
      <w:r w:rsidRPr="005503B4">
        <w:rPr>
          <w:sz w:val="18"/>
        </w:rPr>
        <w:t>diciembre de 2021=100)</w:t>
      </w:r>
      <w:bookmarkEnd w:id="166"/>
      <w:bookmarkEnd w:id="167"/>
    </w:p>
    <w:p w14:paraId="1B6E8301" w14:textId="77777777" w:rsidR="00F262C2" w:rsidRPr="005503B4" w:rsidRDefault="00F262C2" w:rsidP="00F262C2">
      <w:pPr>
        <w:pStyle w:val="Grfica"/>
      </w:pPr>
      <w:r w:rsidRPr="005503B4">
        <w:rPr>
          <w:noProof/>
          <w:lang w:eastAsia="es-CO"/>
        </w:rPr>
        <w:drawing>
          <wp:inline distT="0" distB="0" distL="0" distR="0" wp14:anchorId="4D86B39C" wp14:editId="66A82389">
            <wp:extent cx="5849620" cy="2865120"/>
            <wp:effectExtent l="0" t="0" r="17780" b="11430"/>
            <wp:docPr id="53" name="Gráfico 5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55D099" w14:textId="10B37551" w:rsidR="00F262C2" w:rsidRDefault="00F262C2" w:rsidP="00F262C2">
      <w:pPr>
        <w:pStyle w:val="FuentedeGrfica"/>
        <w:ind w:left="993" w:right="281" w:hanging="993"/>
      </w:pPr>
      <w:r w:rsidRPr="005503B4">
        <w:t xml:space="preserve">FUENTE:  </w:t>
      </w:r>
      <w:r w:rsidRPr="005503B4">
        <w:tab/>
        <w:t>MinTIC para los datos de mensajería expresa y giros postales. Estados financieros de SPN para la información de correo. Banco de la República (IPC) para el deflactor de los ingresos postales.</w:t>
      </w:r>
    </w:p>
    <w:p w14:paraId="42B3D598" w14:textId="5152F8B2" w:rsidR="00F459A1" w:rsidRDefault="00F459A1" w:rsidP="00F459A1">
      <w:r w:rsidRPr="005503B4">
        <w:t>A este respecto</w:t>
      </w:r>
      <w:r>
        <w:t>,</w:t>
      </w:r>
      <w:r w:rsidRPr="005503B4">
        <w:t xml:space="preserve"> y siguiendo la línea </w:t>
      </w:r>
      <w:r>
        <w:t>argumentativa</w:t>
      </w:r>
      <w:r w:rsidRPr="005503B4">
        <w:t xml:space="preserve"> del Capítulo </w:t>
      </w:r>
      <w:r w:rsidRPr="005503B4">
        <w:fldChar w:fldCharType="begin"/>
      </w:r>
      <w:r w:rsidRPr="005503B4">
        <w:instrText xml:space="preserve"> REF _Ref100959767 \r \h </w:instrText>
      </w:r>
      <w:r>
        <w:instrText xml:space="preserve"> \* MERGEFORMAT </w:instrText>
      </w:r>
      <w:r w:rsidRPr="005503B4">
        <w:fldChar w:fldCharType="separate"/>
      </w:r>
      <w:r w:rsidR="00C57FCA">
        <w:t>2</w:t>
      </w:r>
      <w:r w:rsidRPr="005503B4">
        <w:fldChar w:fldCharType="end"/>
      </w:r>
      <w:r w:rsidRPr="005503B4">
        <w:t xml:space="preserve">, se encuentra que, mientras que los envíos masivos de correo crecieron durante el período, </w:t>
      </w:r>
      <w:r>
        <w:t xml:space="preserve">el de </w:t>
      </w:r>
      <w:r w:rsidRPr="005503B4">
        <w:t xml:space="preserve">los operadores de mensajería expresa han experimentado una caída a lo largo del período comprendido entre 2014 y 2021. Como se aprecia en la </w:t>
      </w:r>
      <w:r w:rsidRPr="005503B4">
        <w:fldChar w:fldCharType="begin"/>
      </w:r>
      <w:r w:rsidRPr="005503B4">
        <w:instrText xml:space="preserve"> REF _Ref101604561 \h </w:instrText>
      </w:r>
      <w:r>
        <w:instrText xml:space="preserve"> \* MERGEFORMAT </w:instrText>
      </w:r>
      <w:r w:rsidRPr="005503B4">
        <w:fldChar w:fldCharType="separate"/>
      </w:r>
      <w:r w:rsidR="00C57FCA" w:rsidRPr="005503B4">
        <w:t xml:space="preserve">Gráfica </w:t>
      </w:r>
      <w:r w:rsidR="00C57FCA">
        <w:rPr>
          <w:noProof/>
        </w:rPr>
        <w:t>5</w:t>
      </w:r>
      <w:r w:rsidR="00C57FCA" w:rsidRPr="005503B4">
        <w:rPr>
          <w:noProof/>
        </w:rPr>
        <w:noBreakHyphen/>
      </w:r>
      <w:r w:rsidR="00C57FCA">
        <w:rPr>
          <w:noProof/>
        </w:rPr>
        <w:t>3</w:t>
      </w:r>
      <w:r w:rsidRPr="005503B4">
        <w:fldChar w:fldCharType="end"/>
      </w:r>
      <w:r w:rsidRPr="005503B4">
        <w:t xml:space="preserve">, mientras </w:t>
      </w:r>
      <w:r>
        <w:t>que</w:t>
      </w:r>
      <w:r w:rsidRPr="005503B4">
        <w:t xml:space="preserve"> en el año 2014</w:t>
      </w:r>
      <w:r>
        <w:t xml:space="preserve"> los </w:t>
      </w:r>
      <w:r w:rsidRPr="005503B4">
        <w:t>operadores</w:t>
      </w:r>
      <w:r>
        <w:t xml:space="preserve"> de mensajería</w:t>
      </w:r>
      <w:r w:rsidRPr="005503B4">
        <w:t xml:space="preserve"> movilizaba</w:t>
      </w:r>
      <w:r>
        <w:t>n</w:t>
      </w:r>
      <w:r w:rsidRPr="005503B4">
        <w:t xml:space="preserve"> 428,1 millones de envíos, en el 2021 movilizaron cerca </w:t>
      </w:r>
      <w:r>
        <w:t xml:space="preserve">de </w:t>
      </w:r>
      <w:r w:rsidRPr="005503B4">
        <w:t xml:space="preserve">154,6 millones de envíos, lo que representa una caída anual promedio de 13,6% en el período, habiéndose disminuido en casi la mitad, esto es, cerca del 64%, el volumen de envíos cursados para estos operadores. </w:t>
      </w:r>
    </w:p>
    <w:p w14:paraId="74896F28" w14:textId="77777777" w:rsidR="00F459A1" w:rsidRDefault="00F459A1" w:rsidP="00F459A1">
      <w:r w:rsidRPr="005503B4">
        <w:t xml:space="preserve">Indudablemente, ha jugado un papel fundamental en dicho comportamiento, la digitalización de facturas y documentos y la consolidación </w:t>
      </w:r>
      <w:r>
        <w:t>en</w:t>
      </w:r>
      <w:r w:rsidRPr="005503B4">
        <w:t xml:space="preserve"> la penetración y mayor ancho de banda de Internet, así como la política de las diferentes </w:t>
      </w:r>
      <w:r>
        <w:t>entidades</w:t>
      </w:r>
      <w:r w:rsidRPr="005503B4">
        <w:t xml:space="preserve"> del Estado que han promovido </w:t>
      </w:r>
      <w:r>
        <w:t>el uso</w:t>
      </w:r>
      <w:r w:rsidRPr="005503B4">
        <w:t xml:space="preserve"> de los servicios digitales y de tecnologías de la información y las comunicaciones en el país</w:t>
      </w:r>
      <w:r>
        <w:t>.</w:t>
      </w:r>
      <w:r w:rsidRPr="005503B4">
        <w:t xml:space="preserve"> </w:t>
      </w:r>
    </w:p>
    <w:p w14:paraId="1E412E9C" w14:textId="795A002D" w:rsidR="00F262C2" w:rsidRPr="005503B4" w:rsidRDefault="00F262C2" w:rsidP="00F262C2">
      <w:pPr>
        <w:pStyle w:val="TITcuadro"/>
      </w:pPr>
      <w:bookmarkStart w:id="168" w:name="_Ref101606185"/>
      <w:bookmarkStart w:id="169" w:name="_Toc101865447"/>
      <w:bookmarkStart w:id="170" w:name="_Toc104228720"/>
      <w:r w:rsidRPr="005503B4">
        <w:lastRenderedPageBreak/>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2</w:t>
      </w:r>
      <w:r w:rsidRPr="005503B4">
        <w:fldChar w:fldCharType="end"/>
      </w:r>
      <w:bookmarkEnd w:id="168"/>
      <w:r w:rsidRPr="005503B4">
        <w:t xml:space="preserve"> – Estructura del mercado </w:t>
      </w:r>
      <w:r w:rsidRPr="005503B4">
        <w:rPr>
          <w:lang w:val="es-ES_tradnl"/>
        </w:rPr>
        <w:t>postal colombiano</w:t>
      </w:r>
      <w:r w:rsidRPr="005503B4">
        <w:t>. Millones de pesos constantes de 2021 (diciembre = 100) – 2014 - 2021</w:t>
      </w:r>
      <w:bookmarkEnd w:id="169"/>
      <w:bookmarkEnd w:id="170"/>
    </w:p>
    <w:p w14:paraId="45A5DF94" w14:textId="77777777" w:rsidR="00F262C2" w:rsidRPr="005503B4" w:rsidRDefault="00F262C2" w:rsidP="00F262C2">
      <w:pPr>
        <w:ind w:left="1560"/>
      </w:pPr>
      <w:r w:rsidRPr="005503B4">
        <w:rPr>
          <w:noProof/>
          <w:lang w:val="es-CO" w:eastAsia="es-CO"/>
        </w:rPr>
        <mc:AlternateContent>
          <mc:Choice Requires="wps">
            <w:drawing>
              <wp:anchor distT="0" distB="0" distL="114300" distR="114300" simplePos="0" relativeHeight="251717120" behindDoc="0" locked="0" layoutInCell="1" allowOverlap="1" wp14:anchorId="38D72D58" wp14:editId="31F36236">
                <wp:simplePos x="0" y="0"/>
                <wp:positionH relativeFrom="column">
                  <wp:posOffset>3790315</wp:posOffset>
                </wp:positionH>
                <wp:positionV relativeFrom="paragraph">
                  <wp:posOffset>332910</wp:posOffset>
                </wp:positionV>
                <wp:extent cx="471170" cy="233045"/>
                <wp:effectExtent l="0" t="0" r="0" b="0"/>
                <wp:wrapNone/>
                <wp:docPr id="46" name="CuadroTexto 13"/>
                <wp:cNvGraphicFramePr/>
                <a:graphic xmlns:a="http://schemas.openxmlformats.org/drawingml/2006/main">
                  <a:graphicData uri="http://schemas.microsoft.com/office/word/2010/wordprocessingShape">
                    <wps:wsp>
                      <wps:cNvSpPr txBox="1"/>
                      <wps:spPr>
                        <a:xfrm>
                          <a:off x="0" y="0"/>
                          <a:ext cx="471170"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4BF069B" w14:textId="77777777" w:rsidR="003C7C2B" w:rsidRDefault="003C7C2B" w:rsidP="00F262C2">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13,1%</w:t>
                            </w:r>
                          </w:p>
                        </w:txbxContent>
                      </wps:txbx>
                      <wps:bodyPr wrap="none" rtlCol="0" anchor="t">
                        <a:spAutoFit/>
                      </wps:bodyPr>
                    </wps:wsp>
                  </a:graphicData>
                </a:graphic>
              </wp:anchor>
            </w:drawing>
          </mc:Choice>
          <mc:Fallback>
            <w:pict>
              <v:shape w14:anchorId="38D72D58" id="_x0000_s1051" type="#_x0000_t202" style="position:absolute;left:0;text-align:left;margin-left:298.45pt;margin-top:26.2pt;width:37.1pt;height:18.35pt;z-index:251717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" filled="f" stroked="f">
                <v:textbox style="mso-fit-shape-to-text:t">
                  <w:txbxContent>
                    <w:p w14:paraId="04BF069B" w14:textId="77777777" w:rsidR="003C7C2B" w:rsidRDefault="003C7C2B" w:rsidP="00F262C2">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13,1%</w:t>
                      </w:r>
                    </w:p>
                  </w:txbxContent>
                </v:textbox>
              </v:shape>
            </w:pict>
          </mc:Fallback>
        </mc:AlternateContent>
      </w:r>
      <w:r w:rsidRPr="005503B4">
        <w:rPr>
          <w:noProof/>
          <w:lang w:val="es-CO" w:eastAsia="es-CO"/>
        </w:rPr>
        <mc:AlternateContent>
          <mc:Choice Requires="wps">
            <w:drawing>
              <wp:anchor distT="0" distB="0" distL="114300" distR="114300" simplePos="0" relativeHeight="251715072" behindDoc="0" locked="0" layoutInCell="1" allowOverlap="1" wp14:anchorId="610B71E7" wp14:editId="0F1DA547">
                <wp:simplePos x="0" y="0"/>
                <wp:positionH relativeFrom="column">
                  <wp:posOffset>2018665</wp:posOffset>
                </wp:positionH>
                <wp:positionV relativeFrom="paragraph">
                  <wp:posOffset>696998</wp:posOffset>
                </wp:positionV>
                <wp:extent cx="471170" cy="233045"/>
                <wp:effectExtent l="0" t="0" r="0" b="0"/>
                <wp:wrapNone/>
                <wp:docPr id="49" name="CuadroTexto 11"/>
                <wp:cNvGraphicFramePr/>
                <a:graphic xmlns:a="http://schemas.openxmlformats.org/drawingml/2006/main">
                  <a:graphicData uri="http://schemas.microsoft.com/office/word/2010/wordprocessingShape">
                    <wps:wsp>
                      <wps:cNvSpPr txBox="1"/>
                      <wps:spPr>
                        <a:xfrm>
                          <a:off x="0" y="0"/>
                          <a:ext cx="471170"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6D15A4" w14:textId="77777777" w:rsidR="003C7C2B" w:rsidRDefault="003C7C2B" w:rsidP="00F262C2">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31,0%</w:t>
                            </w:r>
                          </w:p>
                        </w:txbxContent>
                      </wps:txbx>
                      <wps:bodyPr wrap="none" rtlCol="0" anchor="t">
                        <a:spAutoFit/>
                      </wps:bodyPr>
                    </wps:wsp>
                  </a:graphicData>
                </a:graphic>
              </wp:anchor>
            </w:drawing>
          </mc:Choice>
          <mc:Fallback>
            <w:pict>
              <v:shape w14:anchorId="610B71E7" id="_x0000_s1052" type="#_x0000_t202" style="position:absolute;left:0;text-align:left;margin-left:158.95pt;margin-top:54.9pt;width:37.1pt;height:18.35pt;z-index:25171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" filled="f" stroked="f">
                <v:textbox style="mso-fit-shape-to-text:t">
                  <w:txbxContent>
                    <w:p w14:paraId="2F6D15A4" w14:textId="77777777" w:rsidR="003C7C2B" w:rsidRDefault="003C7C2B" w:rsidP="00F262C2">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31,0%</w:t>
                      </w:r>
                    </w:p>
                  </w:txbxContent>
                </v:textbox>
              </v:shape>
            </w:pict>
          </mc:Fallback>
        </mc:AlternateContent>
      </w:r>
      <w:r w:rsidRPr="005503B4">
        <w:rPr>
          <w:noProof/>
          <w:lang w:val="es-CO" w:eastAsia="es-CO"/>
        </w:rPr>
        <mc:AlternateContent>
          <mc:Choice Requires="wps">
            <w:drawing>
              <wp:anchor distT="0" distB="0" distL="114300" distR="114300" simplePos="0" relativeHeight="251718144" behindDoc="0" locked="0" layoutInCell="1" allowOverlap="1" wp14:anchorId="7F5A6004" wp14:editId="492287BE">
                <wp:simplePos x="0" y="0"/>
                <wp:positionH relativeFrom="column">
                  <wp:posOffset>3810000</wp:posOffset>
                </wp:positionH>
                <wp:positionV relativeFrom="paragraph">
                  <wp:posOffset>1991360</wp:posOffset>
                </wp:positionV>
                <wp:extent cx="471170" cy="233045"/>
                <wp:effectExtent l="0" t="0" r="0" b="0"/>
                <wp:wrapNone/>
                <wp:docPr id="47" name="CuadroTexto 12"/>
                <wp:cNvGraphicFramePr/>
                <a:graphic xmlns:a="http://schemas.openxmlformats.org/drawingml/2006/main">
                  <a:graphicData uri="http://schemas.microsoft.com/office/word/2010/wordprocessingShape">
                    <wps:wsp>
                      <wps:cNvSpPr txBox="1"/>
                      <wps:spPr>
                        <a:xfrm>
                          <a:off x="0" y="0"/>
                          <a:ext cx="471170"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6E40A4D" w14:textId="77777777" w:rsidR="003C7C2B" w:rsidRDefault="003C7C2B" w:rsidP="00F262C2">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86,1%</w:t>
                            </w:r>
                          </w:p>
                        </w:txbxContent>
                      </wps:txbx>
                      <wps:bodyPr wrap="none" rtlCol="0" anchor="t">
                        <a:spAutoFit/>
                      </wps:bodyPr>
                    </wps:wsp>
                  </a:graphicData>
                </a:graphic>
              </wp:anchor>
            </w:drawing>
          </mc:Choice>
          <mc:Fallback>
            <w:pict>
              <v:shape w14:anchorId="7F5A6004" id="_x0000_s1053" type="#_x0000_t202" style="position:absolute;left:0;text-align:left;margin-left:300pt;margin-top:156.8pt;width:37.1pt;height:18.35pt;z-index:25171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" filled="f" stroked="f">
                <v:textbox style="mso-fit-shape-to-text:t">
                  <w:txbxContent>
                    <w:p w14:paraId="06E40A4D" w14:textId="77777777" w:rsidR="003C7C2B" w:rsidRDefault="003C7C2B" w:rsidP="00F262C2">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86,1%</w:t>
                      </w:r>
                    </w:p>
                  </w:txbxContent>
                </v:textbox>
              </v:shape>
            </w:pict>
          </mc:Fallback>
        </mc:AlternateContent>
      </w:r>
      <w:r w:rsidRPr="005503B4">
        <w:rPr>
          <w:noProof/>
          <w:lang w:val="es-CO" w:eastAsia="es-CO"/>
        </w:rPr>
        <mc:AlternateContent>
          <mc:Choice Requires="wps">
            <w:drawing>
              <wp:anchor distT="0" distB="0" distL="114300" distR="114300" simplePos="0" relativeHeight="251716096" behindDoc="0" locked="0" layoutInCell="1" allowOverlap="1" wp14:anchorId="4CBE5B77" wp14:editId="3DC7BD19">
                <wp:simplePos x="0" y="0"/>
                <wp:positionH relativeFrom="column">
                  <wp:posOffset>2040255</wp:posOffset>
                </wp:positionH>
                <wp:positionV relativeFrom="paragraph">
                  <wp:posOffset>2202180</wp:posOffset>
                </wp:positionV>
                <wp:extent cx="471170" cy="233045"/>
                <wp:effectExtent l="0" t="0" r="0" b="0"/>
                <wp:wrapNone/>
                <wp:docPr id="50" name="CuadroTexto 12"/>
                <wp:cNvGraphicFramePr/>
                <a:graphic xmlns:a="http://schemas.openxmlformats.org/drawingml/2006/main">
                  <a:graphicData uri="http://schemas.microsoft.com/office/word/2010/wordprocessingShape">
                    <wps:wsp>
                      <wps:cNvSpPr txBox="1"/>
                      <wps:spPr>
                        <a:xfrm>
                          <a:off x="0" y="0"/>
                          <a:ext cx="471170"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6BD7A7" w14:textId="77777777" w:rsidR="003C7C2B" w:rsidRPr="00C8384B" w:rsidRDefault="003C7C2B" w:rsidP="00F262C2">
                            <w:pPr>
                              <w:rPr>
                                <w:rFonts w:asciiTheme="minorHAnsi" w:hAnsi="Calibri"/>
                                <w:color w:val="FFFFFF" w:themeColor="background1"/>
                                <w:kern w:val="24"/>
                                <w:sz w:val="18"/>
                                <w:szCs w:val="18"/>
                                <w:lang w:val="es-CO"/>
                              </w:rPr>
                            </w:pPr>
                            <w:r>
                              <w:rPr>
                                <w:rFonts w:asciiTheme="minorHAnsi" w:hAnsi="Calibri"/>
                                <w:color w:val="FFFFFF" w:themeColor="background1"/>
                                <w:kern w:val="24"/>
                                <w:sz w:val="18"/>
                                <w:szCs w:val="18"/>
                                <w:lang w:val="es-CO"/>
                              </w:rPr>
                              <w:t>69%</w:t>
                            </w:r>
                          </w:p>
                        </w:txbxContent>
                      </wps:txbx>
                      <wps:bodyPr wrap="none" rtlCol="0" anchor="t">
                        <a:spAutoFit/>
                      </wps:bodyPr>
                    </wps:wsp>
                  </a:graphicData>
                </a:graphic>
              </wp:anchor>
            </w:drawing>
          </mc:Choice>
          <mc:Fallback>
            <w:pict>
              <v:shape w14:anchorId="4CBE5B77" id="_x0000_s1054" type="#_x0000_t202" style="position:absolute;left:0;text-align:left;margin-left:160.65pt;margin-top:173.4pt;width:37.1pt;height:18.35pt;z-index:251716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" filled="f" stroked="f">
                <v:textbox style="mso-fit-shape-to-text:t">
                  <w:txbxContent>
                    <w:p w14:paraId="756BD7A7" w14:textId="77777777" w:rsidR="003C7C2B" w:rsidRPr="00C8384B" w:rsidRDefault="003C7C2B" w:rsidP="00F262C2">
                      <w:pPr>
                        <w:rPr>
                          <w:rFonts w:asciiTheme="minorHAnsi" w:hAnsi="Calibri"/>
                          <w:color w:val="FFFFFF" w:themeColor="background1"/>
                          <w:kern w:val="24"/>
                          <w:sz w:val="18"/>
                          <w:szCs w:val="18"/>
                          <w:lang w:val="es-CO"/>
                        </w:rPr>
                      </w:pPr>
                      <w:r>
                        <w:rPr>
                          <w:rFonts w:asciiTheme="minorHAnsi" w:hAnsi="Calibri"/>
                          <w:color w:val="FFFFFF" w:themeColor="background1"/>
                          <w:kern w:val="24"/>
                          <w:sz w:val="18"/>
                          <w:szCs w:val="18"/>
                          <w:lang w:val="es-CO"/>
                        </w:rPr>
                        <w:t>69%</w:t>
                      </w:r>
                    </w:p>
                  </w:txbxContent>
                </v:textbox>
              </v:shape>
            </w:pict>
          </mc:Fallback>
        </mc:AlternateContent>
      </w:r>
      <w:r w:rsidRPr="005503B4">
        <w:rPr>
          <w:noProof/>
          <w:lang w:val="es-CO" w:eastAsia="es-CO"/>
        </w:rPr>
        <mc:AlternateContent>
          <mc:Choice Requires="wps">
            <w:drawing>
              <wp:anchor distT="0" distB="0" distL="114300" distR="114300" simplePos="0" relativeHeight="251714048" behindDoc="0" locked="0" layoutInCell="1" allowOverlap="1" wp14:anchorId="32AE2BE5" wp14:editId="5ED6B26D">
                <wp:simplePos x="0" y="0"/>
                <wp:positionH relativeFrom="column">
                  <wp:posOffset>1049258</wp:posOffset>
                </wp:positionH>
                <wp:positionV relativeFrom="paragraph">
                  <wp:posOffset>2041311</wp:posOffset>
                </wp:positionV>
                <wp:extent cx="471411" cy="233205"/>
                <wp:effectExtent l="0" t="0" r="0" b="0"/>
                <wp:wrapNone/>
                <wp:docPr id="51" name="CuadroTexto 3"/>
                <wp:cNvGraphicFramePr/>
                <a:graphic xmlns:a="http://schemas.openxmlformats.org/drawingml/2006/main">
                  <a:graphicData uri="http://schemas.microsoft.com/office/word/2010/wordprocessingShape">
                    <wps:wsp>
                      <wps:cNvSpPr txBox="1"/>
                      <wps:spPr>
                        <a:xfrm>
                          <a:off x="0" y="0"/>
                          <a:ext cx="471411"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3D1DE6" w14:textId="77777777" w:rsidR="003C7C2B" w:rsidRDefault="003C7C2B" w:rsidP="00F262C2">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69,0%</w:t>
                            </w:r>
                          </w:p>
                        </w:txbxContent>
                      </wps:txbx>
                      <wps:bodyPr wrap="none" rtlCol="0" anchor="t">
                        <a:spAutoFit/>
                      </wps:bodyPr>
                    </wps:wsp>
                  </a:graphicData>
                </a:graphic>
              </wp:anchor>
            </w:drawing>
          </mc:Choice>
          <mc:Fallback>
            <w:pict>
              <v:shape w14:anchorId="32AE2BE5" id="_x0000_s1055" type="#_x0000_t202" style="position:absolute;left:0;text-align:left;margin-left:82.6pt;margin-top:160.75pt;width:37.1pt;height:18.35pt;z-index:25171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" filled="f" stroked="f">
                <v:textbox style="mso-fit-shape-to-text:t">
                  <w:txbxContent>
                    <w:p w14:paraId="453D1DE6" w14:textId="77777777" w:rsidR="003C7C2B" w:rsidRDefault="003C7C2B" w:rsidP="00F262C2">
                      <w:pPr>
                        <w:rPr>
                          <w:rFonts w:asciiTheme="minorHAnsi" w:hAnsi="Calibri"/>
                          <w:color w:val="FFFFFF" w:themeColor="background1"/>
                          <w:kern w:val="24"/>
                          <w:sz w:val="18"/>
                          <w:szCs w:val="18"/>
                        </w:rPr>
                      </w:pPr>
                      <w:r>
                        <w:rPr>
                          <w:rFonts w:asciiTheme="minorHAnsi" w:hAnsi="Calibri"/>
                          <w:color w:val="FFFFFF" w:themeColor="background1"/>
                          <w:kern w:val="24"/>
                          <w:sz w:val="18"/>
                          <w:szCs w:val="18"/>
                        </w:rPr>
                        <w:t>69,0%</w:t>
                      </w:r>
                    </w:p>
                  </w:txbxContent>
                </v:textbox>
              </v:shape>
            </w:pict>
          </mc:Fallback>
        </mc:AlternateContent>
      </w:r>
      <w:r w:rsidRPr="005503B4">
        <w:rPr>
          <w:noProof/>
          <w:lang w:val="es-CO" w:eastAsia="es-CO"/>
        </w:rPr>
        <w:drawing>
          <wp:inline distT="0" distB="0" distL="0" distR="0" wp14:anchorId="6D87EF50" wp14:editId="5B6828CB">
            <wp:extent cx="4018915" cy="3227695"/>
            <wp:effectExtent l="0" t="0" r="635" b="11430"/>
            <wp:docPr id="54" name="Gráfico 54">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7F007E" w14:textId="77777777" w:rsidR="00F262C2" w:rsidRPr="005503B4" w:rsidRDefault="00F262C2" w:rsidP="00F262C2">
      <w:pPr>
        <w:pStyle w:val="FuentedeGrfica"/>
      </w:pPr>
      <w:r w:rsidRPr="005503B4">
        <w:t>FUENTE: Boletín del MinTIC para los datos de mensajería expresa y giros postales. Estados financieros de SPN para la información de correo. Banco de la República (IPC) para el deflactor de los ingresos postales</w:t>
      </w:r>
    </w:p>
    <w:p w14:paraId="00743D42" w14:textId="7AE69E24" w:rsidR="00F262C2" w:rsidRDefault="00F262C2" w:rsidP="00F262C2">
      <w:pPr>
        <w:rPr>
          <w:lang w:val="es-CO" w:eastAsia="es-ES"/>
        </w:rPr>
      </w:pPr>
      <w:r w:rsidRPr="005503B4">
        <w:rPr>
          <w:lang w:val="es-CO" w:eastAsia="es-ES"/>
        </w:rPr>
        <w:t>Por otra parte, SPN ha experimentado una tendencia diferente en el comportamiento de su segmento masivo. El volumen de envíos masivos no</w:t>
      </w:r>
      <w:r>
        <w:rPr>
          <w:lang w:val="es-CO" w:eastAsia="es-ES"/>
        </w:rPr>
        <w:t xml:space="preserve"> se ha reducido, por el contrario, </w:t>
      </w:r>
      <w:r w:rsidRPr="005503B4">
        <w:rPr>
          <w:lang w:val="es-CO" w:eastAsia="es-ES"/>
        </w:rPr>
        <w:t>ha experimentado un aumento del 2,37% promedio anual, pasando de 70,1 a 80,7 millones de envíos entre los años 2014 y 2020</w:t>
      </w:r>
      <w:r>
        <w:rPr>
          <w:lang w:val="es-CO" w:eastAsia="es-ES"/>
        </w:rPr>
        <w:t xml:space="preserve">, </w:t>
      </w:r>
      <w:r w:rsidRPr="005503B4">
        <w:rPr>
          <w:lang w:val="es-CO" w:eastAsia="es-ES"/>
        </w:rPr>
        <w:t xml:space="preserve">pasando de 70,1 a 80,7 millones de envíos entre los años 2014 y 2020 (véanse para efectos de análisis la </w:t>
      </w:r>
      <w:r w:rsidRPr="005503B4">
        <w:rPr>
          <w:lang w:val="es-CO" w:eastAsia="es-ES"/>
        </w:rPr>
        <w:fldChar w:fldCharType="begin"/>
      </w:r>
      <w:r w:rsidRPr="005503B4">
        <w:rPr>
          <w:lang w:val="es-CO" w:eastAsia="es-ES"/>
        </w:rPr>
        <w:instrText xml:space="preserve"> REF _Ref101604561 \h </w:instrText>
      </w:r>
      <w:r>
        <w:rPr>
          <w:lang w:val="es-CO" w:eastAsia="es-ES"/>
        </w:rPr>
        <w:instrText xml:space="preserve"> \* MERGEFORMAT </w:instrText>
      </w:r>
      <w:r w:rsidRPr="005503B4">
        <w:rPr>
          <w:lang w:val="es-CO" w:eastAsia="es-ES"/>
        </w:rPr>
      </w:r>
      <w:r w:rsidRPr="005503B4">
        <w:rPr>
          <w:lang w:val="es-CO" w:eastAsia="es-ES"/>
        </w:rPr>
        <w:fldChar w:fldCharType="separate"/>
      </w:r>
      <w:r w:rsidR="00C57FCA" w:rsidRPr="005503B4">
        <w:t xml:space="preserve">Gráfica </w:t>
      </w:r>
      <w:r w:rsidR="00C57FCA">
        <w:rPr>
          <w:noProof/>
        </w:rPr>
        <w:t>5</w:t>
      </w:r>
      <w:r w:rsidR="00C57FCA" w:rsidRPr="005503B4">
        <w:rPr>
          <w:noProof/>
        </w:rPr>
        <w:noBreakHyphen/>
      </w:r>
      <w:r w:rsidR="00C57FCA">
        <w:rPr>
          <w:noProof/>
        </w:rPr>
        <w:t>3</w:t>
      </w:r>
      <w:r w:rsidRPr="005503B4">
        <w:rPr>
          <w:lang w:val="es-CO" w:eastAsia="es-ES"/>
        </w:rPr>
        <w:fldChar w:fldCharType="end"/>
      </w:r>
      <w:r w:rsidRPr="005503B4">
        <w:rPr>
          <w:lang w:val="es-CO" w:eastAsia="es-ES"/>
        </w:rPr>
        <w:t xml:space="preserve"> anterior y la </w:t>
      </w:r>
      <w:r w:rsidRPr="005503B4">
        <w:rPr>
          <w:lang w:val="es-CO" w:eastAsia="es-ES"/>
        </w:rPr>
        <w:fldChar w:fldCharType="begin"/>
      </w:r>
      <w:r w:rsidRPr="005503B4">
        <w:rPr>
          <w:lang w:val="es-CO" w:eastAsia="es-ES"/>
        </w:rPr>
        <w:instrText xml:space="preserve"> REF _Ref101603443 \h </w:instrText>
      </w:r>
      <w:r>
        <w:rPr>
          <w:lang w:val="es-CO" w:eastAsia="es-ES"/>
        </w:rPr>
        <w:instrText xml:space="preserve"> \* MERGEFORMAT </w:instrText>
      </w:r>
      <w:r w:rsidRPr="005503B4">
        <w:rPr>
          <w:lang w:val="es-CO" w:eastAsia="es-ES"/>
        </w:rPr>
      </w:r>
      <w:r w:rsidRPr="005503B4">
        <w:rPr>
          <w:lang w:val="es-CO" w:eastAsia="es-ES"/>
        </w:rPr>
        <w:fldChar w:fldCharType="separate"/>
      </w:r>
      <w:r w:rsidR="00C57FCA" w:rsidRPr="005503B4">
        <w:t xml:space="preserve">Gráfica </w:t>
      </w:r>
      <w:r w:rsidR="00C57FCA">
        <w:rPr>
          <w:noProof/>
        </w:rPr>
        <w:t>5</w:t>
      </w:r>
      <w:r w:rsidR="00C57FCA" w:rsidRPr="005503B4">
        <w:rPr>
          <w:noProof/>
        </w:rPr>
        <w:noBreakHyphen/>
      </w:r>
      <w:r w:rsidR="00C57FCA">
        <w:rPr>
          <w:noProof/>
        </w:rPr>
        <w:t>4</w:t>
      </w:r>
      <w:r w:rsidRPr="005503B4">
        <w:rPr>
          <w:lang w:val="es-CO" w:eastAsia="es-ES"/>
        </w:rPr>
        <w:fldChar w:fldCharType="end"/>
      </w:r>
      <w:r w:rsidRPr="005503B4">
        <w:rPr>
          <w:lang w:val="es-CO" w:eastAsia="es-ES"/>
        </w:rPr>
        <w:t xml:space="preserve"> que se presentan en la siguiente página del capítulo). </w:t>
      </w:r>
    </w:p>
    <w:p w14:paraId="785B08D2" w14:textId="09F2CAD1" w:rsidR="00F459A1" w:rsidRPr="005503B4" w:rsidRDefault="00F459A1" w:rsidP="00F459A1">
      <w:pPr>
        <w:rPr>
          <w:lang w:val="es-CO" w:eastAsia="es-ES"/>
        </w:rPr>
      </w:pPr>
      <w:r w:rsidRPr="005503B4">
        <w:rPr>
          <w:lang w:val="es-CO" w:eastAsia="es-ES"/>
        </w:rPr>
        <w:t>A efectos de comprender este comportamiento en los envíos masivos de correo de SPN, recuérdese que es</w:t>
      </w:r>
      <w:r>
        <w:rPr>
          <w:lang w:val="es-CO" w:eastAsia="es-ES"/>
        </w:rPr>
        <w:t>t</w:t>
      </w:r>
      <w:r w:rsidRPr="005503B4">
        <w:rPr>
          <w:lang w:val="es-CO" w:eastAsia="es-ES"/>
        </w:rPr>
        <w:t xml:space="preserve">e producto es diferente al masivo expreso de los operadores de mensajería. Cabe </w:t>
      </w:r>
      <w:r>
        <w:rPr>
          <w:lang w:val="es-CO" w:eastAsia="es-ES"/>
        </w:rPr>
        <w:t>destacar</w:t>
      </w:r>
      <w:r w:rsidRPr="005503B4">
        <w:rPr>
          <w:lang w:val="es-CO" w:eastAsia="es-ES"/>
        </w:rPr>
        <w:t xml:space="preserve"> que la mayor parte de los envíos masivos de </w:t>
      </w:r>
      <w:r>
        <w:rPr>
          <w:lang w:val="es-CO" w:eastAsia="es-ES"/>
        </w:rPr>
        <w:t xml:space="preserve">correo, </w:t>
      </w:r>
      <w:r w:rsidRPr="005503B4">
        <w:rPr>
          <w:lang w:val="es-CO" w:eastAsia="es-ES"/>
        </w:rPr>
        <w:t>contrario a los de los operadores de mensajería expresa, no cuentan con prueba de entrega ni con mecanismo de seguimiento (</w:t>
      </w:r>
      <w:proofErr w:type="spellStart"/>
      <w:r w:rsidRPr="005503B4">
        <w:rPr>
          <w:i/>
          <w:iCs/>
          <w:lang w:val="es-CO" w:eastAsia="es-ES"/>
        </w:rPr>
        <w:t>track</w:t>
      </w:r>
      <w:proofErr w:type="spellEnd"/>
      <w:r w:rsidRPr="005503B4">
        <w:rPr>
          <w:i/>
          <w:iCs/>
          <w:lang w:val="es-CO" w:eastAsia="es-ES"/>
        </w:rPr>
        <w:t xml:space="preserve"> and trace</w:t>
      </w:r>
      <w:r w:rsidRPr="005503B4">
        <w:rPr>
          <w:lang w:val="es-CO" w:eastAsia="es-ES"/>
        </w:rPr>
        <w:t xml:space="preserve">) y que, por la misma razón, presentan un margen financiero pequeño en su operación, siendo, por consiguiente, sus costos menores, arrojando así un margen por envío muy estrecho. </w:t>
      </w:r>
    </w:p>
    <w:p w14:paraId="065EC16E" w14:textId="48FBB576" w:rsidR="00F262C2" w:rsidRDefault="00F262C2" w:rsidP="00F262C2">
      <w:pPr>
        <w:pStyle w:val="TITcuadro"/>
        <w:ind w:right="565" w:hanging="567"/>
      </w:pPr>
      <w:bookmarkStart w:id="171" w:name="_Ref101604561"/>
      <w:bookmarkStart w:id="172" w:name="_Toc101865448"/>
      <w:bookmarkStart w:id="173" w:name="_Toc104228721"/>
      <w:r w:rsidRPr="005503B4">
        <w:lastRenderedPageBreak/>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3</w:t>
      </w:r>
      <w:r w:rsidRPr="005503B4">
        <w:fldChar w:fldCharType="end"/>
      </w:r>
      <w:bookmarkEnd w:id="171"/>
      <w:r w:rsidRPr="005503B4">
        <w:t xml:space="preserve"> - Mercado postal de envíos masivos en Colombia en el período 2014 – 2021 - (Miles de Envíos)</w:t>
      </w:r>
      <w:bookmarkEnd w:id="172"/>
      <w:bookmarkEnd w:id="173"/>
    </w:p>
    <w:p w14:paraId="201CCE9D" w14:textId="444117C6" w:rsidR="009920AB" w:rsidRPr="005503B4" w:rsidRDefault="009920AB" w:rsidP="00F262C2">
      <w:pPr>
        <w:pStyle w:val="TITcuadro"/>
        <w:ind w:right="565" w:hanging="567"/>
      </w:pPr>
      <w:r>
        <w:rPr>
          <w:noProof/>
          <w:lang w:eastAsia="es-CO"/>
        </w:rPr>
        <w:drawing>
          <wp:inline distT="0" distB="0" distL="0" distR="0" wp14:anchorId="1039E545" wp14:editId="18D78023">
            <wp:extent cx="5849620" cy="3139440"/>
            <wp:effectExtent l="0" t="0" r="17780" b="3810"/>
            <wp:docPr id="474" name="Gráfico 474">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6EB807" w14:textId="77777777" w:rsidR="00F262C2" w:rsidRPr="005503B4" w:rsidRDefault="00F262C2" w:rsidP="00F262C2">
      <w:pPr>
        <w:pStyle w:val="FuentedeGrfica"/>
        <w:ind w:right="281" w:hanging="1276"/>
        <w:rPr>
          <w:rFonts w:eastAsiaTheme="minorEastAsia"/>
        </w:rPr>
      </w:pPr>
      <w:r w:rsidRPr="005503B4">
        <w:rPr>
          <w:rFonts w:eastAsiaTheme="minorEastAsia"/>
        </w:rPr>
        <w:t>FUENTE: MinTIC para los datos de mensajería expresa y giros postales. Estados financieros de SPN para la información de correo. Banco de la República (IPC) para el deflactor de los ingresos postales.</w:t>
      </w:r>
    </w:p>
    <w:p w14:paraId="22BC23AB" w14:textId="554476F0" w:rsidR="004E2711" w:rsidRDefault="00F262C2" w:rsidP="00F262C2">
      <w:pPr>
        <w:rPr>
          <w:lang w:val="es-CO" w:eastAsia="es-ES"/>
        </w:rPr>
      </w:pPr>
      <w:r w:rsidRPr="005503B4">
        <w:rPr>
          <w:lang w:val="es-CO" w:eastAsia="es-ES"/>
        </w:rPr>
        <w:t xml:space="preserve">De otro lado, y contrario a la tendencia observada para SPN, la </w:t>
      </w:r>
      <w:r w:rsidRPr="005503B4">
        <w:rPr>
          <w:lang w:val="es-CO" w:eastAsia="es-ES"/>
        </w:rPr>
        <w:fldChar w:fldCharType="begin"/>
      </w:r>
      <w:r w:rsidRPr="005503B4">
        <w:rPr>
          <w:lang w:val="es-CO" w:eastAsia="es-ES"/>
        </w:rPr>
        <w:instrText xml:space="preserve"> REF _Ref101606185 \h </w:instrText>
      </w:r>
      <w:r>
        <w:rPr>
          <w:lang w:val="es-CO" w:eastAsia="es-ES"/>
        </w:rPr>
        <w:instrText xml:space="preserve"> \* MERGEFORMAT </w:instrText>
      </w:r>
      <w:r w:rsidRPr="005503B4">
        <w:rPr>
          <w:lang w:val="es-CO" w:eastAsia="es-ES"/>
        </w:rPr>
      </w:r>
      <w:r w:rsidRPr="005503B4">
        <w:rPr>
          <w:lang w:val="es-CO" w:eastAsia="es-ES"/>
        </w:rPr>
        <w:fldChar w:fldCharType="separate"/>
      </w:r>
      <w:r w:rsidR="00C57FCA" w:rsidRPr="005503B4">
        <w:t xml:space="preserve">Gráfica </w:t>
      </w:r>
      <w:r w:rsidR="00C57FCA">
        <w:rPr>
          <w:noProof/>
        </w:rPr>
        <w:t>5</w:t>
      </w:r>
      <w:r w:rsidR="00C57FCA" w:rsidRPr="005503B4">
        <w:rPr>
          <w:noProof/>
        </w:rPr>
        <w:noBreakHyphen/>
      </w:r>
      <w:r w:rsidR="00C57FCA">
        <w:rPr>
          <w:noProof/>
        </w:rPr>
        <w:t>2</w:t>
      </w:r>
      <w:r w:rsidRPr="005503B4">
        <w:rPr>
          <w:lang w:val="es-CO" w:eastAsia="es-ES"/>
        </w:rPr>
        <w:fldChar w:fldCharType="end"/>
      </w:r>
      <w:r w:rsidRPr="005503B4">
        <w:rPr>
          <w:lang w:val="es-CO" w:eastAsia="es-ES"/>
        </w:rPr>
        <w:t xml:space="preserve"> permite inferir también que la importancia relativa de los productos masivos de los operadores de mensajería expresa, representa cada vez menos del mercado masivo total: Mientras que en el año 2014 ellos cursaban el 88,54% de los envíos masivos totales, en el año 2020 ese porcentaje había disminuido al </w:t>
      </w:r>
      <w:r w:rsidR="004E2711">
        <w:rPr>
          <w:lang w:val="es-CO" w:eastAsia="es-ES"/>
        </w:rPr>
        <w:t>67,9</w:t>
      </w:r>
      <w:r w:rsidRPr="005503B4">
        <w:rPr>
          <w:lang w:val="es-CO" w:eastAsia="es-ES"/>
        </w:rPr>
        <w:t xml:space="preserve">%, presentando una disminución de cerca de </w:t>
      </w:r>
      <w:r w:rsidR="004E2711">
        <w:rPr>
          <w:lang w:val="es-CO" w:eastAsia="es-ES"/>
        </w:rPr>
        <w:t>20,6%</w:t>
      </w:r>
      <w:r w:rsidRPr="005503B4">
        <w:rPr>
          <w:lang w:val="es-CO" w:eastAsia="es-ES"/>
        </w:rPr>
        <w:t xml:space="preserve"> puntos porcentuales de cuota de ese mercado.</w:t>
      </w:r>
    </w:p>
    <w:p w14:paraId="3CF60962" w14:textId="17DD2F63" w:rsidR="00F262C2" w:rsidRPr="005503B4" w:rsidRDefault="00F262C2" w:rsidP="00F262C2">
      <w:pPr>
        <w:pStyle w:val="TITcuadro"/>
      </w:pPr>
      <w:bookmarkStart w:id="174" w:name="_Ref101603443"/>
      <w:bookmarkStart w:id="175" w:name="_Toc101865449"/>
      <w:bookmarkStart w:id="176" w:name="_Toc104228722"/>
      <w:r w:rsidRPr="005503B4">
        <w:lastRenderedPageBreak/>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4</w:t>
      </w:r>
      <w:r w:rsidRPr="005503B4">
        <w:fldChar w:fldCharType="end"/>
      </w:r>
      <w:bookmarkEnd w:id="174"/>
      <w:r w:rsidRPr="005503B4">
        <w:t xml:space="preserve"> - Estructura del mercado masivo por actores – Mercado Expreso y de Correo – 2014 – 2021. </w:t>
      </w:r>
      <w:bookmarkEnd w:id="175"/>
      <w:r w:rsidRPr="005503B4">
        <w:t>(Miles de envíos)</w:t>
      </w:r>
      <w:bookmarkEnd w:id="176"/>
    </w:p>
    <w:p w14:paraId="45D2C453" w14:textId="01A4B8D4" w:rsidR="00F262C2" w:rsidRPr="005503B4" w:rsidRDefault="004E2711" w:rsidP="00F262C2">
      <w:pPr>
        <w:pStyle w:val="Grfica"/>
      </w:pPr>
      <w:r>
        <w:rPr>
          <w:noProof/>
        </w:rPr>
        <w:drawing>
          <wp:inline distT="0" distB="0" distL="0" distR="0" wp14:anchorId="27535C55" wp14:editId="425716D3">
            <wp:extent cx="3881437" cy="3548064"/>
            <wp:effectExtent l="0" t="0" r="5080" b="14605"/>
            <wp:docPr id="45" name="Gráfico 45">
              <a:extLst xmlns:a="http://schemas.openxmlformats.org/drawingml/2006/main">
                <a:ext uri="{FF2B5EF4-FFF2-40B4-BE49-F238E27FC236}">
                  <a16:creationId xmlns:a16="http://schemas.microsoft.com/office/drawing/2014/main" id="{513093E8-5319-4502-8721-87D73F76B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C2882F" w14:textId="77777777" w:rsidR="00F262C2" w:rsidRPr="005503B4" w:rsidRDefault="00F262C2" w:rsidP="00F262C2">
      <w:pPr>
        <w:pStyle w:val="FuentedeGrfica"/>
        <w:ind w:left="1134" w:right="990" w:hanging="708"/>
      </w:pPr>
      <w:r w:rsidRPr="005503B4">
        <w:t xml:space="preserve">FUENTE: </w:t>
      </w:r>
      <w:r w:rsidRPr="005503B4">
        <w:tab/>
        <w:t>Boletín Trimestral del MinTIC para los datos de mensajería expresa y giros postales. Estados financieros de SPN para la información de correo. Banco de la República (IPC) para el deflactor de los ingresos postales.</w:t>
      </w:r>
    </w:p>
    <w:p w14:paraId="1A784070" w14:textId="10B6D33D" w:rsidR="00F262C2" w:rsidRDefault="00822518" w:rsidP="00F262C2">
      <w:pPr>
        <w:pStyle w:val="Ttulo4"/>
      </w:pPr>
      <w:bookmarkStart w:id="177" w:name="_Toc104272145"/>
      <w:bookmarkStart w:id="178" w:name="_Toc101727637"/>
      <w:r w:rsidRPr="00822518">
        <w:t>Envíos Masivos: Proyección del mercado de Mensajería Expresa y Correo</w:t>
      </w:r>
      <w:r w:rsidR="00F262C2" w:rsidRPr="005503B4">
        <w:t>.</w:t>
      </w:r>
      <w:bookmarkEnd w:id="177"/>
      <w:r w:rsidR="00F262C2" w:rsidRPr="005503B4">
        <w:t xml:space="preserve"> </w:t>
      </w:r>
      <w:bookmarkEnd w:id="178"/>
    </w:p>
    <w:p w14:paraId="124CBD24" w14:textId="77BA0A96" w:rsidR="00F262C2" w:rsidRPr="005503B4" w:rsidRDefault="00F262C2" w:rsidP="00F262C2">
      <w:r w:rsidRPr="005503B4">
        <w:t xml:space="preserve">Teniendo en cuenta las anteriores tendencias y hallazgos que se encontraron para el mercado postal de envíos masivos en Colombia, para el período 2014, que coinciden plenamente con los análisis y conclusiones del Ministerio del año 2020 </w:t>
      </w:r>
      <w:sdt>
        <w:sdtPr>
          <w:id w:val="137075632"/>
          <w:placeholder>
            <w:docPart w:val="037534CEE78A4392B0EE63179171347D"/>
          </w:placeholder>
          <w:citation/>
        </w:sdtPr>
        <w:sdtEndPr/>
        <w:sdtContent>
          <w:r w:rsidRPr="005503B4">
            <w:fldChar w:fldCharType="begin"/>
          </w:r>
          <w:r w:rsidRPr="005503B4">
            <w:rPr>
              <w:lang w:val="es-CO"/>
            </w:rPr>
            <w:instrText xml:space="preserve"> CITATION Min203 \l 9226 </w:instrText>
          </w:r>
          <w:r w:rsidRPr="005503B4">
            <w:fldChar w:fldCharType="separate"/>
          </w:r>
          <w:r w:rsidR="00C57FCA" w:rsidRPr="00C57FCA">
            <w:rPr>
              <w:noProof/>
              <w:lang w:val="es-CO"/>
            </w:rPr>
            <w:t>(MinTIC, 2020)</w:t>
          </w:r>
          <w:r w:rsidRPr="005503B4">
            <w:fldChar w:fldCharType="end"/>
          </w:r>
        </w:sdtContent>
      </w:sdt>
      <w:r w:rsidR="00A47D91">
        <w:t xml:space="preserve"> </w:t>
      </w:r>
      <w:r w:rsidRPr="005503B4">
        <w:t xml:space="preserve">relacionados con una caída en el volumen de envíos masivos expresos (véase para este efecto, la </w:t>
      </w:r>
      <w:r w:rsidRPr="005503B4">
        <w:fldChar w:fldCharType="begin"/>
      </w:r>
      <w:r w:rsidRPr="005503B4">
        <w:instrText xml:space="preserve"> REF _Ref101604561 \h </w:instrText>
      </w:r>
      <w:r>
        <w:instrText xml:space="preserve"> \* MERGEFORMAT </w:instrText>
      </w:r>
      <w:r w:rsidRPr="005503B4">
        <w:fldChar w:fldCharType="separate"/>
      </w:r>
      <w:r w:rsidR="00C57FCA" w:rsidRPr="005503B4">
        <w:t xml:space="preserve">Gráfica </w:t>
      </w:r>
      <w:r w:rsidR="00C57FCA">
        <w:rPr>
          <w:noProof/>
        </w:rPr>
        <w:t>5</w:t>
      </w:r>
      <w:r w:rsidR="00C57FCA" w:rsidRPr="005503B4">
        <w:rPr>
          <w:noProof/>
        </w:rPr>
        <w:noBreakHyphen/>
      </w:r>
      <w:r w:rsidR="00C57FCA">
        <w:rPr>
          <w:noProof/>
        </w:rPr>
        <w:t>3</w:t>
      </w:r>
      <w:r w:rsidRPr="005503B4">
        <w:fldChar w:fldCharType="end"/>
      </w:r>
      <w:r w:rsidRPr="005503B4">
        <w:t xml:space="preserve">, ocasionada en el comportamiento asociado a la digitalización de facturas y documentos y a la consolidación </w:t>
      </w:r>
      <w:r>
        <w:t>en</w:t>
      </w:r>
      <w:r w:rsidRPr="005503B4">
        <w:t xml:space="preserve"> la penetración y mayor ancho de banda de Internet, así como la política de las diferentes </w:t>
      </w:r>
      <w:r>
        <w:t>entidades</w:t>
      </w:r>
      <w:r w:rsidRPr="005503B4">
        <w:t xml:space="preserve"> del Estado que han promovido la utilización de los servicios digitales y de tecnologías de la información y las comunicaciones en el país</w:t>
      </w:r>
      <w:r>
        <w:t>.</w:t>
      </w:r>
    </w:p>
    <w:p w14:paraId="2500C740" w14:textId="48A7CB8D" w:rsidR="00F262C2" w:rsidRDefault="00F262C2" w:rsidP="00F262C2">
      <w:r w:rsidRPr="005503B4">
        <w:t xml:space="preserve">Con base en lo anterior, la siguiente gráfica presenta la proyección del número de envíos de mensajería expresa (línea gruesa azul), </w:t>
      </w:r>
      <w:r>
        <w:t>para</w:t>
      </w:r>
      <w:r w:rsidRPr="005503B4">
        <w:t xml:space="preserve"> el período comprendido </w:t>
      </w:r>
      <w:r w:rsidRPr="00D634E6">
        <w:t xml:space="preserve">entre </w:t>
      </w:r>
      <w:r w:rsidR="00673EA8" w:rsidRPr="00D634E6">
        <w:t xml:space="preserve">2022 </w:t>
      </w:r>
      <w:r w:rsidRPr="00D634E6">
        <w:t>y 202</w:t>
      </w:r>
      <w:r w:rsidR="00D634E6" w:rsidRPr="00D634E6">
        <w:t>4</w:t>
      </w:r>
      <w:r w:rsidRPr="005503B4">
        <w:t>. El análisis optó por mantener la tendencia de la proyección que se realizó en el estudio del 2020, previendo una función logarítmica decreciente y cóncava hacia abajo, que logr</w:t>
      </w:r>
      <w:r>
        <w:t>e</w:t>
      </w:r>
      <w:r w:rsidRPr="005503B4">
        <w:t xml:space="preserve"> el mejor ajuste estadístico posible de la información histórica; </w:t>
      </w:r>
      <w:r w:rsidRPr="005503B4">
        <w:lastRenderedPageBreak/>
        <w:t>nótese que la estimación supone que el descenso abrupto continúa en el mercado masivo expreso, tendiendo en el año 2024 hacia los 62 millones de envíos anuales.</w:t>
      </w:r>
    </w:p>
    <w:p w14:paraId="29E8AC6E" w14:textId="56D9F305" w:rsidR="00F262C2" w:rsidRPr="005503B4" w:rsidRDefault="00F262C2" w:rsidP="00F262C2">
      <w:r w:rsidRPr="005503B4">
        <w:rPr>
          <w:lang w:val="es-CO" w:eastAsia="es-ES"/>
        </w:rPr>
        <w:t>Para el caso de los envíos masivos de correo se supone que una parte de los envíos masivos expresos busca aprovechar los menores costos que ofrece SPN, en razón a</w:t>
      </w:r>
      <w:r>
        <w:rPr>
          <w:lang w:val="es-CO" w:eastAsia="es-ES"/>
        </w:rPr>
        <w:t xml:space="preserve"> los costos asociados por sus</w:t>
      </w:r>
      <w:r w:rsidRPr="005503B4">
        <w:rPr>
          <w:lang w:val="es-CO" w:eastAsia="es-ES"/>
        </w:rPr>
        <w:t xml:space="preserve"> atributos como prueba de entrega y seguimiento</w:t>
      </w:r>
      <w:r w:rsidR="00AB6D2C">
        <w:rPr>
          <w:rStyle w:val="Refdenotaalpie"/>
          <w:lang w:val="es-CO" w:eastAsia="es-ES"/>
        </w:rPr>
        <w:footnoteReference w:id="9"/>
      </w:r>
      <w:r w:rsidRPr="005503B4">
        <w:rPr>
          <w:lang w:val="es-CO" w:eastAsia="es-ES"/>
        </w:rPr>
        <w:t xml:space="preserve">, a los que los consumidores no le asignan gran valor, siendo, por tanto, sustituidos y absorbidos por </w:t>
      </w:r>
      <w:r>
        <w:rPr>
          <w:lang w:val="es-CO" w:eastAsia="es-ES"/>
        </w:rPr>
        <w:t>SPN</w:t>
      </w:r>
      <w:r w:rsidRPr="005503B4">
        <w:rPr>
          <w:lang w:val="es-CO" w:eastAsia="es-ES"/>
        </w:rPr>
        <w:t xml:space="preserve">. </w:t>
      </w:r>
    </w:p>
    <w:p w14:paraId="5E2BCB0E" w14:textId="25F481E9" w:rsidR="00F262C2" w:rsidRPr="005503B4" w:rsidRDefault="00F262C2" w:rsidP="00F262C2">
      <w:pPr>
        <w:pStyle w:val="TITcuadro"/>
      </w:pPr>
      <w:bookmarkStart w:id="179" w:name="_Toc101865450"/>
      <w:bookmarkStart w:id="180" w:name="_Toc104228723"/>
      <w:r w:rsidRPr="005503B4">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5</w:t>
      </w:r>
      <w:r w:rsidRPr="005503B4">
        <w:fldChar w:fldCharType="end"/>
      </w:r>
      <w:r w:rsidRPr="005503B4">
        <w:t xml:space="preserve"> - Número de envíos masivos </w:t>
      </w:r>
      <w:r w:rsidR="009934EF">
        <w:t>de c</w:t>
      </w:r>
      <w:r w:rsidRPr="005503B4">
        <w:t xml:space="preserve">orreo y </w:t>
      </w:r>
      <w:r w:rsidR="0053228C">
        <w:t xml:space="preserve">de </w:t>
      </w:r>
      <w:r w:rsidRPr="005503B4">
        <w:t>mensajería expresa - Tendencia para el período 2021 - 202</w:t>
      </w:r>
      <w:bookmarkEnd w:id="179"/>
      <w:r w:rsidR="000F0708">
        <w:t>4</w:t>
      </w:r>
      <w:bookmarkEnd w:id="180"/>
    </w:p>
    <w:p w14:paraId="5119C2C8" w14:textId="2FFB5A04" w:rsidR="00F262C2" w:rsidRPr="005503B4" w:rsidRDefault="008A1E63" w:rsidP="00F262C2">
      <w:pPr>
        <w:pStyle w:val="Grfica"/>
      </w:pPr>
      <w:r>
        <w:rPr>
          <w:noProof/>
          <w:lang w:eastAsia="es-CO"/>
        </w:rPr>
        <mc:AlternateContent>
          <mc:Choice Requires="wps">
            <w:drawing>
              <wp:anchor distT="0" distB="0" distL="114300" distR="114300" simplePos="0" relativeHeight="251729408" behindDoc="0" locked="0" layoutInCell="1" allowOverlap="1" wp14:anchorId="34BBF6AD" wp14:editId="210C86DB">
                <wp:simplePos x="0" y="0"/>
                <wp:positionH relativeFrom="column">
                  <wp:posOffset>4533118</wp:posOffset>
                </wp:positionH>
                <wp:positionV relativeFrom="paragraph">
                  <wp:posOffset>218242</wp:posOffset>
                </wp:positionV>
                <wp:extent cx="0" cy="1987366"/>
                <wp:effectExtent l="0" t="0" r="38100" b="32385"/>
                <wp:wrapNone/>
                <wp:docPr id="58" name="Conector recto 57"/>
                <wp:cNvGraphicFramePr/>
                <a:graphic xmlns:a="http://schemas.openxmlformats.org/drawingml/2006/main">
                  <a:graphicData uri="http://schemas.microsoft.com/office/word/2010/wordprocessingShape">
                    <wps:wsp>
                      <wps:cNvCnPr/>
                      <wps:spPr>
                        <a:xfrm>
                          <a:off x="0" y="0"/>
                          <a:ext cx="0" cy="1987366"/>
                        </a:xfrm>
                        <a:prstGeom prst="line">
                          <a:avLst/>
                        </a:prstGeom>
                        <a:ln w="15875">
                          <a:solidFill>
                            <a:schemeClr val="bg1">
                              <a:lumMod val="6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10812865" id="Conector recto 5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95pt,17.2pt" to="356.95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" strokecolor="#a5a5a5 [2092]" strokeweight="1.25pt">
                <v:stroke dashstyle="dashDot" joinstyle="miter"/>
              </v:line>
            </w:pict>
          </mc:Fallback>
        </mc:AlternateContent>
      </w:r>
      <w:r>
        <w:rPr>
          <w:noProof/>
          <w:lang w:eastAsia="es-CO"/>
        </w:rPr>
        <w:drawing>
          <wp:inline distT="0" distB="0" distL="0" distR="0" wp14:anchorId="692DC80B" wp14:editId="184C3D99">
            <wp:extent cx="5849620" cy="2505350"/>
            <wp:effectExtent l="0" t="0" r="17780" b="952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5265AB" w14:textId="5504A7D8" w:rsidR="00F262C2" w:rsidRPr="005503B4" w:rsidRDefault="00F262C2" w:rsidP="00F262C2">
      <w:pPr>
        <w:pStyle w:val="FuentedeGrfica"/>
      </w:pPr>
      <w:r w:rsidRPr="005503B4">
        <w:t xml:space="preserve">FUENTE: </w:t>
      </w:r>
      <w:r w:rsidRPr="005503B4">
        <w:tab/>
        <w:t>MinTIC. Boletín trimestral postal y Subdirección postal. Las proyecciones de 2022 – 202</w:t>
      </w:r>
      <w:r w:rsidR="000F0708">
        <w:t>4</w:t>
      </w:r>
      <w:r w:rsidRPr="005503B4">
        <w:t xml:space="preserve"> son de </w:t>
      </w:r>
      <w:r w:rsidR="000F0708">
        <w:t>la Subdirección</w:t>
      </w:r>
      <w:r w:rsidRPr="005503B4">
        <w:t>.</w:t>
      </w:r>
    </w:p>
    <w:p w14:paraId="48134A5B" w14:textId="73CE73F1" w:rsidR="00F262C2" w:rsidRDefault="00822518" w:rsidP="00F262C2">
      <w:pPr>
        <w:pStyle w:val="Ttulo4"/>
      </w:pPr>
      <w:bookmarkStart w:id="181" w:name="_Toc104272146"/>
      <w:r w:rsidRPr="00822518">
        <w:t>Ingresos – Envíos Masivos: Proyección del mercado de Mensajería Expresa y de correo</w:t>
      </w:r>
      <w:bookmarkEnd w:id="181"/>
      <w:r w:rsidRPr="00822518">
        <w:t xml:space="preserve"> </w:t>
      </w:r>
    </w:p>
    <w:p w14:paraId="27185ADA" w14:textId="29F4F97E" w:rsidR="00F262C2" w:rsidRPr="005503B4" w:rsidRDefault="00F262C2" w:rsidP="00F262C2">
      <w:pPr>
        <w:rPr>
          <w:lang w:eastAsia="es-ES"/>
        </w:rPr>
      </w:pPr>
      <w:r w:rsidRPr="005503B4">
        <w:rPr>
          <w:lang w:eastAsia="es-ES"/>
        </w:rPr>
        <w:t xml:space="preserve">Con base en lo anterior, y suponiendo unas tarifas de servicios masivos que no tienen mucho margen de aumento en la actualidad, en la </w:t>
      </w:r>
      <w:r w:rsidRPr="005503B4">
        <w:rPr>
          <w:lang w:eastAsia="es-ES"/>
        </w:rPr>
        <w:fldChar w:fldCharType="begin"/>
      </w:r>
      <w:r w:rsidRPr="005503B4">
        <w:rPr>
          <w:lang w:eastAsia="es-ES"/>
        </w:rPr>
        <w:instrText xml:space="preserve"> REF _Ref101811307 \h </w:instrText>
      </w:r>
      <w:r>
        <w:rPr>
          <w:lang w:eastAsia="es-ES"/>
        </w:rPr>
        <w:instrText xml:space="preserve"> \* MERGEFORMAT </w:instrText>
      </w:r>
      <w:r w:rsidRPr="005503B4">
        <w:rPr>
          <w:lang w:eastAsia="es-ES"/>
        </w:rPr>
      </w:r>
      <w:r w:rsidRPr="005503B4">
        <w:rPr>
          <w:lang w:eastAsia="es-ES"/>
        </w:rPr>
        <w:fldChar w:fldCharType="separate"/>
      </w:r>
      <w:r w:rsidR="00C57FCA" w:rsidRPr="005503B4">
        <w:t xml:space="preserve">Gráfica </w:t>
      </w:r>
      <w:r w:rsidR="00C57FCA">
        <w:rPr>
          <w:noProof/>
        </w:rPr>
        <w:t>5</w:t>
      </w:r>
      <w:r w:rsidR="00C57FCA" w:rsidRPr="005503B4">
        <w:rPr>
          <w:noProof/>
        </w:rPr>
        <w:noBreakHyphen/>
      </w:r>
      <w:r w:rsidR="00C57FCA">
        <w:rPr>
          <w:noProof/>
        </w:rPr>
        <w:t>6</w:t>
      </w:r>
      <w:r w:rsidRPr="005503B4">
        <w:rPr>
          <w:lang w:eastAsia="es-ES"/>
        </w:rPr>
        <w:fldChar w:fldCharType="end"/>
      </w:r>
      <w:r w:rsidRPr="005503B4">
        <w:rPr>
          <w:lang w:eastAsia="es-ES"/>
        </w:rPr>
        <w:t xml:space="preserve"> se presentan los ingresos por los servicios postales de envíos masivos proyectados, tanto para el mercado de mensajería expresa, como para el caso de SPN.</w:t>
      </w:r>
    </w:p>
    <w:p w14:paraId="6C623635" w14:textId="7BBFB074" w:rsidR="00F262C2" w:rsidRPr="005503B4" w:rsidRDefault="00F262C2" w:rsidP="00A47D91">
      <w:pPr>
        <w:pStyle w:val="TITcuadro"/>
        <w:ind w:right="565" w:hanging="284"/>
        <w:rPr>
          <w:rStyle w:val="TtulodeFiguraCar"/>
          <w:rFonts w:ascii="Arial Narrow" w:eastAsia="Calibri" w:hAnsi="Arial Narrow" w:cs="Arial"/>
          <w:b/>
          <w:bCs w:val="0"/>
          <w:sz w:val="20"/>
        </w:rPr>
      </w:pPr>
      <w:bookmarkStart w:id="182" w:name="_Ref101811307"/>
      <w:bookmarkStart w:id="183" w:name="_Toc101865451"/>
      <w:bookmarkStart w:id="184" w:name="_Toc104228724"/>
      <w:r w:rsidRPr="005503B4">
        <w:lastRenderedPageBreak/>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6</w:t>
      </w:r>
      <w:r w:rsidRPr="005503B4">
        <w:fldChar w:fldCharType="end"/>
      </w:r>
      <w:bookmarkEnd w:id="182"/>
      <w:r w:rsidRPr="005503B4">
        <w:t xml:space="preserve"> </w:t>
      </w:r>
      <w:r w:rsidRPr="005503B4">
        <w:rPr>
          <w:rStyle w:val="TtulodeFiguraCar"/>
          <w:rFonts w:ascii="Arial Narrow" w:eastAsia="Calibri" w:hAnsi="Arial Narrow" w:cs="Arial"/>
          <w:b/>
          <w:bCs w:val="0"/>
          <w:sz w:val="20"/>
        </w:rPr>
        <w:t>- Ingresos reales de Masivos de correo y de Mensajería Expresa–</w:t>
      </w:r>
      <w:r w:rsidR="003A2BB8">
        <w:rPr>
          <w:rStyle w:val="TtulodeFiguraCar"/>
          <w:rFonts w:ascii="Arial Narrow" w:eastAsia="Calibri" w:hAnsi="Arial Narrow" w:cs="Arial"/>
          <w:b/>
          <w:bCs w:val="0"/>
          <w:sz w:val="20"/>
        </w:rPr>
        <w:t xml:space="preserve"> Millones de pesos r</w:t>
      </w:r>
      <w:r w:rsidRPr="005503B4">
        <w:rPr>
          <w:rStyle w:val="TtulodeFiguraCar"/>
          <w:rFonts w:ascii="Arial Narrow" w:eastAsia="Calibri" w:hAnsi="Arial Narrow" w:cs="Arial"/>
          <w:b/>
          <w:bCs w:val="0"/>
          <w:sz w:val="20"/>
        </w:rPr>
        <w:t>eales (2021 = 100)</w:t>
      </w:r>
      <w:bookmarkEnd w:id="183"/>
      <w:bookmarkEnd w:id="184"/>
    </w:p>
    <w:p w14:paraId="0EC6875E" w14:textId="77777777" w:rsidR="00F262C2" w:rsidRPr="005503B4" w:rsidRDefault="00F262C2" w:rsidP="00F262C2">
      <w:pPr>
        <w:rPr>
          <w:lang w:eastAsia="es-ES"/>
        </w:rPr>
      </w:pPr>
      <w:r w:rsidRPr="005503B4">
        <w:rPr>
          <w:noProof/>
          <w:lang w:val="es-CO" w:eastAsia="es-CO"/>
        </w:rPr>
        <w:drawing>
          <wp:inline distT="0" distB="0" distL="0" distR="0" wp14:anchorId="5800A123" wp14:editId="3FE3C2DD">
            <wp:extent cx="5856328" cy="2401570"/>
            <wp:effectExtent l="0" t="0" r="11430" b="1778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43DB37" w14:textId="5C94D335" w:rsidR="00F262C2" w:rsidRPr="005503B4" w:rsidRDefault="00F262C2" w:rsidP="00F262C2">
      <w:pPr>
        <w:pStyle w:val="FuentedeGrfica"/>
      </w:pPr>
      <w:r w:rsidRPr="005503B4">
        <w:t xml:space="preserve">FUENTE: </w:t>
      </w:r>
      <w:r w:rsidRPr="005503B4">
        <w:tab/>
        <w:t>MinTIC. Boletín trimestral postal y Subdirección postal. Estados financieros de SPN. Las proyecciones del período 2022 – 202</w:t>
      </w:r>
      <w:r w:rsidR="000F0708">
        <w:t>4</w:t>
      </w:r>
      <w:r w:rsidRPr="005503B4">
        <w:t xml:space="preserve"> son del modelo de proyección del Ministerio.</w:t>
      </w:r>
    </w:p>
    <w:p w14:paraId="533DC46A" w14:textId="3897C456" w:rsidR="00F262C2" w:rsidRPr="00156AC6" w:rsidRDefault="00822518" w:rsidP="00F262C2">
      <w:pPr>
        <w:pStyle w:val="Ttulo3"/>
      </w:pPr>
      <w:bookmarkStart w:id="185" w:name="_Ref101847856"/>
      <w:bookmarkStart w:id="186" w:name="_Toc101865390"/>
      <w:bookmarkStart w:id="187" w:name="_Toc102393287"/>
      <w:bookmarkStart w:id="188" w:name="_Toc104272147"/>
      <w:r w:rsidRPr="00822518">
        <w:t>El mercado de envíos individuales entre 2 y 5 kil</w:t>
      </w:r>
      <w:r w:rsidR="004B0014">
        <w:t>o</w:t>
      </w:r>
      <w:r w:rsidRPr="00822518">
        <w:t>gramos</w:t>
      </w:r>
      <w:r w:rsidR="00F262C2" w:rsidRPr="005503B4">
        <w:rPr>
          <w:rStyle w:val="Refdenotaalpie"/>
        </w:rPr>
        <w:footnoteReference w:id="10"/>
      </w:r>
      <w:r w:rsidR="00F262C2" w:rsidRPr="005503B4">
        <w:t>.</w:t>
      </w:r>
      <w:bookmarkEnd w:id="185"/>
      <w:bookmarkEnd w:id="186"/>
      <w:bookmarkEnd w:id="187"/>
      <w:bookmarkEnd w:id="188"/>
      <w:r w:rsidR="00F262C2">
        <w:t xml:space="preserve"> </w:t>
      </w:r>
    </w:p>
    <w:p w14:paraId="03A50508" w14:textId="197C8C86" w:rsidR="00F262C2" w:rsidRDefault="004B0014" w:rsidP="00F262C2">
      <w:pPr>
        <w:pStyle w:val="Ttulo4"/>
      </w:pPr>
      <w:bookmarkStart w:id="189" w:name="_Toc104272148"/>
      <w:r w:rsidRPr="004B0014">
        <w:t>Envíos individuales de mensajería expresa entre 2 y 5 Kilogramos</w:t>
      </w:r>
      <w:r>
        <w:t>.</w:t>
      </w:r>
      <w:bookmarkEnd w:id="189"/>
      <w:r>
        <w:t xml:space="preserve"> </w:t>
      </w:r>
    </w:p>
    <w:p w14:paraId="6CBEB44F" w14:textId="172DE268" w:rsidR="00F262C2" w:rsidRPr="005503B4" w:rsidRDefault="00F262C2" w:rsidP="00F262C2">
      <w:r w:rsidRPr="005503B4">
        <w:t>El segundo componente del mercado físico de envíos postales, tanto de correo, como de mensajería expresa, lo constituyen los envíos individuales, cuya estructura</w:t>
      </w:r>
      <w:r>
        <w:t xml:space="preserve"> se puede dividir en</w:t>
      </w:r>
      <w:r w:rsidRPr="005503B4">
        <w:t xml:space="preserve"> dos componentes: Los envíos </w:t>
      </w:r>
      <w:r w:rsidR="00FD5798">
        <w:t>con peso menor a los 2 kilo</w:t>
      </w:r>
      <w:r w:rsidR="00E4600F">
        <w:t>gramo</w:t>
      </w:r>
      <w:r w:rsidR="00FD5798">
        <w:t>s</w:t>
      </w:r>
      <w:r w:rsidRPr="005503B4">
        <w:t xml:space="preserve"> y los envíos expresos de mayor peso (paquetes de 2 – 5 kilogramos). </w:t>
      </w:r>
      <w:r>
        <w:t>De otro lado, e</w:t>
      </w:r>
      <w:r w:rsidRPr="005503B4">
        <w:t>n el caso de SPN,</w:t>
      </w:r>
      <w:r>
        <w:t xml:space="preserve"> la </w:t>
      </w:r>
      <w:r w:rsidRPr="005503B4">
        <w:t xml:space="preserve">empresa </w:t>
      </w:r>
      <w:r>
        <w:t xml:space="preserve">presta en exclusividad el servicio de </w:t>
      </w:r>
      <w:r w:rsidRPr="005503B4">
        <w:t>encomiendas</w:t>
      </w:r>
      <w:r>
        <w:t>.</w:t>
      </w:r>
      <w:r w:rsidRPr="005503B4">
        <w:rPr>
          <w:rStyle w:val="Refdenotaalpie"/>
        </w:rPr>
        <w:footnoteReference w:id="11"/>
      </w:r>
      <w:r w:rsidRPr="005503B4">
        <w:t xml:space="preserve"> </w:t>
      </w:r>
    </w:p>
    <w:p w14:paraId="6B182193" w14:textId="77777777" w:rsidR="00F262C2" w:rsidRPr="005503B4" w:rsidRDefault="00F262C2" w:rsidP="00F262C2">
      <w:r w:rsidRPr="005503B4">
        <w:lastRenderedPageBreak/>
        <w:t>Observando la evolución de los envíos individuales de mensajería expresa, se encuentra que estos presentaron un descenso en el número de envíos entre los años 2014 y 2015, pasando de los 113 millones a 88,8 millones, mostrando a partir de ese año un crecimiento sostenido hasta 2020, año en el cual alcanzaron los 119 millones de envíos. Pese a lo anterior, no han podido aún igualar los niveles observados para el 2014.</w:t>
      </w:r>
    </w:p>
    <w:p w14:paraId="17CCED61" w14:textId="77777777" w:rsidR="00F262C2" w:rsidRPr="005503B4" w:rsidRDefault="00F262C2" w:rsidP="00F262C2">
      <w:r w:rsidRPr="005503B4">
        <w:t>Como evidencia de esta tendencia, la tasa de crecimiento anual para el período 2015 – 2021, ha sido del 5%, creci</w:t>
      </w:r>
      <w:r>
        <w:t>miento robusto,</w:t>
      </w:r>
      <w:r w:rsidRPr="005503B4">
        <w:t xml:space="preserve"> impulsado fundamentalmente por el aumento de la demanda de pequeños paquetes</w:t>
      </w:r>
      <w:r>
        <w:t>,</w:t>
      </w:r>
      <w:r w:rsidRPr="005503B4">
        <w:t xml:space="preserve"> derivado de la mayor demanda generada en los mercados de</w:t>
      </w:r>
      <w:r>
        <w:t>l</w:t>
      </w:r>
      <w:r w:rsidRPr="005503B4">
        <w:t xml:space="preserve"> comercio electrónico.</w:t>
      </w:r>
    </w:p>
    <w:p w14:paraId="2BBB6826" w14:textId="77777777" w:rsidR="00F262C2" w:rsidRPr="005503B4" w:rsidRDefault="00F262C2" w:rsidP="00F262C2">
      <w:r w:rsidRPr="005503B4">
        <w:t>En este orden de ideas, se encuentra que el crecimiento en los envíos individuales ha sido impulsado, principalmente, por el comportamiento de pequeños paquetes, que han crecido a tasas cercanas al 14,3% anual promedio, manteniéndose muy cercanos a los niveles observados en el 2015. Para el período 2015 – 2021, la tasa anual de crecimiento de envíos individuales pequeños ha sido del 3,3%.</w:t>
      </w:r>
    </w:p>
    <w:p w14:paraId="4F973F56" w14:textId="5ED62C8F" w:rsidR="00F262C2" w:rsidRDefault="00F262C2" w:rsidP="00F262C2">
      <w:r w:rsidRPr="005503B4">
        <w:t>El elemento que explica, en buena medida, este comportamiento lo constituye</w:t>
      </w:r>
      <w:r>
        <w:t xml:space="preserve"> el auge de</w:t>
      </w:r>
      <w:r w:rsidRPr="005503B4">
        <w:t xml:space="preserve"> las compras Internet,</w:t>
      </w:r>
      <w:r>
        <w:t xml:space="preserve"> y el</w:t>
      </w:r>
      <w:r w:rsidRPr="005503B4">
        <w:t xml:space="preserve"> comercio electrónico, que demandan la entrega de servicios de mensajería expresa. A este respecto, </w:t>
      </w:r>
      <w:r>
        <w:t>los envíos de piezas postales por el servicio de mensajería expresa</w:t>
      </w:r>
      <w:r w:rsidRPr="005503B4">
        <w:t xml:space="preserve">, constituyen el elemento potenciador del mercado de objetos postales, en el cual se han concentrado los operadores </w:t>
      </w:r>
      <w:proofErr w:type="gramStart"/>
      <w:r w:rsidRPr="005503B4">
        <w:t>del mismo</w:t>
      </w:r>
      <w:proofErr w:type="gramEnd"/>
      <w:r w:rsidRPr="005503B4">
        <w:t>.</w:t>
      </w:r>
    </w:p>
    <w:p w14:paraId="64983CE6" w14:textId="5A9621E9" w:rsidR="00B9705F" w:rsidRDefault="00B9705F" w:rsidP="00B9705F">
      <w:r>
        <w:t>A este respecto y como evidencia de lo anterior, la Cámara Colombiana de Comercio electrónico resalta en su primer informe del 2022 el notable aumento de las cifras de comercio electrónico en el último año</w:t>
      </w:r>
      <w:r w:rsidR="00F11573">
        <w:t>, planteando lo siguiente</w:t>
      </w:r>
      <w:r>
        <w:t xml:space="preserve">. </w:t>
      </w:r>
    </w:p>
    <w:p w14:paraId="59785146" w14:textId="32237EA2" w:rsidR="00B9705F" w:rsidRPr="005503B4" w:rsidRDefault="00B9705F" w:rsidP="00F11573">
      <w:pPr>
        <w:pStyle w:val="Citatextuallarga"/>
      </w:pPr>
      <w:r>
        <w:t xml:space="preserve"> “(…) el </w:t>
      </w:r>
      <w:r w:rsidRPr="00B9705F">
        <w:t>total de ventas en línea, incluyendo ventas minoristas y de servicios, para el primer trimestre de 2022, fue</w:t>
      </w:r>
      <w:r>
        <w:t xml:space="preserve"> </w:t>
      </w:r>
      <w:r w:rsidRPr="00B9705F">
        <w:t>aproximadamente de 12,2 billones, lo que se traduce en un aumento del 47,6% respecto al primer trimestre</w:t>
      </w:r>
      <w:r>
        <w:t xml:space="preserve"> </w:t>
      </w:r>
      <w:r w:rsidRPr="00B9705F">
        <w:t>de 2021 y de un 109,5 % respecto al mismo trimestre de 2020</w:t>
      </w:r>
      <w:r>
        <w:t xml:space="preserve"> (…). [Asimismo], e</w:t>
      </w:r>
      <w:r w:rsidRPr="00B9705F">
        <w:t>l número total de transacciones de ventas en línea, incluyendo ventas minoristas y de servicios, del primer</w:t>
      </w:r>
      <w:r>
        <w:t xml:space="preserve"> </w:t>
      </w:r>
      <w:r w:rsidRPr="00B9705F">
        <w:t>trimestre de 2022 fue aproximadamente de 79,1 millones, lo que se significa un incremento del 43,9% respecto</w:t>
      </w:r>
      <w:r>
        <w:t xml:space="preserve"> </w:t>
      </w:r>
      <w:r w:rsidRPr="00B9705F">
        <w:t>al primer trimestre de 2021 y de 142,3 % frente al mismo trimestre de 2020</w:t>
      </w:r>
      <w:r>
        <w:t xml:space="preserve"> (…)”</w:t>
      </w:r>
      <w:r w:rsidRPr="00B9705F">
        <w:t>.</w:t>
      </w:r>
      <w:r>
        <w:t xml:space="preserve"> </w:t>
      </w:r>
      <w:sdt>
        <w:sdtPr>
          <w:id w:val="732735613"/>
          <w:citation/>
        </w:sdtPr>
        <w:sdtEndPr/>
        <w:sdtContent>
          <w:r w:rsidR="008C6D6B">
            <w:fldChar w:fldCharType="begin"/>
          </w:r>
          <w:r w:rsidR="008C6D6B">
            <w:instrText xml:space="preserve">CITATION CCC \l 9226 </w:instrText>
          </w:r>
          <w:r w:rsidR="008C6D6B">
            <w:fldChar w:fldCharType="separate"/>
          </w:r>
          <w:r w:rsidR="00C57FCA">
            <w:rPr>
              <w:noProof/>
            </w:rPr>
            <w:t>(CCCE, 2022)</w:t>
          </w:r>
          <w:r w:rsidR="008C6D6B">
            <w:fldChar w:fldCharType="end"/>
          </w:r>
        </w:sdtContent>
      </w:sdt>
      <w:r w:rsidR="008C6D6B">
        <w:t>.</w:t>
      </w:r>
    </w:p>
    <w:p w14:paraId="7865B5A8" w14:textId="4ACC2654" w:rsidR="00F262C2" w:rsidRPr="005503B4" w:rsidRDefault="00F262C2" w:rsidP="00F262C2">
      <w:pPr>
        <w:pStyle w:val="TITcuadro"/>
      </w:pPr>
      <w:bookmarkStart w:id="190" w:name="_Ref101607785"/>
      <w:bookmarkStart w:id="191" w:name="_Toc101865452"/>
      <w:bookmarkStart w:id="192" w:name="_Toc104228725"/>
      <w:r w:rsidRPr="005503B4">
        <w:lastRenderedPageBreak/>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7</w:t>
      </w:r>
      <w:r w:rsidRPr="005503B4">
        <w:fldChar w:fldCharType="end"/>
      </w:r>
      <w:bookmarkEnd w:id="190"/>
      <w:r w:rsidRPr="005503B4">
        <w:t xml:space="preserve"> - Mercado de envíos individuales de los operadores de Mensajería Expresa - Miles de envíos</w:t>
      </w:r>
      <w:bookmarkEnd w:id="191"/>
      <w:bookmarkEnd w:id="192"/>
    </w:p>
    <w:p w14:paraId="70F6F20D" w14:textId="37B89ADD" w:rsidR="00F262C2" w:rsidRPr="005503B4" w:rsidRDefault="00635362" w:rsidP="00F262C2">
      <w:pPr>
        <w:pStyle w:val="Grfica"/>
      </w:pPr>
      <w:r>
        <w:rPr>
          <w:noProof/>
          <w:lang w:eastAsia="es-CO"/>
        </w:rPr>
        <w:drawing>
          <wp:inline distT="0" distB="0" distL="0" distR="0" wp14:anchorId="4019D7D8" wp14:editId="0D3AD26E">
            <wp:extent cx="5818505" cy="2923540"/>
            <wp:effectExtent l="0" t="0" r="10795" b="10160"/>
            <wp:docPr id="44" name="Gráfico 44">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B0DF06" w14:textId="77777777" w:rsidR="00F262C2" w:rsidRPr="005503B4" w:rsidRDefault="00F262C2" w:rsidP="00F262C2">
      <w:pPr>
        <w:pStyle w:val="FuentedeGrfica"/>
      </w:pPr>
      <w:r w:rsidRPr="005503B4">
        <w:t>FUENTE: Boletín trimestral de MinTIC al cuarto trimestre de 2021.</w:t>
      </w:r>
    </w:p>
    <w:p w14:paraId="3868BE39" w14:textId="33A5119B" w:rsidR="00F262C2" w:rsidRPr="005503B4" w:rsidRDefault="00F262C2" w:rsidP="00F262C2">
      <w:r w:rsidRPr="005503B4">
        <w:t xml:space="preserve">Como se puede apreciar en la </w:t>
      </w:r>
      <w:r w:rsidRPr="005503B4">
        <w:fldChar w:fldCharType="begin"/>
      </w:r>
      <w:r w:rsidRPr="005503B4">
        <w:instrText xml:space="preserve"> REF _Ref101607785 \h </w:instrText>
      </w:r>
      <w:r>
        <w:instrText xml:space="preserve"> \* MERGEFORMAT </w:instrText>
      </w:r>
      <w:r w:rsidRPr="005503B4">
        <w:fldChar w:fldCharType="separate"/>
      </w:r>
      <w:r w:rsidR="00C57FCA" w:rsidRPr="005503B4">
        <w:t xml:space="preserve">Gráfica </w:t>
      </w:r>
      <w:r w:rsidR="00C57FCA">
        <w:rPr>
          <w:noProof/>
        </w:rPr>
        <w:t>5</w:t>
      </w:r>
      <w:r w:rsidR="00C57FCA" w:rsidRPr="005503B4">
        <w:rPr>
          <w:noProof/>
        </w:rPr>
        <w:noBreakHyphen/>
      </w:r>
      <w:r w:rsidR="00C57FCA">
        <w:rPr>
          <w:noProof/>
        </w:rPr>
        <w:t>7</w:t>
      </w:r>
      <w:r w:rsidRPr="005503B4">
        <w:fldChar w:fldCharType="end"/>
      </w:r>
      <w:r w:rsidRPr="005503B4">
        <w:t xml:space="preserve">, </w:t>
      </w:r>
      <w:r>
        <w:t xml:space="preserve">las piezas </w:t>
      </w:r>
      <w:r w:rsidRPr="005503B4">
        <w:t>inferiores a los 2 kilo</w:t>
      </w:r>
      <w:r w:rsidR="00E4600F">
        <w:t>gramo</w:t>
      </w:r>
      <w:r w:rsidRPr="005503B4">
        <w:t>s</w:t>
      </w:r>
      <w:r>
        <w:t>, movilizadas por el servicio de mensajería expresa</w:t>
      </w:r>
      <w:r w:rsidRPr="005503B4">
        <w:t xml:space="preserve"> pasaron de 98,9 millones de envíos en 2014 a 76,1 millones en 2015, experimentando a partir de ese año un aumento constante anual promedio del 3,3%, mientras que los envíos </w:t>
      </w:r>
      <w:r w:rsidR="00FD5798">
        <w:t xml:space="preserve">postales </w:t>
      </w:r>
      <w:r w:rsidRPr="005503B4">
        <w:t xml:space="preserve">expresos de mayor tamaño </w:t>
      </w:r>
      <w:r w:rsidR="00FD5798">
        <w:t>(entre 2 y 5 kilo</w:t>
      </w:r>
      <w:r w:rsidR="00E4600F">
        <w:t>gramo</w:t>
      </w:r>
      <w:r w:rsidR="00FD5798">
        <w:t>s)</w:t>
      </w:r>
      <w:r w:rsidRPr="005503B4">
        <w:t>pasaron de 10,5 millones de envíos en 2014 a 29,7 y 26,8 millones en 2020 y 2021</w:t>
      </w:r>
      <w:r>
        <w:t>, respectivamente</w:t>
      </w:r>
      <w:r w:rsidRPr="005503B4">
        <w:t>.</w:t>
      </w:r>
    </w:p>
    <w:p w14:paraId="255670C4" w14:textId="1F00E9D4" w:rsidR="00F262C2" w:rsidRPr="005503B4" w:rsidRDefault="00F262C2" w:rsidP="00F262C2">
      <w:pPr>
        <w:rPr>
          <w:lang w:val="es-CO" w:eastAsia="es-ES"/>
        </w:rPr>
      </w:pPr>
      <w:r w:rsidRPr="005503B4">
        <w:rPr>
          <w:lang w:val="es-CO" w:eastAsia="es-ES"/>
        </w:rPr>
        <w:t>En materia de ingresos anuales generados, la importancia relativa de l</w:t>
      </w:r>
      <w:r>
        <w:rPr>
          <w:lang w:val="es-CO" w:eastAsia="es-ES"/>
        </w:rPr>
        <w:t>as piezas postales con peso</w:t>
      </w:r>
      <w:r w:rsidRPr="005503B4">
        <w:rPr>
          <w:lang w:val="es-CO" w:eastAsia="es-ES"/>
        </w:rPr>
        <w:t xml:space="preserve"> entre los 2 y los 5 kilo</w:t>
      </w:r>
      <w:r w:rsidR="00E4600F">
        <w:rPr>
          <w:lang w:val="es-CO" w:eastAsia="es-ES"/>
        </w:rPr>
        <w:t>gramo</w:t>
      </w:r>
      <w:r w:rsidRPr="005503B4">
        <w:rPr>
          <w:lang w:val="es-CO" w:eastAsia="es-ES"/>
        </w:rPr>
        <w:t xml:space="preserve">s ha venido creciendo de manera significativa en el portafolio de servicios de los operadores de mensajería expresa en el país, tal y como se puede apreciar en la </w:t>
      </w:r>
      <w:r w:rsidRPr="005503B4">
        <w:rPr>
          <w:lang w:val="es-CO" w:eastAsia="es-ES"/>
        </w:rPr>
        <w:fldChar w:fldCharType="begin"/>
      </w:r>
      <w:r w:rsidRPr="005503B4">
        <w:rPr>
          <w:lang w:val="es-CO" w:eastAsia="es-ES"/>
        </w:rPr>
        <w:instrText xml:space="preserve"> REF _Ref101608911 \h </w:instrText>
      </w:r>
      <w:r>
        <w:rPr>
          <w:lang w:val="es-CO" w:eastAsia="es-ES"/>
        </w:rPr>
        <w:instrText xml:space="preserve"> \* MERGEFORMAT </w:instrText>
      </w:r>
      <w:r w:rsidRPr="005503B4">
        <w:rPr>
          <w:lang w:val="es-CO" w:eastAsia="es-ES"/>
        </w:rPr>
      </w:r>
      <w:r w:rsidRPr="005503B4">
        <w:rPr>
          <w:lang w:val="es-CO" w:eastAsia="es-ES"/>
        </w:rPr>
        <w:fldChar w:fldCharType="separate"/>
      </w:r>
      <w:r w:rsidR="00C57FCA" w:rsidRPr="005503B4">
        <w:t xml:space="preserve">Gráfica </w:t>
      </w:r>
      <w:r w:rsidR="00C57FCA">
        <w:rPr>
          <w:noProof/>
        </w:rPr>
        <w:t>5</w:t>
      </w:r>
      <w:r w:rsidR="00C57FCA" w:rsidRPr="005503B4">
        <w:rPr>
          <w:noProof/>
        </w:rPr>
        <w:noBreakHyphen/>
      </w:r>
      <w:r w:rsidR="00C57FCA">
        <w:rPr>
          <w:noProof/>
        </w:rPr>
        <w:t>8</w:t>
      </w:r>
      <w:r w:rsidRPr="005503B4">
        <w:rPr>
          <w:lang w:val="es-CO" w:eastAsia="es-ES"/>
        </w:rPr>
        <w:fldChar w:fldCharType="end"/>
      </w:r>
      <w:r w:rsidRPr="005503B4">
        <w:rPr>
          <w:lang w:val="es-CO" w:eastAsia="es-ES"/>
        </w:rPr>
        <w:t xml:space="preserve"> que se presenta a continuación</w:t>
      </w:r>
      <w:r>
        <w:rPr>
          <w:lang w:val="es-CO" w:eastAsia="es-ES"/>
        </w:rPr>
        <w:t>,</w:t>
      </w:r>
      <w:r w:rsidRPr="005503B4">
        <w:rPr>
          <w:lang w:val="es-CO" w:eastAsia="es-ES"/>
        </w:rPr>
        <w:t xml:space="preserve"> </w:t>
      </w:r>
      <w:r>
        <w:rPr>
          <w:lang w:val="es-CO" w:eastAsia="es-ES"/>
        </w:rPr>
        <w:t>m</w:t>
      </w:r>
      <w:r w:rsidRPr="005503B4">
        <w:rPr>
          <w:lang w:val="es-CO" w:eastAsia="es-ES"/>
        </w:rPr>
        <w:t>ientras que en el año 2014, los ingresos provenientes de envíos de</w:t>
      </w:r>
      <w:r>
        <w:rPr>
          <w:lang w:val="es-CO" w:eastAsia="es-ES"/>
        </w:rPr>
        <w:t xml:space="preserve"> los envíos entre</w:t>
      </w:r>
      <w:r w:rsidRPr="005503B4">
        <w:rPr>
          <w:lang w:val="es-CO" w:eastAsia="es-ES"/>
        </w:rPr>
        <w:t>, 2 – 5 kilo</w:t>
      </w:r>
      <w:r w:rsidR="00E4600F">
        <w:rPr>
          <w:lang w:val="es-CO" w:eastAsia="es-ES"/>
        </w:rPr>
        <w:t>gramo</w:t>
      </w:r>
      <w:r w:rsidRPr="005503B4">
        <w:rPr>
          <w:lang w:val="es-CO" w:eastAsia="es-ES"/>
        </w:rPr>
        <w:t>s, ascendían, en pesos constantes, a los $177.480 millones, para el año 2021 ascendían ya a niveles de los $439.211 millones.</w:t>
      </w:r>
    </w:p>
    <w:p w14:paraId="6E9FE5B8" w14:textId="77A69F4A" w:rsidR="00F262C2" w:rsidRPr="005503B4" w:rsidRDefault="00F262C2" w:rsidP="003A2BB8">
      <w:pPr>
        <w:pStyle w:val="TITcuadro"/>
      </w:pPr>
      <w:bookmarkStart w:id="193" w:name="_Ref101608911"/>
      <w:bookmarkStart w:id="194" w:name="_Toc101865453"/>
      <w:bookmarkStart w:id="195" w:name="_Toc104228726"/>
      <w:r w:rsidRPr="005503B4">
        <w:lastRenderedPageBreak/>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8</w:t>
      </w:r>
      <w:r w:rsidRPr="005503B4">
        <w:fldChar w:fldCharType="end"/>
      </w:r>
      <w:bookmarkEnd w:id="193"/>
      <w:r w:rsidRPr="005503B4">
        <w:t xml:space="preserve"> - Mensajería expresa individual </w:t>
      </w:r>
      <w:r w:rsidR="003A2BB8">
        <w:t>–</w:t>
      </w:r>
      <w:r w:rsidRPr="005503B4">
        <w:t xml:space="preserve"> </w:t>
      </w:r>
      <w:proofErr w:type="gramStart"/>
      <w:r w:rsidRPr="005503B4">
        <w:t>Ingresos</w:t>
      </w:r>
      <w:bookmarkEnd w:id="194"/>
      <w:r w:rsidR="003A2BB8">
        <w:t xml:space="preserve">  </w:t>
      </w:r>
      <w:r w:rsidRPr="003A2BB8">
        <w:rPr>
          <w:b w:val="0"/>
          <w:bCs/>
          <w:sz w:val="16"/>
          <w:szCs w:val="14"/>
        </w:rPr>
        <w:t>(</w:t>
      </w:r>
      <w:proofErr w:type="gramEnd"/>
      <w:r w:rsidRPr="003A2BB8">
        <w:rPr>
          <w:b w:val="0"/>
          <w:bCs/>
          <w:sz w:val="16"/>
          <w:szCs w:val="14"/>
        </w:rPr>
        <w:t>M</w:t>
      </w:r>
      <w:r w:rsidR="002D3349" w:rsidRPr="003A2BB8">
        <w:rPr>
          <w:b w:val="0"/>
          <w:bCs/>
          <w:sz w:val="16"/>
          <w:szCs w:val="14"/>
        </w:rPr>
        <w:t>illones</w:t>
      </w:r>
      <w:r w:rsidRPr="003A2BB8">
        <w:rPr>
          <w:b w:val="0"/>
          <w:bCs/>
          <w:sz w:val="16"/>
          <w:szCs w:val="14"/>
        </w:rPr>
        <w:t xml:space="preserve"> de </w:t>
      </w:r>
      <w:r w:rsidR="003A2BB8" w:rsidRPr="003A2BB8">
        <w:rPr>
          <w:b w:val="0"/>
          <w:bCs/>
          <w:sz w:val="16"/>
          <w:szCs w:val="14"/>
        </w:rPr>
        <w:t>pesos</w:t>
      </w:r>
      <w:r w:rsidRPr="003A2BB8">
        <w:rPr>
          <w:b w:val="0"/>
          <w:bCs/>
          <w:sz w:val="16"/>
          <w:szCs w:val="14"/>
        </w:rPr>
        <w:t xml:space="preserve"> reales de diciembre de 2021)</w:t>
      </w:r>
      <w:bookmarkEnd w:id="195"/>
    </w:p>
    <w:p w14:paraId="073CB12B" w14:textId="2798E9D1" w:rsidR="00F262C2" w:rsidRPr="005503B4" w:rsidRDefault="00635362" w:rsidP="00F262C2">
      <w:pPr>
        <w:pStyle w:val="Grfica"/>
        <w:rPr>
          <w:sz w:val="16"/>
          <w:szCs w:val="18"/>
        </w:rPr>
      </w:pPr>
      <w:r>
        <w:rPr>
          <w:noProof/>
          <w:lang w:eastAsia="es-CO"/>
        </w:rPr>
        <w:drawing>
          <wp:inline distT="0" distB="0" distL="0" distR="0" wp14:anchorId="304EBB69" wp14:editId="4340E4E2">
            <wp:extent cx="5849620" cy="2577465"/>
            <wp:effectExtent l="0" t="0" r="17780" b="13335"/>
            <wp:docPr id="461" name="Gráfico 461">
              <a:extLst xmlns:a="http://schemas.openxmlformats.org/drawingml/2006/main">
                <a:ext uri="{FF2B5EF4-FFF2-40B4-BE49-F238E27FC236}">
                  <a16:creationId xmlns:a16="http://schemas.microsoft.com/office/drawing/2014/main" id="{00000000-0008-0000-0A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658115" w14:textId="77777777" w:rsidR="00F262C2" w:rsidRPr="005503B4" w:rsidRDefault="00F262C2" w:rsidP="00F262C2">
      <w:pPr>
        <w:pStyle w:val="FuentedeGrfica"/>
      </w:pPr>
      <w:r w:rsidRPr="005503B4">
        <w:t>FUENTE: Boletín trimestral de MinTIC.</w:t>
      </w:r>
    </w:p>
    <w:p w14:paraId="5715E0E3" w14:textId="7496E227" w:rsidR="00F262C2" w:rsidRPr="005503B4" w:rsidRDefault="00F262C2" w:rsidP="00F262C2">
      <w:pPr>
        <w:rPr>
          <w:lang w:val="es-CO" w:eastAsia="es-ES"/>
        </w:rPr>
      </w:pPr>
      <w:r>
        <w:rPr>
          <w:lang w:val="es-CO" w:eastAsia="es-ES"/>
        </w:rPr>
        <w:t>De otro lado, l</w:t>
      </w:r>
      <w:r w:rsidRPr="005503B4">
        <w:rPr>
          <w:lang w:val="es-CO" w:eastAsia="es-ES"/>
        </w:rPr>
        <w:t xml:space="preserve">a </w:t>
      </w:r>
      <w:r w:rsidRPr="005503B4">
        <w:rPr>
          <w:lang w:val="es-CO" w:eastAsia="es-ES"/>
        </w:rPr>
        <w:fldChar w:fldCharType="begin"/>
      </w:r>
      <w:r w:rsidRPr="005503B4">
        <w:rPr>
          <w:lang w:val="es-CO" w:eastAsia="es-ES"/>
        </w:rPr>
        <w:instrText xml:space="preserve"> REF _Ref101645244 \h </w:instrText>
      </w:r>
      <w:r>
        <w:rPr>
          <w:lang w:val="es-CO" w:eastAsia="es-ES"/>
        </w:rPr>
        <w:instrText xml:space="preserve"> \* MERGEFORMAT </w:instrText>
      </w:r>
      <w:r w:rsidRPr="005503B4">
        <w:rPr>
          <w:lang w:val="es-CO" w:eastAsia="es-ES"/>
        </w:rPr>
      </w:r>
      <w:r w:rsidRPr="005503B4">
        <w:rPr>
          <w:lang w:val="es-CO" w:eastAsia="es-ES"/>
        </w:rPr>
        <w:fldChar w:fldCharType="separate"/>
      </w:r>
      <w:r w:rsidR="00C57FCA" w:rsidRPr="005503B4">
        <w:t xml:space="preserve">Gráfica </w:t>
      </w:r>
      <w:r w:rsidR="00C57FCA">
        <w:rPr>
          <w:noProof/>
        </w:rPr>
        <w:t>5</w:t>
      </w:r>
      <w:r w:rsidR="00C57FCA" w:rsidRPr="005503B4">
        <w:rPr>
          <w:noProof/>
        </w:rPr>
        <w:noBreakHyphen/>
      </w:r>
      <w:r w:rsidR="00C57FCA">
        <w:rPr>
          <w:noProof/>
        </w:rPr>
        <w:t>9</w:t>
      </w:r>
      <w:r w:rsidRPr="005503B4">
        <w:rPr>
          <w:lang w:val="es-CO" w:eastAsia="es-ES"/>
        </w:rPr>
        <w:fldChar w:fldCharType="end"/>
      </w:r>
      <w:r w:rsidRPr="005503B4">
        <w:rPr>
          <w:lang w:val="es-CO" w:eastAsia="es-ES"/>
        </w:rPr>
        <w:t xml:space="preserve"> muestra el aumento de la importancia relativa de envíos con peso entre los 2 y los 5 kilogramos para los operadores de Mensajería Expresa en Colombia. Mientras que en el 2014 este tipo de envíos representaba</w:t>
      </w:r>
      <w:r>
        <w:rPr>
          <w:lang w:val="es-CO" w:eastAsia="es-ES"/>
        </w:rPr>
        <w:t>, de una parte,</w:t>
      </w:r>
      <w:r w:rsidRPr="005503B4">
        <w:rPr>
          <w:lang w:val="es-CO" w:eastAsia="es-ES"/>
        </w:rPr>
        <w:t xml:space="preserve"> el 9,3%</w:t>
      </w:r>
      <w:r w:rsidR="00F5340B">
        <w:rPr>
          <w:rStyle w:val="Refdenotaalpie"/>
          <w:lang w:val="es-CO" w:eastAsia="es-ES"/>
        </w:rPr>
        <w:footnoteReference w:id="12"/>
      </w:r>
      <w:r w:rsidRPr="005503B4">
        <w:rPr>
          <w:lang w:val="es-CO" w:eastAsia="es-ES"/>
        </w:rPr>
        <w:t xml:space="preserve"> de los envíos y</w:t>
      </w:r>
      <w:r>
        <w:rPr>
          <w:lang w:val="es-CO" w:eastAsia="es-ES"/>
        </w:rPr>
        <w:t xml:space="preserve">, de otro lado </w:t>
      </w:r>
      <w:r w:rsidRPr="005503B4">
        <w:rPr>
          <w:lang w:val="es-CO" w:eastAsia="es-ES"/>
        </w:rPr>
        <w:t>el 23,2% de los ingresos</w:t>
      </w:r>
      <w:r>
        <w:rPr>
          <w:lang w:val="es-CO" w:eastAsia="es-ES"/>
        </w:rPr>
        <w:t xml:space="preserve"> para los</w:t>
      </w:r>
      <w:r w:rsidRPr="005503B4">
        <w:rPr>
          <w:lang w:val="es-CO" w:eastAsia="es-ES"/>
        </w:rPr>
        <w:t xml:space="preserve"> operadores</w:t>
      </w:r>
      <w:r>
        <w:rPr>
          <w:lang w:val="es-CO" w:eastAsia="es-ES"/>
        </w:rPr>
        <w:t>.</w:t>
      </w:r>
      <w:r w:rsidRPr="005503B4">
        <w:rPr>
          <w:lang w:val="es-CO" w:eastAsia="es-ES"/>
        </w:rPr>
        <w:t xml:space="preserve"> </w:t>
      </w:r>
      <w:r>
        <w:rPr>
          <w:lang w:val="es-CO" w:eastAsia="es-ES"/>
        </w:rPr>
        <w:t>E</w:t>
      </w:r>
      <w:r w:rsidRPr="005503B4">
        <w:rPr>
          <w:lang w:val="es-CO" w:eastAsia="es-ES"/>
        </w:rPr>
        <w:t>n el 2017, la participación</w:t>
      </w:r>
      <w:r w:rsidR="00635362">
        <w:rPr>
          <w:lang w:val="es-CO" w:eastAsia="es-ES"/>
        </w:rPr>
        <w:t xml:space="preserve"> </w:t>
      </w:r>
      <w:r w:rsidRPr="005503B4">
        <w:rPr>
          <w:lang w:val="es-CO" w:eastAsia="es-ES"/>
        </w:rPr>
        <w:t xml:space="preserve">de </w:t>
      </w:r>
      <w:r>
        <w:rPr>
          <w:lang w:val="es-CO" w:eastAsia="es-ES"/>
        </w:rPr>
        <w:t>los envíos</w:t>
      </w:r>
      <w:r w:rsidRPr="005503B4">
        <w:rPr>
          <w:lang w:val="es-CO" w:eastAsia="es-ES"/>
        </w:rPr>
        <w:t xml:space="preserve"> entre 2 y 5 kilo</w:t>
      </w:r>
      <w:r w:rsidR="00E4600F">
        <w:rPr>
          <w:lang w:val="es-CO" w:eastAsia="es-ES"/>
        </w:rPr>
        <w:t>gramo</w:t>
      </w:r>
      <w:r w:rsidRPr="005503B4">
        <w:rPr>
          <w:lang w:val="es-CO" w:eastAsia="es-ES"/>
        </w:rPr>
        <w:t xml:space="preserve">s ya ascendía al 19% y al 26,8% de los ingresos de los operadores de mensajería expresa, mientras que </w:t>
      </w:r>
      <w:r>
        <w:rPr>
          <w:lang w:val="es-CO" w:eastAsia="es-ES"/>
        </w:rPr>
        <w:t>para los años</w:t>
      </w:r>
      <w:r w:rsidRPr="005503B4">
        <w:rPr>
          <w:lang w:val="es-CO" w:eastAsia="es-ES"/>
        </w:rPr>
        <w:t xml:space="preserve"> el 2020 y 2021, los envíos entre 2 y 5 kilo</w:t>
      </w:r>
      <w:r w:rsidR="00E4600F">
        <w:rPr>
          <w:lang w:val="es-CO" w:eastAsia="es-ES"/>
        </w:rPr>
        <w:t>gram</w:t>
      </w:r>
      <w:r w:rsidR="00EA4784">
        <w:rPr>
          <w:lang w:val="es-CO" w:eastAsia="es-ES"/>
        </w:rPr>
        <w:t>o</w:t>
      </w:r>
      <w:r w:rsidRPr="005503B4">
        <w:rPr>
          <w:lang w:val="es-CO" w:eastAsia="es-ES"/>
        </w:rPr>
        <w:t xml:space="preserve">s representaban el 27,3% y el 22,5% </w:t>
      </w:r>
      <w:r>
        <w:rPr>
          <w:lang w:val="es-CO" w:eastAsia="es-ES"/>
        </w:rPr>
        <w:t xml:space="preserve">respectivamente </w:t>
      </w:r>
      <w:r w:rsidRPr="005503B4">
        <w:rPr>
          <w:lang w:val="es-CO" w:eastAsia="es-ES"/>
        </w:rPr>
        <w:t xml:space="preserve">y el 37,9% y el 35,1% de los ingresos de los operadores de este segmento del mercado, como </w:t>
      </w:r>
      <w:r>
        <w:rPr>
          <w:lang w:val="es-CO" w:eastAsia="es-ES"/>
        </w:rPr>
        <w:t xml:space="preserve">puede evidenciarse en </w:t>
      </w:r>
      <w:r w:rsidRPr="005503B4">
        <w:rPr>
          <w:lang w:val="es-CO" w:eastAsia="es-ES"/>
        </w:rPr>
        <w:t xml:space="preserve">la </w:t>
      </w:r>
      <w:r w:rsidRPr="005503B4">
        <w:rPr>
          <w:lang w:val="es-CO" w:eastAsia="es-ES"/>
        </w:rPr>
        <w:fldChar w:fldCharType="begin"/>
      </w:r>
      <w:r w:rsidRPr="005503B4">
        <w:rPr>
          <w:lang w:val="es-CO" w:eastAsia="es-ES"/>
        </w:rPr>
        <w:instrText xml:space="preserve"> REF _Ref101645244 \h </w:instrText>
      </w:r>
      <w:r>
        <w:rPr>
          <w:lang w:val="es-CO" w:eastAsia="es-ES"/>
        </w:rPr>
        <w:instrText xml:space="preserve"> \* MERGEFORMAT </w:instrText>
      </w:r>
      <w:r w:rsidRPr="005503B4">
        <w:rPr>
          <w:lang w:val="es-CO" w:eastAsia="es-ES"/>
        </w:rPr>
      </w:r>
      <w:r w:rsidRPr="005503B4">
        <w:rPr>
          <w:lang w:val="es-CO" w:eastAsia="es-ES"/>
        </w:rPr>
        <w:fldChar w:fldCharType="separate"/>
      </w:r>
      <w:r w:rsidR="00C57FCA" w:rsidRPr="005503B4">
        <w:t xml:space="preserve">Gráfica </w:t>
      </w:r>
      <w:r w:rsidR="00C57FCA">
        <w:rPr>
          <w:noProof/>
        </w:rPr>
        <w:t>5</w:t>
      </w:r>
      <w:r w:rsidR="00C57FCA" w:rsidRPr="005503B4">
        <w:rPr>
          <w:noProof/>
        </w:rPr>
        <w:noBreakHyphen/>
      </w:r>
      <w:r w:rsidR="00C57FCA">
        <w:rPr>
          <w:noProof/>
        </w:rPr>
        <w:t>9</w:t>
      </w:r>
      <w:r w:rsidRPr="005503B4">
        <w:rPr>
          <w:lang w:val="es-CO" w:eastAsia="es-ES"/>
        </w:rPr>
        <w:fldChar w:fldCharType="end"/>
      </w:r>
      <w:r>
        <w:rPr>
          <w:lang w:val="es-CO" w:eastAsia="es-ES"/>
        </w:rPr>
        <w:t>.</w:t>
      </w:r>
    </w:p>
    <w:p w14:paraId="7D6151A2" w14:textId="1FF46FE3" w:rsidR="00F262C2" w:rsidRPr="005503B4" w:rsidRDefault="00F262C2" w:rsidP="00F262C2">
      <w:pPr>
        <w:pStyle w:val="TITcuadro"/>
        <w:rPr>
          <w:lang w:eastAsia="es-ES"/>
        </w:rPr>
      </w:pPr>
      <w:bookmarkStart w:id="196" w:name="_Ref101645244"/>
      <w:bookmarkStart w:id="197" w:name="_Toc101865454"/>
      <w:bookmarkStart w:id="198" w:name="_Toc104228727"/>
      <w:r w:rsidRPr="005503B4">
        <w:lastRenderedPageBreak/>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9</w:t>
      </w:r>
      <w:r w:rsidRPr="005503B4">
        <w:fldChar w:fldCharType="end"/>
      </w:r>
      <w:bookmarkEnd w:id="196"/>
      <w:r w:rsidRPr="005503B4">
        <w:t xml:space="preserve"> – </w:t>
      </w:r>
      <w:r w:rsidRPr="005503B4">
        <w:rPr>
          <w:lang w:eastAsia="es-ES"/>
        </w:rPr>
        <w:t>Ingresos</w:t>
      </w:r>
      <w:r w:rsidRPr="005503B4">
        <w:t xml:space="preserve"> reales</w:t>
      </w:r>
      <w:r w:rsidRPr="005503B4">
        <w:rPr>
          <w:lang w:eastAsia="es-ES"/>
        </w:rPr>
        <w:t xml:space="preserve"> del mercado de mensajería expresa individual</w:t>
      </w:r>
      <w:r w:rsidRPr="005503B4">
        <w:t xml:space="preserve"> – </w:t>
      </w:r>
      <w:r w:rsidRPr="005503B4">
        <w:rPr>
          <w:sz w:val="16"/>
          <w:szCs w:val="14"/>
        </w:rPr>
        <w:t>Millones de $ (diciembre 2021 = 100)</w:t>
      </w:r>
      <w:bookmarkEnd w:id="197"/>
      <w:bookmarkEnd w:id="198"/>
    </w:p>
    <w:p w14:paraId="1985A6A5" w14:textId="6E033487" w:rsidR="00F262C2" w:rsidRPr="005503B4" w:rsidRDefault="001645BD" w:rsidP="00F262C2">
      <w:pPr>
        <w:pStyle w:val="Grfica"/>
        <w:ind w:left="851" w:hanging="425"/>
        <w:jc w:val="left"/>
        <w:rPr>
          <w:sz w:val="16"/>
          <w:szCs w:val="18"/>
        </w:rPr>
      </w:pPr>
      <w:r>
        <w:rPr>
          <w:noProof/>
          <w:lang w:eastAsia="es-CO"/>
        </w:rPr>
        <w:drawing>
          <wp:inline distT="0" distB="0" distL="0" distR="0" wp14:anchorId="0C032099" wp14:editId="3EC9385C">
            <wp:extent cx="5849620" cy="3858895"/>
            <wp:effectExtent l="0" t="0" r="17780" b="8255"/>
            <wp:docPr id="463" name="Gráfico 463">
              <a:extLst xmlns:a="http://schemas.openxmlformats.org/drawingml/2006/main">
                <a:ext uri="{FF2B5EF4-FFF2-40B4-BE49-F238E27FC236}">
                  <a16:creationId xmlns:a16="http://schemas.microsoft.com/office/drawing/2014/main" id="{F2CA2077-C3F1-4244-AC99-A172C1130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56C5E8" w14:textId="77777777" w:rsidR="00F262C2" w:rsidRPr="005503B4" w:rsidRDefault="00F262C2" w:rsidP="00F262C2">
      <w:pPr>
        <w:pStyle w:val="FuentedeGrfica"/>
      </w:pPr>
      <w:r w:rsidRPr="005503B4">
        <w:t>FUENTE: Boletín trimestral de MinTIC.</w:t>
      </w:r>
    </w:p>
    <w:p w14:paraId="16F33771" w14:textId="0E3D7484" w:rsidR="00F262C2" w:rsidRDefault="004B0014" w:rsidP="00F262C2">
      <w:pPr>
        <w:pStyle w:val="Ttulo3"/>
      </w:pPr>
      <w:bookmarkStart w:id="199" w:name="_Toc101727636"/>
      <w:bookmarkStart w:id="200" w:name="_Toc101865391"/>
      <w:bookmarkStart w:id="201" w:name="_Toc102393288"/>
      <w:bookmarkStart w:id="202" w:name="_Toc104272149"/>
      <w:r w:rsidRPr="004B0014">
        <w:t xml:space="preserve">El mercado de envíos individuales </w:t>
      </w:r>
      <w:r w:rsidR="001645BD">
        <w:t>menores de 2 kilogramos</w:t>
      </w:r>
      <w:r w:rsidR="00F262C2" w:rsidRPr="001645BD">
        <w:t>.</w:t>
      </w:r>
      <w:bookmarkEnd w:id="199"/>
      <w:bookmarkEnd w:id="200"/>
      <w:bookmarkEnd w:id="201"/>
      <w:bookmarkEnd w:id="202"/>
    </w:p>
    <w:p w14:paraId="0BA29B95" w14:textId="610AE0BC" w:rsidR="00F262C2" w:rsidRDefault="00F262C2" w:rsidP="00F262C2">
      <w:r w:rsidRPr="005503B4">
        <w:t xml:space="preserve">Con base en el análisis antes realizado y considerando las tendencias y hallazgos del mercado, la </w:t>
      </w:r>
      <w:r w:rsidRPr="005503B4">
        <w:fldChar w:fldCharType="begin"/>
      </w:r>
      <w:r w:rsidRPr="005503B4">
        <w:instrText xml:space="preserve"> REF _Ref101779482 \h </w:instrText>
      </w:r>
      <w:r>
        <w:instrText xml:space="preserve"> \* MERGEFORMAT </w:instrText>
      </w:r>
      <w:r w:rsidRPr="005503B4">
        <w:fldChar w:fldCharType="separate"/>
      </w:r>
      <w:r w:rsidR="00C57FCA" w:rsidRPr="005503B4">
        <w:t xml:space="preserve">Gráfica </w:t>
      </w:r>
      <w:r w:rsidR="00C57FCA">
        <w:rPr>
          <w:noProof/>
        </w:rPr>
        <w:t>5</w:t>
      </w:r>
      <w:r w:rsidR="00C57FCA" w:rsidRPr="005503B4">
        <w:rPr>
          <w:noProof/>
        </w:rPr>
        <w:noBreakHyphen/>
      </w:r>
      <w:r w:rsidR="00C57FCA">
        <w:rPr>
          <w:noProof/>
        </w:rPr>
        <w:t>10</w:t>
      </w:r>
      <w:r w:rsidRPr="005503B4">
        <w:fldChar w:fldCharType="end"/>
      </w:r>
      <w:r w:rsidRPr="005503B4">
        <w:t xml:space="preserve"> presenta la proyección del número de envíos para el período 2022 – 202</w:t>
      </w:r>
      <w:r w:rsidR="000F0708">
        <w:t>4</w:t>
      </w:r>
      <w:r w:rsidRPr="005503B4">
        <w:t>. Como se aprecia a continuación, se espera que los envíos crezcan a una tasa del 1,5% promedio anual a lo largo del período.</w:t>
      </w:r>
    </w:p>
    <w:p w14:paraId="60C40E44" w14:textId="342055AF" w:rsidR="00F459A1" w:rsidRPr="005503B4" w:rsidRDefault="00F459A1" w:rsidP="00F459A1">
      <w:pPr>
        <w:rPr>
          <w:lang w:val="es-CO" w:eastAsia="es-ES"/>
        </w:rPr>
      </w:pPr>
      <w:r w:rsidRPr="005503B4">
        <w:rPr>
          <w:lang w:val="es-CO" w:eastAsia="es-ES"/>
        </w:rPr>
        <w:t xml:space="preserve">Con base en la anterior información, en la </w:t>
      </w:r>
      <w:r w:rsidRPr="005503B4">
        <w:rPr>
          <w:lang w:val="es-CO" w:eastAsia="es-ES"/>
        </w:rPr>
        <w:fldChar w:fldCharType="begin"/>
      </w:r>
      <w:r w:rsidRPr="005503B4">
        <w:rPr>
          <w:lang w:val="es-CO" w:eastAsia="es-ES"/>
        </w:rPr>
        <w:instrText xml:space="preserve"> REF _Ref101815913 \h </w:instrText>
      </w:r>
      <w:r>
        <w:rPr>
          <w:lang w:val="es-CO" w:eastAsia="es-ES"/>
        </w:rPr>
        <w:instrText xml:space="preserve"> \* MERGEFORMAT </w:instrText>
      </w:r>
      <w:r w:rsidRPr="005503B4">
        <w:rPr>
          <w:lang w:val="es-CO" w:eastAsia="es-ES"/>
        </w:rPr>
      </w:r>
      <w:r w:rsidRPr="005503B4">
        <w:rPr>
          <w:lang w:val="es-CO" w:eastAsia="es-ES"/>
        </w:rPr>
        <w:fldChar w:fldCharType="separate"/>
      </w:r>
      <w:r w:rsidR="00C57FCA" w:rsidRPr="005503B4">
        <w:t xml:space="preserve">Gráfica </w:t>
      </w:r>
      <w:r w:rsidR="00C57FCA">
        <w:rPr>
          <w:noProof/>
        </w:rPr>
        <w:t>5</w:t>
      </w:r>
      <w:r w:rsidR="00C57FCA" w:rsidRPr="005503B4">
        <w:rPr>
          <w:noProof/>
        </w:rPr>
        <w:noBreakHyphen/>
      </w:r>
      <w:r w:rsidR="00C57FCA">
        <w:rPr>
          <w:noProof/>
        </w:rPr>
        <w:t>11</w:t>
      </w:r>
      <w:r w:rsidRPr="005503B4">
        <w:rPr>
          <w:lang w:val="es-CO" w:eastAsia="es-ES"/>
        </w:rPr>
        <w:fldChar w:fldCharType="end"/>
      </w:r>
      <w:r w:rsidRPr="005503B4">
        <w:rPr>
          <w:lang w:val="es-CO" w:eastAsia="es-ES"/>
        </w:rPr>
        <w:t xml:space="preserve"> se presentan los ingresos que se prevé recibirán los operadores en el período 2022 – 202</w:t>
      </w:r>
      <w:r w:rsidR="000F0708">
        <w:rPr>
          <w:lang w:val="es-CO" w:eastAsia="es-ES"/>
        </w:rPr>
        <w:t>4</w:t>
      </w:r>
      <w:r w:rsidRPr="005503B4">
        <w:rPr>
          <w:lang w:val="es-CO" w:eastAsia="es-ES"/>
        </w:rPr>
        <w:t xml:space="preserve"> en pesos constantes de diciembre de 2021.</w:t>
      </w:r>
      <w:r w:rsidR="001565BC">
        <w:rPr>
          <w:lang w:val="es-CO" w:eastAsia="es-ES"/>
        </w:rPr>
        <w:t xml:space="preserve"> </w:t>
      </w:r>
      <w:r w:rsidRPr="005503B4">
        <w:t xml:space="preserve">A continuación, </w:t>
      </w:r>
      <w:r>
        <w:t xml:space="preserve">con base en </w:t>
      </w:r>
      <w:r w:rsidRPr="005503B4">
        <w:t>el modelo</w:t>
      </w:r>
      <w:r>
        <w:t xml:space="preserve"> y análisis que se plantearon en la sección </w:t>
      </w:r>
      <w:r w:rsidRPr="005503B4">
        <w:fldChar w:fldCharType="begin"/>
      </w:r>
      <w:r w:rsidRPr="005503B4">
        <w:instrText xml:space="preserve"> REF _Ref101847856 \r \h </w:instrText>
      </w:r>
      <w:r>
        <w:instrText xml:space="preserve"> \* MERGEFORMAT </w:instrText>
      </w:r>
      <w:r w:rsidRPr="005503B4">
        <w:fldChar w:fldCharType="separate"/>
      </w:r>
      <w:r w:rsidR="00C57FCA">
        <w:t>5.1.2</w:t>
      </w:r>
      <w:r w:rsidRPr="005503B4">
        <w:fldChar w:fldCharType="end"/>
      </w:r>
      <w:r>
        <w:t xml:space="preserve"> se calculan </w:t>
      </w:r>
      <w:r w:rsidRPr="005503B4">
        <w:t xml:space="preserve">las tendencias </w:t>
      </w:r>
      <w:r>
        <w:t>sobre</w:t>
      </w:r>
      <w:r w:rsidRPr="005503B4">
        <w:t xml:space="preserve"> el total de envíos de mensajería, entre 2 y 5 kilogramos hasta el año 202</w:t>
      </w:r>
      <w:r w:rsidR="000F0708">
        <w:t>4</w:t>
      </w:r>
      <w:r w:rsidRPr="005503B4">
        <w:t>. Nótese que para el año 2022 se prevé el envío total de 40,7 millones de paquetes, de los cuales 34,8 son para el mercado nacional; los restantes 5,9 millones corresponden a envíos internacionales, tanto entrantes como</w:t>
      </w:r>
      <w:r>
        <w:t xml:space="preserve"> salientes.</w:t>
      </w:r>
      <w:r w:rsidRPr="005503B4">
        <w:t xml:space="preserve"> </w:t>
      </w:r>
    </w:p>
    <w:p w14:paraId="78375913" w14:textId="5E46E942" w:rsidR="00F262C2" w:rsidRPr="005503B4" w:rsidRDefault="00F262C2" w:rsidP="00801D25">
      <w:pPr>
        <w:pStyle w:val="TITcuadro"/>
        <w:ind w:right="281" w:hanging="567"/>
        <w:rPr>
          <w:noProof/>
        </w:rPr>
      </w:pPr>
      <w:bookmarkStart w:id="203" w:name="_Ref101779482"/>
      <w:bookmarkStart w:id="204" w:name="_Toc101865455"/>
      <w:bookmarkStart w:id="205" w:name="_Toc104228728"/>
      <w:r w:rsidRPr="005503B4">
        <w:lastRenderedPageBreak/>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10</w:t>
      </w:r>
      <w:r w:rsidRPr="005503B4">
        <w:fldChar w:fldCharType="end"/>
      </w:r>
      <w:bookmarkEnd w:id="203"/>
      <w:r w:rsidRPr="005503B4">
        <w:t xml:space="preserve"> - Mensajería Expresa - Número de envíos individuales menores a 2 kilo</w:t>
      </w:r>
      <w:r w:rsidR="00EA4784">
        <w:t>gramo</w:t>
      </w:r>
      <w:r w:rsidRPr="005503B4">
        <w:t>s - 2014 - 20</w:t>
      </w:r>
      <w:bookmarkEnd w:id="204"/>
      <w:r w:rsidR="00801D25">
        <w:t>24</w:t>
      </w:r>
      <w:bookmarkEnd w:id="205"/>
    </w:p>
    <w:p w14:paraId="7E6125B6" w14:textId="489A17E2" w:rsidR="00F262C2" w:rsidRPr="005503B4" w:rsidRDefault="001D2A13" w:rsidP="00F262C2">
      <w:pPr>
        <w:pStyle w:val="Grfica"/>
      </w:pPr>
      <w:r>
        <w:rPr>
          <w:noProof/>
          <w:lang w:eastAsia="es-CO"/>
        </w:rPr>
        <mc:AlternateContent>
          <mc:Choice Requires="wps">
            <w:drawing>
              <wp:anchor distT="0" distB="0" distL="114300" distR="114300" simplePos="0" relativeHeight="251731456" behindDoc="0" locked="0" layoutInCell="1" allowOverlap="1" wp14:anchorId="0D5A1FDD" wp14:editId="10D38431">
                <wp:simplePos x="0" y="0"/>
                <wp:positionH relativeFrom="column">
                  <wp:posOffset>4224464</wp:posOffset>
                </wp:positionH>
                <wp:positionV relativeFrom="paragraph">
                  <wp:posOffset>202099</wp:posOffset>
                </wp:positionV>
                <wp:extent cx="0" cy="2524125"/>
                <wp:effectExtent l="0" t="0" r="38100" b="9525"/>
                <wp:wrapNone/>
                <wp:docPr id="39" name="Conector recto 47"/>
                <wp:cNvGraphicFramePr/>
                <a:graphic xmlns:a="http://schemas.openxmlformats.org/drawingml/2006/main">
                  <a:graphicData uri="http://schemas.microsoft.com/office/word/2010/wordprocessingShape">
                    <wps:wsp>
                      <wps:cNvCnPr/>
                      <wps:spPr>
                        <a:xfrm>
                          <a:off x="0" y="0"/>
                          <a:ext cx="0" cy="2524125"/>
                        </a:xfrm>
                        <a:prstGeom prst="line">
                          <a:avLst/>
                        </a:prstGeom>
                        <a:ln w="15875">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5A753151" id="Conector recto 47"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15.9pt" to="332.65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" strokecolor="#a5a5a5 [2092]" strokeweight="1.25pt">
                <v:stroke dashstyle="dash" joinstyle="miter"/>
              </v:line>
            </w:pict>
          </mc:Fallback>
        </mc:AlternateContent>
      </w:r>
      <w:r>
        <w:rPr>
          <w:noProof/>
          <w:lang w:eastAsia="es-CO"/>
        </w:rPr>
        <w:drawing>
          <wp:inline distT="0" distB="0" distL="0" distR="0" wp14:anchorId="71F4436B" wp14:editId="74EEFFF4">
            <wp:extent cx="5849620" cy="3044825"/>
            <wp:effectExtent l="0" t="0" r="17780" b="317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F0A20A" w14:textId="6FF71A71" w:rsidR="00F262C2" w:rsidRPr="005503B4" w:rsidRDefault="00F262C2" w:rsidP="00F262C2">
      <w:pPr>
        <w:pStyle w:val="FuentedeGrfica"/>
        <w:ind w:right="281" w:hanging="1276"/>
      </w:pPr>
      <w:r w:rsidRPr="005503B4">
        <w:t>FUENTE:    Boletín trimestral de MinTIC. Proyecciones 2022 - 202</w:t>
      </w:r>
      <w:r w:rsidR="000F0708">
        <w:t>4</w:t>
      </w:r>
      <w:r w:rsidRPr="005503B4">
        <w:t xml:space="preserve"> del modelo de proyección postal del MinTIC.</w:t>
      </w:r>
    </w:p>
    <w:p w14:paraId="4B4F3074" w14:textId="71632A0F" w:rsidR="00F262C2" w:rsidRPr="005503B4" w:rsidRDefault="00F262C2" w:rsidP="00F262C2">
      <w:pPr>
        <w:pStyle w:val="TITcuadro"/>
        <w:rPr>
          <w:noProof/>
        </w:rPr>
      </w:pPr>
      <w:bookmarkStart w:id="206" w:name="_Ref101815913"/>
      <w:bookmarkStart w:id="207" w:name="_Toc101865456"/>
      <w:bookmarkStart w:id="208" w:name="_Toc104228729"/>
      <w:r w:rsidRPr="005503B4">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11</w:t>
      </w:r>
      <w:r w:rsidRPr="005503B4">
        <w:fldChar w:fldCharType="end"/>
      </w:r>
      <w:bookmarkEnd w:id="206"/>
      <w:r w:rsidRPr="005503B4">
        <w:t xml:space="preserve"> - Mensajería Expresa – Ingresos de </w:t>
      </w:r>
      <w:r w:rsidR="00E60DA5" w:rsidRPr="00F171C6">
        <w:t xml:space="preserve">envíos </w:t>
      </w:r>
      <w:r w:rsidRPr="00F171C6">
        <w:t>individuales de mensajería</w:t>
      </w:r>
      <w:r w:rsidR="00E60DA5">
        <w:t xml:space="preserve"> </w:t>
      </w:r>
      <w:r w:rsidRPr="005503B4">
        <w:t xml:space="preserve">expresa </w:t>
      </w:r>
      <w:r w:rsidR="00E60DA5">
        <w:t>menores a 2 kilogramos</w:t>
      </w:r>
      <w:r w:rsidR="00E60DA5" w:rsidRPr="005503B4">
        <w:t xml:space="preserve"> </w:t>
      </w:r>
      <w:r w:rsidR="00A81541">
        <w:t>–</w:t>
      </w:r>
      <w:r w:rsidRPr="005503B4">
        <w:t xml:space="preserve"> 2014</w:t>
      </w:r>
      <w:r w:rsidR="00A81541">
        <w:t xml:space="preserve"> - 2024</w:t>
      </w:r>
      <w:bookmarkEnd w:id="207"/>
      <w:bookmarkEnd w:id="208"/>
    </w:p>
    <w:p w14:paraId="3802A3E3" w14:textId="77777777" w:rsidR="00F262C2" w:rsidRPr="005503B4" w:rsidRDefault="00F262C2" w:rsidP="00F262C2">
      <w:pPr>
        <w:pStyle w:val="Grfica"/>
        <w:rPr>
          <w:noProof/>
        </w:rPr>
      </w:pPr>
      <w:r w:rsidRPr="005503B4">
        <w:rPr>
          <w:noProof/>
          <w:lang w:eastAsia="es-CO"/>
        </w:rPr>
        <mc:AlternateContent>
          <mc:Choice Requires="wps">
            <w:drawing>
              <wp:anchor distT="0" distB="0" distL="114300" distR="114300" simplePos="0" relativeHeight="251721216" behindDoc="0" locked="0" layoutInCell="1" allowOverlap="1" wp14:anchorId="158E3878" wp14:editId="2256C417">
                <wp:simplePos x="0" y="0"/>
                <wp:positionH relativeFrom="column">
                  <wp:posOffset>4334510</wp:posOffset>
                </wp:positionH>
                <wp:positionV relativeFrom="paragraph">
                  <wp:posOffset>223520</wp:posOffset>
                </wp:positionV>
                <wp:extent cx="0" cy="1860631"/>
                <wp:effectExtent l="0" t="0" r="38100" b="6350"/>
                <wp:wrapNone/>
                <wp:docPr id="6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0631"/>
                        </a:xfrm>
                        <a:prstGeom prst="line">
                          <a:avLst/>
                        </a:prstGeom>
                        <a:ln w="1587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sdtdh="http://schemas.microsoft.com/office/word/2020/wordml/sdtdatahash">
            <w:pict>
              <v:line w14:anchorId="26130CFB" id="Conector recto 20" o:spid="_x0000_s1026" style="position:absolute;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3pt,17.6pt" to="341.3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" strokecolor="#7f7f7f [1612]" strokeweight="1.25pt">
                <v:stroke dashstyle="dash" joinstyle="miter"/>
                <o:lock v:ext="edit" shapetype="f"/>
              </v:line>
            </w:pict>
          </mc:Fallback>
        </mc:AlternateContent>
      </w:r>
      <w:r w:rsidRPr="005503B4">
        <w:rPr>
          <w:noProof/>
          <w:lang w:eastAsia="es-CO"/>
        </w:rPr>
        <w:drawing>
          <wp:inline distT="0" distB="0" distL="0" distR="0" wp14:anchorId="3A5E8A9D" wp14:editId="0C1CB610">
            <wp:extent cx="5917843" cy="2472690"/>
            <wp:effectExtent l="0" t="0" r="6985" b="3810"/>
            <wp:docPr id="456" name="Gráfico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561BD2" w14:textId="47F38E79" w:rsidR="00F262C2" w:rsidRPr="005503B4" w:rsidRDefault="00F262C2" w:rsidP="00F262C2">
      <w:pPr>
        <w:pStyle w:val="FuentedeGrfica"/>
        <w:ind w:left="851" w:right="140"/>
      </w:pPr>
      <w:r w:rsidRPr="005503B4">
        <w:t>FUENTE: 2014 - 2021 Boletín trimestral de MinTIC. Proyecciones 2022 - 202</w:t>
      </w:r>
      <w:r w:rsidR="000F0708">
        <w:t>4</w:t>
      </w:r>
      <w:r w:rsidRPr="005503B4">
        <w:t xml:space="preserve"> del modelo de proyección postal del MinTIC.</w:t>
      </w:r>
    </w:p>
    <w:p w14:paraId="7A7637C1" w14:textId="1B8F799B" w:rsidR="00F262C2" w:rsidRPr="005503B4" w:rsidRDefault="00F262C2" w:rsidP="00F262C2">
      <w:pPr>
        <w:rPr>
          <w:lang w:val="es-CO" w:eastAsia="es-ES"/>
        </w:rPr>
      </w:pPr>
      <w:r w:rsidRPr="005503B4">
        <w:rPr>
          <w:lang w:val="es-CO" w:eastAsia="es-ES"/>
        </w:rPr>
        <w:lastRenderedPageBreak/>
        <w:t xml:space="preserve">Con base en el anterior volumen de envíos considerado para el período, se calculan en la </w:t>
      </w:r>
      <w:r w:rsidRPr="005503B4">
        <w:rPr>
          <w:lang w:val="es-CO" w:eastAsia="es-ES"/>
        </w:rPr>
        <w:fldChar w:fldCharType="begin"/>
      </w:r>
      <w:r w:rsidRPr="005503B4">
        <w:rPr>
          <w:lang w:val="es-CO" w:eastAsia="es-ES"/>
        </w:rPr>
        <w:instrText xml:space="preserve"> REF _Ref102217134 \h </w:instrText>
      </w:r>
      <w:r>
        <w:rPr>
          <w:lang w:val="es-CO" w:eastAsia="es-ES"/>
        </w:rPr>
        <w:instrText xml:space="preserve"> \* MERGEFORMAT </w:instrText>
      </w:r>
      <w:r w:rsidRPr="005503B4">
        <w:rPr>
          <w:lang w:val="es-CO" w:eastAsia="es-ES"/>
        </w:rPr>
      </w:r>
      <w:r w:rsidRPr="005503B4">
        <w:rPr>
          <w:lang w:val="es-CO" w:eastAsia="es-ES"/>
        </w:rPr>
        <w:fldChar w:fldCharType="separate"/>
      </w:r>
      <w:r w:rsidR="00C57FCA" w:rsidRPr="005503B4">
        <w:t xml:space="preserve">Gráfica </w:t>
      </w:r>
      <w:r w:rsidR="00C57FCA">
        <w:rPr>
          <w:noProof/>
        </w:rPr>
        <w:t>5</w:t>
      </w:r>
      <w:r w:rsidR="00C57FCA" w:rsidRPr="005503B4">
        <w:rPr>
          <w:noProof/>
        </w:rPr>
        <w:noBreakHyphen/>
      </w:r>
      <w:r w:rsidR="00C57FCA">
        <w:rPr>
          <w:noProof/>
        </w:rPr>
        <w:t>13</w:t>
      </w:r>
      <w:r w:rsidRPr="005503B4">
        <w:rPr>
          <w:lang w:val="es-CO" w:eastAsia="es-ES"/>
        </w:rPr>
        <w:fldChar w:fldCharType="end"/>
      </w:r>
      <w:r w:rsidRPr="005503B4">
        <w:rPr>
          <w:lang w:val="es-CO" w:eastAsia="es-ES"/>
        </w:rPr>
        <w:t xml:space="preserve"> los ingresos provenientes del segmento del mercado expreso de envíos de pesos entre los 2 y los 5 kilogramos. En este proceso de estimación de las ventas, se tuvo en cuenta una reducción anual promedio en el ingreso por kilogramo transportado del 1,5%, a efectos de incluir en la estimación las presiones competitivas existentes en el mercado, y la necesidad de que, a través de aumentos en la calidad del servicio y en el precio del producto, se estimule a los consumidores a utilizar los servicios expresos para la entrega de aquellas compras resultantes de operaciones de comercio electrónico</w:t>
      </w:r>
      <w:r>
        <w:rPr>
          <w:lang w:val="es-CO" w:eastAsia="es-ES"/>
        </w:rPr>
        <w:t>.</w:t>
      </w:r>
    </w:p>
    <w:p w14:paraId="26B9D7C4" w14:textId="64FD6DD5" w:rsidR="00F262C2" w:rsidRPr="005503B4" w:rsidRDefault="00F262C2" w:rsidP="00F262C2">
      <w:pPr>
        <w:pStyle w:val="TITcuadro"/>
        <w:rPr>
          <w:noProof/>
        </w:rPr>
      </w:pPr>
      <w:bookmarkStart w:id="209" w:name="_Toc101865458"/>
      <w:bookmarkStart w:id="210" w:name="_Toc104228730"/>
      <w:r w:rsidRPr="005503B4">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12</w:t>
      </w:r>
      <w:r w:rsidRPr="005503B4">
        <w:fldChar w:fldCharType="end"/>
      </w:r>
      <w:r w:rsidRPr="005503B4">
        <w:t xml:space="preserve"> – </w:t>
      </w:r>
      <w:r w:rsidRPr="005503B4">
        <w:rPr>
          <w:noProof/>
        </w:rPr>
        <w:t xml:space="preserve">Mensajería de mayor tamaño y nacional: Número de envíos </w:t>
      </w:r>
      <w:r w:rsidRPr="005503B4">
        <w:rPr>
          <w:noProof/>
          <w:sz w:val="18"/>
        </w:rPr>
        <w:t>(Miles)</w:t>
      </w:r>
      <w:bookmarkEnd w:id="209"/>
      <w:bookmarkEnd w:id="210"/>
    </w:p>
    <w:p w14:paraId="4297467B" w14:textId="277AD033" w:rsidR="00F262C2" w:rsidRPr="005503B4" w:rsidRDefault="00F10309" w:rsidP="00F262C2">
      <w:pPr>
        <w:pStyle w:val="Grfica"/>
      </w:pPr>
      <w:r>
        <w:rPr>
          <w:noProof/>
          <w:lang w:eastAsia="es-CO"/>
        </w:rPr>
        <mc:AlternateContent>
          <mc:Choice Requires="wps">
            <w:drawing>
              <wp:anchor distT="0" distB="0" distL="114300" distR="114300" simplePos="0" relativeHeight="251733504" behindDoc="0" locked="0" layoutInCell="1" allowOverlap="1" wp14:anchorId="3FC1C940" wp14:editId="1D04ACF3">
                <wp:simplePos x="0" y="0"/>
                <wp:positionH relativeFrom="column">
                  <wp:posOffset>4301489</wp:posOffset>
                </wp:positionH>
                <wp:positionV relativeFrom="paragraph">
                  <wp:posOffset>209549</wp:posOffset>
                </wp:positionV>
                <wp:extent cx="9525" cy="2200275"/>
                <wp:effectExtent l="0" t="0" r="28575" b="28575"/>
                <wp:wrapNone/>
                <wp:docPr id="57" name="Conector recto 56"/>
                <wp:cNvGraphicFramePr/>
                <a:graphic xmlns:a="http://schemas.openxmlformats.org/drawingml/2006/main">
                  <a:graphicData uri="http://schemas.microsoft.com/office/word/2010/wordprocessingShape">
                    <wps:wsp>
                      <wps:cNvCnPr/>
                      <wps:spPr>
                        <a:xfrm>
                          <a:off x="0" y="0"/>
                          <a:ext cx="9525" cy="2200275"/>
                        </a:xfrm>
                        <a:prstGeom prst="line">
                          <a:avLst/>
                        </a:prstGeom>
                        <a:ln w="15875">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35B0FD88" id="Conector recto 56"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7pt,16.5pt" to="339.4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" strokecolor="#a5a5a5 [2092]" strokeweight="1.25pt">
                <v:stroke dashstyle="1 1" joinstyle="miter"/>
              </v:line>
            </w:pict>
          </mc:Fallback>
        </mc:AlternateContent>
      </w:r>
      <w:r>
        <w:rPr>
          <w:noProof/>
          <w:lang w:eastAsia="es-CO"/>
        </w:rPr>
        <w:drawing>
          <wp:inline distT="0" distB="0" distL="0" distR="0" wp14:anchorId="42EDCD95" wp14:editId="504F6F51">
            <wp:extent cx="5849620" cy="2876550"/>
            <wp:effectExtent l="0" t="0" r="1778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77B314" w14:textId="459E1735" w:rsidR="00F262C2" w:rsidRDefault="00F262C2" w:rsidP="00F262C2">
      <w:pPr>
        <w:pStyle w:val="FuentedeGrfica"/>
        <w:ind w:right="281"/>
      </w:pPr>
      <w:r w:rsidRPr="005503B4">
        <w:t>FUENTE: 2014 - 2021 Boletín trimestral de MinTIC. 2022 - 202</w:t>
      </w:r>
      <w:r w:rsidR="000F0708">
        <w:t>4</w:t>
      </w:r>
      <w:r w:rsidRPr="005503B4">
        <w:t xml:space="preserve"> Modelo de proyección postal de MinTIC.</w:t>
      </w:r>
    </w:p>
    <w:p w14:paraId="51F65B5A" w14:textId="77777777" w:rsidR="007B5F09" w:rsidRPr="005503B4" w:rsidRDefault="007B5F09" w:rsidP="007B5F09">
      <w:pPr>
        <w:rPr>
          <w:lang w:val="es-CO" w:eastAsia="es-ES"/>
        </w:rPr>
      </w:pPr>
      <w:r>
        <w:rPr>
          <w:lang w:val="es-CO" w:eastAsia="es-ES"/>
        </w:rPr>
        <w:t>Cabe recordar</w:t>
      </w:r>
      <w:r w:rsidRPr="005503B4">
        <w:rPr>
          <w:lang w:val="es-CO" w:eastAsia="es-ES"/>
        </w:rPr>
        <w:t xml:space="preserve"> que esta presión competitiva proviene, no sólo de otros operadores dentro del mismo mercado, sino de cadenas y grandes superficies que pueden optar por autoabastecer el mercado de entregas finales a sus clientes, a efectos de reducir costos y eliminar proveedores en la cadena de valor de sus productos.</w:t>
      </w:r>
    </w:p>
    <w:p w14:paraId="4B1DCA4D" w14:textId="62FA9756" w:rsidR="00F262C2" w:rsidRDefault="004B0014" w:rsidP="00F262C2">
      <w:pPr>
        <w:pStyle w:val="Ttulo3"/>
      </w:pPr>
      <w:bookmarkStart w:id="211" w:name="_Toc101865392"/>
      <w:bookmarkStart w:id="212" w:name="_Toc102393289"/>
      <w:bookmarkStart w:id="213" w:name="_Toc104272150"/>
      <w:r w:rsidRPr="004B0014">
        <w:t>Contribuciones al FUTIC: El mercado de mensajería expresa</w:t>
      </w:r>
      <w:r w:rsidR="00F262C2" w:rsidRPr="005503B4">
        <w:t>.</w:t>
      </w:r>
      <w:bookmarkEnd w:id="211"/>
      <w:bookmarkEnd w:id="212"/>
      <w:bookmarkEnd w:id="213"/>
    </w:p>
    <w:p w14:paraId="50E6C31D" w14:textId="77777777" w:rsidR="00F262C2" w:rsidRPr="005503B4" w:rsidRDefault="00F262C2" w:rsidP="00F262C2">
      <w:r w:rsidRPr="005503B4">
        <w:t>Con base en</w:t>
      </w:r>
      <w:r>
        <w:t xml:space="preserve"> la información precedente </w:t>
      </w:r>
      <w:r w:rsidRPr="005503B4">
        <w:t xml:space="preserve">y teniendo en cuenta </w:t>
      </w:r>
      <w:r>
        <w:t>las</w:t>
      </w:r>
      <w:r w:rsidRPr="005503B4">
        <w:t xml:space="preserve"> previsiones</w:t>
      </w:r>
      <w:r>
        <w:t xml:space="preserve"> en el</w:t>
      </w:r>
      <w:r w:rsidRPr="005503B4">
        <w:t xml:space="preserve"> corto y mediano plazo, se calculan a continuación la contribuci</w:t>
      </w:r>
      <w:r>
        <w:t>ón</w:t>
      </w:r>
      <w:r w:rsidRPr="005503B4">
        <w:t xml:space="preserve"> al FUTIC </w:t>
      </w:r>
      <w:r>
        <w:t>relacionada con los operadores</w:t>
      </w:r>
      <w:r w:rsidRPr="005503B4">
        <w:t xml:space="preserve"> de mensajería expresa </w:t>
      </w:r>
      <w:r w:rsidRPr="005503B4">
        <w:lastRenderedPageBreak/>
        <w:t xml:space="preserve">ante diferentes escenarios de contraprestación. Se utilizan para tal efecto, tasas hipotéticas </w:t>
      </w:r>
      <w:r>
        <w:t>que oscilan</w:t>
      </w:r>
      <w:r w:rsidRPr="005503B4">
        <w:t xml:space="preserve"> entre el 0,75% y la actual del 2,5%.</w:t>
      </w:r>
    </w:p>
    <w:p w14:paraId="3FD812E4" w14:textId="6E00AC6E" w:rsidR="00F262C2" w:rsidRPr="005503B4" w:rsidRDefault="00F262C2" w:rsidP="00F262C2">
      <w:r w:rsidRPr="005503B4">
        <w:t xml:space="preserve">Recuérdese que el modelo, a esta altura de la proyección, no cuenta con un </w:t>
      </w:r>
      <w:r w:rsidR="00EF7888">
        <w:t>porcentaje</w:t>
      </w:r>
      <w:r w:rsidR="00EF7888" w:rsidRPr="005503B4">
        <w:t xml:space="preserve"> </w:t>
      </w:r>
      <w:r w:rsidRPr="005503B4">
        <w:t xml:space="preserve">de contraprestación definitiva. Una vez se defina la contraprestación que equilibre las finanzas postales del Fondo, se calcularán las contribuciones </w:t>
      </w:r>
      <w:r w:rsidR="007B5F09">
        <w:t>finale</w:t>
      </w:r>
      <w:r w:rsidRPr="005503B4">
        <w:t xml:space="preserve">s que ingresarán al FUTIC por parte de los operadores de este mercado. </w:t>
      </w:r>
    </w:p>
    <w:p w14:paraId="5F59891F" w14:textId="482EE7EF" w:rsidR="00F262C2" w:rsidRDefault="00F262C2" w:rsidP="00F262C2">
      <w:pPr>
        <w:pStyle w:val="TITcuadro"/>
        <w:rPr>
          <w:noProof/>
        </w:rPr>
      </w:pPr>
      <w:bookmarkStart w:id="214" w:name="_Ref102217134"/>
      <w:bookmarkStart w:id="215" w:name="_Toc101865459"/>
      <w:bookmarkStart w:id="216" w:name="_Toc104228731"/>
      <w:r w:rsidRPr="005503B4">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13</w:t>
      </w:r>
      <w:r w:rsidRPr="005503B4">
        <w:fldChar w:fldCharType="end"/>
      </w:r>
      <w:bookmarkEnd w:id="214"/>
      <w:r w:rsidRPr="005503B4">
        <w:t xml:space="preserve"> – </w:t>
      </w:r>
      <w:r w:rsidR="00A81541" w:rsidRPr="00A81541">
        <w:t>Mensajería expresa -</w:t>
      </w:r>
      <w:r w:rsidR="00A81541">
        <w:t xml:space="preserve"> </w:t>
      </w:r>
      <w:r w:rsidRPr="005503B4">
        <w:t xml:space="preserve">Ingresos por envíos </w:t>
      </w:r>
      <w:r w:rsidR="00A81541">
        <w:t>de 2 a 5 kilogramos. Mercado</w:t>
      </w:r>
      <w:r w:rsidRPr="005503B4">
        <w:rPr>
          <w:noProof/>
        </w:rPr>
        <w:t xml:space="preserve"> total y nacional: Miles de </w:t>
      </w:r>
      <w:r w:rsidR="00A81541">
        <w:rPr>
          <w:noProof/>
        </w:rPr>
        <w:t>pesos</w:t>
      </w:r>
      <w:r w:rsidRPr="005503B4">
        <w:rPr>
          <w:noProof/>
        </w:rPr>
        <w:t xml:space="preserve"> reales (diciembre de 2021</w:t>
      </w:r>
      <w:r w:rsidR="00A81541">
        <w:rPr>
          <w:noProof/>
        </w:rPr>
        <w:t xml:space="preserve"> = 100</w:t>
      </w:r>
      <w:r w:rsidRPr="005503B4">
        <w:rPr>
          <w:noProof/>
        </w:rPr>
        <w:t>)</w:t>
      </w:r>
      <w:bookmarkEnd w:id="215"/>
      <w:bookmarkEnd w:id="216"/>
    </w:p>
    <w:p w14:paraId="08EE515E" w14:textId="77777777" w:rsidR="00F262C2" w:rsidRPr="005503B4" w:rsidRDefault="00F262C2" w:rsidP="00682BCD">
      <w:pPr>
        <w:pStyle w:val="Grfica"/>
      </w:pPr>
      <w:r w:rsidRPr="00682BCD">
        <w:rPr>
          <w:noProof/>
        </w:rPr>
        <w:drawing>
          <wp:inline distT="0" distB="0" distL="0" distR="0" wp14:anchorId="5B00AF57" wp14:editId="03830BCF">
            <wp:extent cx="5359078" cy="1770926"/>
            <wp:effectExtent l="0" t="0" r="13335" b="1270"/>
            <wp:docPr id="458" name="Gráfico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B4343A" w14:textId="42D254AC" w:rsidR="00F262C2" w:rsidRDefault="00F262C2" w:rsidP="00F262C2">
      <w:pPr>
        <w:pStyle w:val="FuentedeGrfica"/>
        <w:ind w:right="-2" w:hanging="1418"/>
      </w:pPr>
      <w:r w:rsidRPr="005503B4">
        <w:t>FUENTE: 2014 - 2021 Boletín trimestral de MinTIC. 2022 - 202</w:t>
      </w:r>
      <w:r w:rsidR="000F0708">
        <w:t>4</w:t>
      </w:r>
      <w:r w:rsidRPr="005503B4">
        <w:t xml:space="preserve"> Estimación Modelo de proyección postal MinTIC.</w:t>
      </w:r>
    </w:p>
    <w:p w14:paraId="405BDAB0" w14:textId="529865F4" w:rsidR="00D634E6" w:rsidRPr="00D634E6" w:rsidRDefault="00D634E6" w:rsidP="00D634E6">
      <w:pPr>
        <w:rPr>
          <w:lang w:val="es-CO" w:eastAsia="es-ES"/>
        </w:rPr>
      </w:pPr>
      <w:r>
        <w:rPr>
          <w:lang w:val="es-CO" w:eastAsia="es-ES"/>
        </w:rPr>
        <w:t>C</w:t>
      </w:r>
      <w:r w:rsidRPr="00D634E6">
        <w:rPr>
          <w:lang w:val="es-CO" w:eastAsia="es-ES"/>
        </w:rPr>
        <w:t xml:space="preserve">on estas consideraciones en mente, la Gráfica 5 14 presenta, en millones de pesos constantes de 2021, los niveles de contribuciones al FUTIC, provenientes de los operadores de mensajería expresa, calculadas a diferentes </w:t>
      </w:r>
      <w:r w:rsidR="00EF7888">
        <w:rPr>
          <w:lang w:val="es-CO" w:eastAsia="es-ES"/>
        </w:rPr>
        <w:t>nivele</w:t>
      </w:r>
      <w:r w:rsidR="00EF7888" w:rsidRPr="00D634E6">
        <w:rPr>
          <w:lang w:val="es-CO" w:eastAsia="es-ES"/>
        </w:rPr>
        <w:t xml:space="preserve">s </w:t>
      </w:r>
      <w:r w:rsidRPr="00D634E6">
        <w:rPr>
          <w:lang w:val="es-CO" w:eastAsia="es-ES"/>
        </w:rPr>
        <w:t>hipotétic</w:t>
      </w:r>
      <w:r w:rsidR="00EF7888">
        <w:rPr>
          <w:lang w:val="es-CO" w:eastAsia="es-ES"/>
        </w:rPr>
        <w:t>o</w:t>
      </w:r>
      <w:r w:rsidRPr="00D634E6">
        <w:rPr>
          <w:lang w:val="es-CO" w:eastAsia="es-ES"/>
        </w:rPr>
        <w:t>s de contraprestación postal, incluyendo el escenario actual del 2,5% para el período comprendido entre los años 2022 y 2024.</w:t>
      </w:r>
    </w:p>
    <w:p w14:paraId="07ACE663" w14:textId="63316ADD" w:rsidR="00D634E6" w:rsidRDefault="00D634E6" w:rsidP="00D634E6">
      <w:pPr>
        <w:pStyle w:val="TITcuadro"/>
        <w:rPr>
          <w:sz w:val="16"/>
          <w:szCs w:val="14"/>
        </w:rPr>
      </w:pPr>
      <w:bookmarkStart w:id="217" w:name="_Toc104228732"/>
      <w:r w:rsidRPr="005503B4">
        <w:lastRenderedPageBreak/>
        <w:t xml:space="preserve">Gráfica </w:t>
      </w:r>
      <w:r w:rsidRPr="005503B4">
        <w:fldChar w:fldCharType="begin"/>
      </w:r>
      <w:r w:rsidRPr="005503B4">
        <w:instrText>STYLEREF 1 \s</w:instrText>
      </w:r>
      <w:r w:rsidRPr="005503B4">
        <w:fldChar w:fldCharType="separate"/>
      </w:r>
      <w:r w:rsidR="00C57FCA">
        <w:rPr>
          <w:noProof/>
        </w:rPr>
        <w:t>5</w:t>
      </w:r>
      <w:r w:rsidRPr="005503B4">
        <w:fldChar w:fldCharType="end"/>
      </w:r>
      <w:r w:rsidRPr="005503B4">
        <w:noBreakHyphen/>
      </w:r>
      <w:r w:rsidRPr="005503B4">
        <w:fldChar w:fldCharType="begin"/>
      </w:r>
      <w:r w:rsidRPr="005503B4">
        <w:instrText>SEQ Gráfica \* ARABIC \s 1</w:instrText>
      </w:r>
      <w:r w:rsidRPr="005503B4">
        <w:fldChar w:fldCharType="separate"/>
      </w:r>
      <w:r w:rsidR="00C57FCA">
        <w:rPr>
          <w:noProof/>
        </w:rPr>
        <w:t>14</w:t>
      </w:r>
      <w:r w:rsidRPr="005503B4">
        <w:fldChar w:fldCharType="end"/>
      </w:r>
      <w:r w:rsidRPr="005503B4">
        <w:t xml:space="preserve"> - </w:t>
      </w:r>
      <w:r w:rsidRPr="00D634E6">
        <w:t>Mensajería</w:t>
      </w:r>
      <w:r w:rsidRPr="005503B4">
        <w:t xml:space="preserve"> Expresa – Contribuciones al FUTIC a diferentes tasas de contraprestación- (</w:t>
      </w:r>
      <w:r w:rsidRPr="005503B4">
        <w:rPr>
          <w:sz w:val="16"/>
          <w:szCs w:val="14"/>
        </w:rPr>
        <w:t>Millones de pesos reales 2021 – 2024)</w:t>
      </w:r>
      <w:bookmarkEnd w:id="217"/>
    </w:p>
    <w:p w14:paraId="2AE7C338" w14:textId="20ED2958" w:rsidR="00D634E6" w:rsidRDefault="00D634E6" w:rsidP="001565BC">
      <w:pPr>
        <w:pStyle w:val="Grfica"/>
        <w:rPr>
          <w:sz w:val="16"/>
          <w:szCs w:val="14"/>
        </w:rPr>
      </w:pPr>
      <w:r>
        <w:rPr>
          <w:noProof/>
          <w:lang w:eastAsia="es-CO"/>
        </w:rPr>
        <w:drawing>
          <wp:inline distT="0" distB="0" distL="0" distR="0" wp14:anchorId="4557CE84" wp14:editId="7125F39F">
            <wp:extent cx="4638675" cy="2305050"/>
            <wp:effectExtent l="0" t="0" r="9525"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E545B85" w14:textId="7613C505" w:rsidR="004B0A81" w:rsidRDefault="00F262C2" w:rsidP="00F262C2">
      <w:pPr>
        <w:pStyle w:val="FuentedeGrfica"/>
        <w:rPr>
          <w:sz w:val="16"/>
          <w:szCs w:val="16"/>
        </w:rPr>
      </w:pPr>
      <w:r w:rsidRPr="00F171C6">
        <w:rPr>
          <w:sz w:val="16"/>
          <w:szCs w:val="16"/>
        </w:rPr>
        <w:t>FUENTE: Modelo de proyección postal del MinTIC</w:t>
      </w:r>
    </w:p>
    <w:p w14:paraId="6F7A463A" w14:textId="77777777" w:rsidR="004B0A81" w:rsidRDefault="004B0A81">
      <w:pPr>
        <w:spacing w:before="0" w:after="120" w:line="276" w:lineRule="auto"/>
        <w:rPr>
          <w:rFonts w:eastAsia="Times New Roman" w:cs="Arial"/>
          <w:color w:val="000000"/>
          <w:sz w:val="16"/>
          <w:szCs w:val="16"/>
          <w:lang w:val="es-CO" w:eastAsia="es-ES"/>
        </w:rPr>
      </w:pPr>
      <w:r>
        <w:rPr>
          <w:sz w:val="16"/>
          <w:szCs w:val="16"/>
        </w:rPr>
        <w:br w:type="page"/>
      </w:r>
    </w:p>
    <w:p w14:paraId="05424C86" w14:textId="4993C665" w:rsidR="00FD4C60" w:rsidRPr="005503B4" w:rsidRDefault="00FD4C60" w:rsidP="00FD4C60">
      <w:pPr>
        <w:pStyle w:val="Ttulo1"/>
        <w:rPr>
          <w:rFonts w:ascii="Arial Narrow" w:hAnsi="Arial Narrow"/>
        </w:rPr>
      </w:pPr>
      <w:bookmarkStart w:id="218" w:name="_Toc102393291"/>
      <w:bookmarkStart w:id="219" w:name="_Toc104272151"/>
      <w:bookmarkStart w:id="220" w:name="_Ref101041585"/>
      <w:bookmarkStart w:id="221" w:name="_Ref41397958"/>
      <w:bookmarkEnd w:id="218"/>
      <w:bookmarkEnd w:id="219"/>
    </w:p>
    <w:p w14:paraId="5D01F206" w14:textId="77D53442" w:rsidR="002F6BE3" w:rsidRPr="005503B4" w:rsidRDefault="002F6BE3" w:rsidP="002F6BE3">
      <w:pPr>
        <w:pStyle w:val="Titulodescripcin"/>
        <w:rPr>
          <w:rFonts w:ascii="Arial Narrow" w:hAnsi="Arial Narrow"/>
        </w:rPr>
      </w:pPr>
      <w:bookmarkStart w:id="222" w:name="_Toc101727641"/>
      <w:bookmarkStart w:id="223" w:name="_Toc101865396"/>
      <w:bookmarkStart w:id="224" w:name="_Toc102393292"/>
      <w:bookmarkStart w:id="225" w:name="_Toc104272152"/>
      <w:bookmarkEnd w:id="220"/>
      <w:bookmarkEnd w:id="221"/>
      <w:r w:rsidRPr="005503B4">
        <w:rPr>
          <w:rFonts w:ascii="Arial Narrow" w:hAnsi="Arial Narrow"/>
        </w:rPr>
        <w:t xml:space="preserve">El Mercado de </w:t>
      </w:r>
      <w:r w:rsidR="00E04B0C" w:rsidRPr="005503B4">
        <w:rPr>
          <w:rFonts w:ascii="Arial Narrow" w:hAnsi="Arial Narrow"/>
        </w:rPr>
        <w:t xml:space="preserve">servicios postales de pago </w:t>
      </w:r>
      <w:r w:rsidRPr="005503B4">
        <w:rPr>
          <w:rFonts w:ascii="Arial Narrow" w:hAnsi="Arial Narrow"/>
        </w:rPr>
        <w:t>en Colombia para el período 2020 – 2022: Estructura, evolución y proyecciones de ingresos y contribuciones al FUTIC.</w:t>
      </w:r>
      <w:bookmarkEnd w:id="222"/>
      <w:bookmarkEnd w:id="223"/>
      <w:bookmarkEnd w:id="224"/>
      <w:bookmarkEnd w:id="225"/>
    </w:p>
    <w:p w14:paraId="2EAEB69C" w14:textId="77777777" w:rsidR="002F6BE3" w:rsidRPr="005503B4" w:rsidRDefault="002F6BE3" w:rsidP="002F6BE3">
      <w:pPr>
        <w:pStyle w:val="Ttulo2"/>
      </w:pPr>
      <w:bookmarkStart w:id="226" w:name="_Toc101727642"/>
      <w:bookmarkStart w:id="227" w:name="_Toc101865397"/>
      <w:bookmarkStart w:id="228" w:name="_Toc102393293"/>
      <w:bookmarkStart w:id="229" w:name="_Toc104272153"/>
      <w:r w:rsidRPr="005503B4">
        <w:t>Introducción.</w:t>
      </w:r>
      <w:bookmarkEnd w:id="226"/>
      <w:bookmarkEnd w:id="227"/>
      <w:bookmarkEnd w:id="228"/>
      <w:bookmarkEnd w:id="229"/>
    </w:p>
    <w:p w14:paraId="416E396E" w14:textId="1F0CF07B" w:rsidR="002F6BE3" w:rsidRPr="005503B4" w:rsidRDefault="13985CC2" w:rsidP="002F6BE3">
      <w:pPr>
        <w:rPr>
          <w:lang w:val="es-CO"/>
        </w:rPr>
      </w:pPr>
      <w:r w:rsidRPr="005503B4">
        <w:rPr>
          <w:lang w:val="es-CO"/>
        </w:rPr>
        <w:t xml:space="preserve">Este capítulo se concentra en el segundo mercado en tamaño </w:t>
      </w:r>
      <w:r w:rsidR="00D36F64">
        <w:rPr>
          <w:lang w:val="es-CO"/>
        </w:rPr>
        <w:t>del sector</w:t>
      </w:r>
      <w:r w:rsidRPr="005503B4">
        <w:rPr>
          <w:lang w:val="es-CO"/>
        </w:rPr>
        <w:t xml:space="preserve"> postal del país. Teniendo en cuenta los análisis de carácter general que se presentaron en la sección </w:t>
      </w:r>
      <w:r w:rsidR="00125929" w:rsidRPr="005503B4">
        <w:rPr>
          <w:lang w:val="es-CO"/>
        </w:rPr>
        <w:fldChar w:fldCharType="begin"/>
      </w:r>
      <w:r w:rsidR="00125929" w:rsidRPr="005503B4">
        <w:rPr>
          <w:lang w:val="es-CO"/>
        </w:rPr>
        <w:instrText xml:space="preserve"> REF _Ref102393177 \r \h </w:instrText>
      </w:r>
      <w:r w:rsidR="005503B4">
        <w:rPr>
          <w:lang w:val="es-CO"/>
        </w:rPr>
        <w:instrText xml:space="preserve"> \* MERGEFORMAT </w:instrText>
      </w:r>
      <w:r w:rsidR="00125929" w:rsidRPr="005503B4">
        <w:rPr>
          <w:lang w:val="es-CO"/>
        </w:rPr>
      </w:r>
      <w:r w:rsidR="00125929" w:rsidRPr="005503B4">
        <w:rPr>
          <w:lang w:val="es-CO"/>
        </w:rPr>
        <w:fldChar w:fldCharType="separate"/>
      </w:r>
      <w:r w:rsidR="00C57FCA">
        <w:rPr>
          <w:lang w:val="es-CO"/>
        </w:rPr>
        <w:t>2.2.2</w:t>
      </w:r>
      <w:r w:rsidR="00125929" w:rsidRPr="005503B4">
        <w:rPr>
          <w:lang w:val="es-CO"/>
        </w:rPr>
        <w:fldChar w:fldCharType="end"/>
      </w:r>
      <w:r w:rsidRPr="005503B4">
        <w:rPr>
          <w:lang w:val="es-CO"/>
        </w:rPr>
        <w:t xml:space="preserve"> del Capítulo </w:t>
      </w:r>
      <w:r w:rsidR="002F6BE3" w:rsidRPr="005503B4">
        <w:rPr>
          <w:lang w:val="es-CO"/>
        </w:rPr>
        <w:fldChar w:fldCharType="begin"/>
      </w:r>
      <w:r w:rsidR="002F6BE3" w:rsidRPr="005503B4">
        <w:rPr>
          <w:lang w:val="es-CO"/>
        </w:rPr>
        <w:instrText xml:space="preserve"> REF _Ref100959767 \r \h </w:instrText>
      </w:r>
      <w:r w:rsidR="005503B4">
        <w:rPr>
          <w:lang w:val="es-CO"/>
        </w:rPr>
        <w:instrText xml:space="preserve"> \* MERGEFORMAT </w:instrText>
      </w:r>
      <w:r w:rsidR="002F6BE3" w:rsidRPr="005503B4">
        <w:rPr>
          <w:lang w:val="es-CO"/>
        </w:rPr>
      </w:r>
      <w:r w:rsidR="002F6BE3" w:rsidRPr="005503B4">
        <w:rPr>
          <w:lang w:val="es-CO"/>
        </w:rPr>
        <w:fldChar w:fldCharType="separate"/>
      </w:r>
      <w:r w:rsidR="00C57FCA">
        <w:rPr>
          <w:lang w:val="es-CO"/>
        </w:rPr>
        <w:t>2</w:t>
      </w:r>
      <w:r w:rsidR="002F6BE3" w:rsidRPr="005503B4">
        <w:rPr>
          <w:lang w:val="es-CO"/>
        </w:rPr>
        <w:fldChar w:fldCharType="end"/>
      </w:r>
      <w:r w:rsidRPr="005503B4">
        <w:rPr>
          <w:lang w:val="es-CO"/>
        </w:rPr>
        <w:t>, el presente capítulo está dirigido, en primer lugar, a realizar una descripción de la estructura y evolución del mercado entre los años de 2015 y 2021, buscando ubicar al lector en las tendencias históricas observadas y en los hitos que han marcado la estructura y tamaño del mercado</w:t>
      </w:r>
      <w:r w:rsidR="00D36F64">
        <w:rPr>
          <w:lang w:val="es-CO"/>
        </w:rPr>
        <w:t>.</w:t>
      </w:r>
      <w:r w:rsidR="00F14AC0">
        <w:rPr>
          <w:lang w:val="es-CO"/>
        </w:rPr>
        <w:t xml:space="preserve"> </w:t>
      </w:r>
      <w:r w:rsidR="00D36F64">
        <w:rPr>
          <w:lang w:val="es-CO"/>
        </w:rPr>
        <w:t>En segundo lugar, s</w:t>
      </w:r>
      <w:r w:rsidRPr="005503B4">
        <w:rPr>
          <w:lang w:val="es-CO"/>
        </w:rPr>
        <w:t xml:space="preserve">e busca, contextualizar las proyecciones del mercado que se realizarán a partir de la sección </w:t>
      </w:r>
      <w:r w:rsidR="002F6BE3" w:rsidRPr="005503B4">
        <w:rPr>
          <w:lang w:val="es-CO"/>
        </w:rPr>
        <w:fldChar w:fldCharType="begin"/>
      </w:r>
      <w:r w:rsidR="002F6BE3" w:rsidRPr="005503B4">
        <w:rPr>
          <w:lang w:val="es-CO"/>
        </w:rPr>
        <w:instrText xml:space="preserve"> REF _Ref101686961 \r \h </w:instrText>
      </w:r>
      <w:r w:rsidR="005503B4">
        <w:rPr>
          <w:lang w:val="es-CO"/>
        </w:rPr>
        <w:instrText xml:space="preserve"> \* MERGEFORMAT </w:instrText>
      </w:r>
      <w:r w:rsidR="002F6BE3" w:rsidRPr="005503B4">
        <w:rPr>
          <w:lang w:val="es-CO"/>
        </w:rPr>
      </w:r>
      <w:r w:rsidR="002F6BE3" w:rsidRPr="005503B4">
        <w:rPr>
          <w:lang w:val="es-CO"/>
        </w:rPr>
        <w:fldChar w:fldCharType="separate"/>
      </w:r>
      <w:r w:rsidR="00C57FCA">
        <w:rPr>
          <w:lang w:val="es-CO"/>
        </w:rPr>
        <w:t>6.4</w:t>
      </w:r>
      <w:r w:rsidR="002F6BE3" w:rsidRPr="005503B4">
        <w:rPr>
          <w:lang w:val="es-CO"/>
        </w:rPr>
        <w:fldChar w:fldCharType="end"/>
      </w:r>
      <w:r w:rsidRPr="005503B4">
        <w:rPr>
          <w:lang w:val="es-CO"/>
        </w:rPr>
        <w:t xml:space="preserve"> del capítulo.</w:t>
      </w:r>
      <w:r w:rsidR="007E42A0">
        <w:rPr>
          <w:lang w:val="es-CO"/>
        </w:rPr>
        <w:t xml:space="preserve"> </w:t>
      </w:r>
      <w:r w:rsidRPr="005503B4">
        <w:rPr>
          <w:lang w:val="es-CO"/>
        </w:rPr>
        <w:t>Finalmente, el capítulo presentará</w:t>
      </w:r>
      <w:r w:rsidR="00D36F64">
        <w:rPr>
          <w:lang w:val="es-CO"/>
        </w:rPr>
        <w:t xml:space="preserve"> una aproximación a</w:t>
      </w:r>
      <w:r w:rsidR="007E42A0">
        <w:rPr>
          <w:lang w:val="es-CO"/>
        </w:rPr>
        <w:t xml:space="preserve"> </w:t>
      </w:r>
      <w:r w:rsidRPr="005503B4">
        <w:rPr>
          <w:lang w:val="es-CO"/>
        </w:rPr>
        <w:t>la evolución del mercado de giros bancarios</w:t>
      </w:r>
      <w:r w:rsidR="00D36F64">
        <w:rPr>
          <w:lang w:val="es-CO"/>
        </w:rPr>
        <w:t>, particularmente en la</w:t>
      </w:r>
      <w:r w:rsidRPr="005503B4">
        <w:rPr>
          <w:lang w:val="es-CO"/>
        </w:rPr>
        <w:t xml:space="preserve"> consolidación de los servicios </w:t>
      </w:r>
      <w:proofErr w:type="spellStart"/>
      <w:r w:rsidRPr="005503B4">
        <w:rPr>
          <w:lang w:val="es-CO"/>
        </w:rPr>
        <w:t>FinTech</w:t>
      </w:r>
      <w:proofErr w:type="spellEnd"/>
      <w:r w:rsidR="00D36F64">
        <w:rPr>
          <w:lang w:val="es-CO"/>
        </w:rPr>
        <w:t>.</w:t>
      </w:r>
    </w:p>
    <w:p w14:paraId="3C9E17D7" w14:textId="5DE1193D" w:rsidR="002F6BE3" w:rsidRPr="005503B4" w:rsidRDefault="007E42A0" w:rsidP="002F6BE3">
      <w:pPr>
        <w:pStyle w:val="Ttulo2"/>
      </w:pPr>
      <w:bookmarkStart w:id="230" w:name="_Toc101727643"/>
      <w:bookmarkStart w:id="231" w:name="_Toc101865398"/>
      <w:bookmarkStart w:id="232" w:name="_Toc102393294"/>
      <w:bookmarkStart w:id="233" w:name="_Ref104045936"/>
      <w:bookmarkStart w:id="234" w:name="_Toc104272154"/>
      <w:bookmarkStart w:id="235" w:name="_Hlk101686248"/>
      <w:r>
        <w:t>Tamaño, e</w:t>
      </w:r>
      <w:r w:rsidR="002F6BE3" w:rsidRPr="005503B4">
        <w:t>structura y evolución del mercado de giros postales.</w:t>
      </w:r>
      <w:bookmarkEnd w:id="230"/>
      <w:bookmarkEnd w:id="231"/>
      <w:bookmarkEnd w:id="232"/>
      <w:bookmarkEnd w:id="233"/>
      <w:bookmarkEnd w:id="234"/>
    </w:p>
    <w:bookmarkEnd w:id="235"/>
    <w:p w14:paraId="1FB359CF" w14:textId="64BA74E4" w:rsidR="002F6BE3" w:rsidRPr="005503B4" w:rsidRDefault="13985CC2" w:rsidP="002F6BE3">
      <w:r w:rsidRPr="005503B4">
        <w:t xml:space="preserve">Los servicios </w:t>
      </w:r>
      <w:r w:rsidR="00D36F64">
        <w:t>que aquí se prestan, lo hacen utilizando</w:t>
      </w:r>
      <w:r w:rsidRPr="005503B4">
        <w:t xml:space="preserve"> la red postal para el envío y recepción de giros en efectivo, bien sea entre dos puntos del territorio nacional</w:t>
      </w:r>
      <w:r w:rsidR="00D36F64">
        <w:t xml:space="preserve"> (</w:t>
      </w:r>
      <w:r w:rsidRPr="005503B4">
        <w:t>giros postales nacionales</w:t>
      </w:r>
      <w:r w:rsidR="00D36F64">
        <w:t>)</w:t>
      </w:r>
      <w:r w:rsidRPr="005503B4">
        <w:t xml:space="preserve"> o entre un punto geográfico en Colombia y otros países a nivel internacional, </w:t>
      </w:r>
      <w:r w:rsidR="00D36F64">
        <w:t>(</w:t>
      </w:r>
      <w:r w:rsidRPr="005503B4">
        <w:t>giros postales internacionales</w:t>
      </w:r>
      <w:r w:rsidR="00D36F64">
        <w:t>)</w:t>
      </w:r>
      <w:r w:rsidRPr="005503B4">
        <w:t xml:space="preserve">, </w:t>
      </w:r>
    </w:p>
    <w:p w14:paraId="3E891CE3" w14:textId="3B2EEFB6" w:rsidR="002F6BE3" w:rsidRPr="005503B4" w:rsidRDefault="002F6BE3" w:rsidP="002F6BE3">
      <w:pPr>
        <w:rPr>
          <w:lang w:val="es-CO"/>
        </w:rPr>
      </w:pPr>
      <w:r w:rsidRPr="005503B4">
        <w:rPr>
          <w:lang w:val="es-CO"/>
        </w:rPr>
        <w:t>Con respecto al tamaño y a la dinámica del mercado, se encuentra que el volumen</w:t>
      </w:r>
      <w:r w:rsidR="00D36F64">
        <w:rPr>
          <w:lang w:val="es-CO"/>
        </w:rPr>
        <w:t xml:space="preserve"> total</w:t>
      </w:r>
      <w:r w:rsidRPr="005503B4">
        <w:rPr>
          <w:lang w:val="es-CO"/>
        </w:rPr>
        <w:t xml:space="preserve"> movilizado </w:t>
      </w:r>
      <w:r w:rsidR="00D36F64">
        <w:rPr>
          <w:lang w:val="es-CO"/>
        </w:rPr>
        <w:t xml:space="preserve">de </w:t>
      </w:r>
      <w:r w:rsidRPr="005503B4">
        <w:rPr>
          <w:lang w:val="es-CO"/>
        </w:rPr>
        <w:t xml:space="preserve">giros postales </w:t>
      </w:r>
      <w:r w:rsidR="004F4E59" w:rsidRPr="005503B4">
        <w:rPr>
          <w:lang w:val="es-CO"/>
        </w:rPr>
        <w:t xml:space="preserve">en el año 2021 </w:t>
      </w:r>
      <w:r w:rsidRPr="005503B4">
        <w:rPr>
          <w:lang w:val="es-CO"/>
        </w:rPr>
        <w:t>fue del orden de los $2</w:t>
      </w:r>
      <w:r w:rsidR="004F4E59" w:rsidRPr="005503B4">
        <w:rPr>
          <w:lang w:val="es-CO"/>
        </w:rPr>
        <w:t>0,6</w:t>
      </w:r>
      <w:r w:rsidRPr="005503B4">
        <w:rPr>
          <w:lang w:val="es-CO"/>
        </w:rPr>
        <w:t xml:space="preserve"> billones, como se apreciaren la </w:t>
      </w:r>
      <w:r w:rsidRPr="005503B4">
        <w:rPr>
          <w:lang w:val="es-CO"/>
        </w:rPr>
        <w:fldChar w:fldCharType="begin"/>
      </w:r>
      <w:r w:rsidRPr="005503B4">
        <w:rPr>
          <w:lang w:val="es-CO"/>
        </w:rPr>
        <w:instrText xml:space="preserve"> REF _Ref101450533 \h </w:instrText>
      </w:r>
      <w:r w:rsidR="005503B4">
        <w:rPr>
          <w:lang w:val="es-CO"/>
        </w:rPr>
        <w:instrText xml:space="preserve"> \* MERGEFORMAT </w:instrText>
      </w:r>
      <w:r w:rsidRPr="005503B4">
        <w:rPr>
          <w:lang w:val="es-CO"/>
        </w:rPr>
      </w:r>
      <w:r w:rsidRPr="005503B4">
        <w:rPr>
          <w:lang w:val="es-CO"/>
        </w:rPr>
        <w:fldChar w:fldCharType="separate"/>
      </w:r>
      <w:r w:rsidR="00C57FCA" w:rsidRPr="005503B4">
        <w:t xml:space="preserve">Tabla </w:t>
      </w:r>
      <w:r w:rsidR="00C57FCA">
        <w:rPr>
          <w:noProof/>
        </w:rPr>
        <w:t>6</w:t>
      </w:r>
      <w:r w:rsidR="00C57FCA" w:rsidRPr="005503B4">
        <w:rPr>
          <w:noProof/>
        </w:rPr>
        <w:noBreakHyphen/>
      </w:r>
      <w:r w:rsidR="00C57FCA">
        <w:rPr>
          <w:noProof/>
        </w:rPr>
        <w:t>1</w:t>
      </w:r>
      <w:r w:rsidRPr="005503B4">
        <w:rPr>
          <w:lang w:val="es-CO"/>
        </w:rPr>
        <w:fldChar w:fldCharType="end"/>
      </w:r>
      <w:r w:rsidRPr="005503B4">
        <w:rPr>
          <w:lang w:val="es-CO"/>
        </w:rPr>
        <w:t xml:space="preserve">. </w:t>
      </w:r>
    </w:p>
    <w:p w14:paraId="2D25FD45" w14:textId="2B8DD233" w:rsidR="002F6BE3" w:rsidRPr="005503B4" w:rsidRDefault="002F6BE3" w:rsidP="007E42A0">
      <w:pPr>
        <w:pStyle w:val="Descripcin"/>
        <w:ind w:left="993" w:right="-427" w:hanging="993"/>
        <w:rPr>
          <w:sz w:val="16"/>
          <w:szCs w:val="16"/>
        </w:rPr>
      </w:pPr>
      <w:bookmarkStart w:id="236" w:name="_Ref101450533"/>
      <w:bookmarkStart w:id="237" w:name="_Toc101865469"/>
      <w:bookmarkStart w:id="238" w:name="_Toc104227930"/>
      <w:r w:rsidRPr="005503B4">
        <w:t xml:space="preserve">Tabla </w:t>
      </w:r>
      <w:r w:rsidRPr="005503B4">
        <w:fldChar w:fldCharType="begin"/>
      </w:r>
      <w:r w:rsidRPr="005503B4">
        <w:instrText>STYLEREF 1 \s</w:instrText>
      </w:r>
      <w:r w:rsidRPr="005503B4">
        <w:fldChar w:fldCharType="separate"/>
      </w:r>
      <w:r w:rsidR="00C57FCA">
        <w:rPr>
          <w:noProof/>
        </w:rPr>
        <w:t>6</w:t>
      </w:r>
      <w:r w:rsidRPr="005503B4">
        <w:fldChar w:fldCharType="end"/>
      </w:r>
      <w:r w:rsidRPr="005503B4">
        <w:noBreakHyphen/>
      </w:r>
      <w:r w:rsidRPr="005503B4">
        <w:fldChar w:fldCharType="begin"/>
      </w:r>
      <w:r w:rsidRPr="005503B4">
        <w:instrText>SEQ Tabla \* ARABIC \s 1</w:instrText>
      </w:r>
      <w:r w:rsidRPr="005503B4">
        <w:fldChar w:fldCharType="separate"/>
      </w:r>
      <w:r w:rsidR="00C57FCA">
        <w:rPr>
          <w:noProof/>
        </w:rPr>
        <w:t>1</w:t>
      </w:r>
      <w:r w:rsidRPr="005503B4">
        <w:fldChar w:fldCharType="end"/>
      </w:r>
      <w:bookmarkEnd w:id="236"/>
      <w:r w:rsidRPr="005503B4">
        <w:t xml:space="preserve"> – El mercado de giros postales – Volumen movilizado de giros postales </w:t>
      </w:r>
      <w:r w:rsidRPr="005503B4">
        <w:rPr>
          <w:sz w:val="16"/>
          <w:szCs w:val="16"/>
        </w:rPr>
        <w:t xml:space="preserve">(Millones de </w:t>
      </w:r>
      <w:r w:rsidR="00466A14">
        <w:rPr>
          <w:sz w:val="16"/>
          <w:szCs w:val="16"/>
        </w:rPr>
        <w:t>pesos</w:t>
      </w:r>
      <w:r w:rsidRPr="005503B4">
        <w:rPr>
          <w:sz w:val="16"/>
          <w:szCs w:val="16"/>
        </w:rPr>
        <w:t xml:space="preserve"> reales de diciembre de 2021)</w:t>
      </w:r>
      <w:bookmarkEnd w:id="237"/>
      <w:bookmarkEnd w:id="238"/>
    </w:p>
    <w:tbl>
      <w:tblPr>
        <w:tblW w:w="9720" w:type="dxa"/>
        <w:tblCellMar>
          <w:left w:w="70" w:type="dxa"/>
          <w:right w:w="70" w:type="dxa"/>
        </w:tblCellMar>
        <w:tblLook w:val="04A0" w:firstRow="1" w:lastRow="0" w:firstColumn="1" w:lastColumn="0" w:noHBand="0" w:noVBand="1"/>
      </w:tblPr>
      <w:tblGrid>
        <w:gridCol w:w="2920"/>
        <w:gridCol w:w="1360"/>
        <w:gridCol w:w="1360"/>
        <w:gridCol w:w="1360"/>
        <w:gridCol w:w="1360"/>
        <w:gridCol w:w="1360"/>
      </w:tblGrid>
      <w:tr w:rsidR="004F4E59" w:rsidRPr="005503B4" w14:paraId="10D63F5B" w14:textId="77777777" w:rsidTr="004F4E59">
        <w:trPr>
          <w:trHeight w:val="240"/>
        </w:trPr>
        <w:tc>
          <w:tcPr>
            <w:tcW w:w="2920" w:type="dxa"/>
            <w:tcBorders>
              <w:top w:val="single" w:sz="4" w:space="0" w:color="BFBFBF"/>
              <w:left w:val="single" w:sz="4" w:space="0" w:color="BFBFBF"/>
              <w:bottom w:val="single" w:sz="4" w:space="0" w:color="BFBFBF"/>
              <w:right w:val="nil"/>
            </w:tcBorders>
            <w:shd w:val="clear" w:color="D9E1F2" w:fill="D9E1F2"/>
            <w:noWrap/>
            <w:vAlign w:val="bottom"/>
            <w:hideMark/>
          </w:tcPr>
          <w:p w14:paraId="62BD567C" w14:textId="77777777" w:rsidR="004F4E59" w:rsidRPr="005503B4" w:rsidRDefault="004F4E59" w:rsidP="004F4E59">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Segmento \ Año</w:t>
            </w:r>
          </w:p>
        </w:tc>
        <w:tc>
          <w:tcPr>
            <w:tcW w:w="1360" w:type="dxa"/>
            <w:tcBorders>
              <w:top w:val="single" w:sz="4" w:space="0" w:color="BFBFBF"/>
              <w:left w:val="nil"/>
              <w:bottom w:val="single" w:sz="4" w:space="0" w:color="BFBFBF"/>
              <w:right w:val="nil"/>
            </w:tcBorders>
            <w:shd w:val="clear" w:color="D9E1F2" w:fill="D9E1F2"/>
            <w:noWrap/>
            <w:vAlign w:val="bottom"/>
            <w:hideMark/>
          </w:tcPr>
          <w:p w14:paraId="14ABBBF3" w14:textId="77777777" w:rsidR="004F4E59" w:rsidRPr="005503B4" w:rsidRDefault="004F4E59" w:rsidP="004F4E59">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2017</w:t>
            </w:r>
          </w:p>
        </w:tc>
        <w:tc>
          <w:tcPr>
            <w:tcW w:w="1360" w:type="dxa"/>
            <w:tcBorders>
              <w:top w:val="single" w:sz="4" w:space="0" w:color="BFBFBF"/>
              <w:left w:val="nil"/>
              <w:bottom w:val="single" w:sz="4" w:space="0" w:color="BFBFBF"/>
              <w:right w:val="nil"/>
            </w:tcBorders>
            <w:shd w:val="clear" w:color="D9E1F2" w:fill="D9E1F2"/>
            <w:noWrap/>
            <w:vAlign w:val="bottom"/>
            <w:hideMark/>
          </w:tcPr>
          <w:p w14:paraId="1B561825" w14:textId="77777777" w:rsidR="004F4E59" w:rsidRPr="005503B4" w:rsidRDefault="004F4E59" w:rsidP="004F4E59">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2018</w:t>
            </w:r>
          </w:p>
        </w:tc>
        <w:tc>
          <w:tcPr>
            <w:tcW w:w="1360" w:type="dxa"/>
            <w:tcBorders>
              <w:top w:val="single" w:sz="4" w:space="0" w:color="BFBFBF"/>
              <w:left w:val="nil"/>
              <w:bottom w:val="single" w:sz="4" w:space="0" w:color="BFBFBF"/>
              <w:right w:val="nil"/>
            </w:tcBorders>
            <w:shd w:val="clear" w:color="D9E1F2" w:fill="D9E1F2"/>
            <w:noWrap/>
            <w:vAlign w:val="bottom"/>
            <w:hideMark/>
          </w:tcPr>
          <w:p w14:paraId="50E90620" w14:textId="77777777" w:rsidR="004F4E59" w:rsidRPr="005503B4" w:rsidRDefault="004F4E59" w:rsidP="004F4E59">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2019</w:t>
            </w:r>
          </w:p>
        </w:tc>
        <w:tc>
          <w:tcPr>
            <w:tcW w:w="1360" w:type="dxa"/>
            <w:tcBorders>
              <w:top w:val="single" w:sz="4" w:space="0" w:color="BFBFBF"/>
              <w:left w:val="nil"/>
              <w:bottom w:val="single" w:sz="4" w:space="0" w:color="BFBFBF"/>
              <w:right w:val="nil"/>
            </w:tcBorders>
            <w:shd w:val="clear" w:color="D9E1F2" w:fill="D9E1F2"/>
            <w:noWrap/>
            <w:vAlign w:val="bottom"/>
            <w:hideMark/>
          </w:tcPr>
          <w:p w14:paraId="169CECCB" w14:textId="77777777" w:rsidR="004F4E59" w:rsidRPr="005503B4" w:rsidRDefault="004F4E59" w:rsidP="004F4E59">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2020</w:t>
            </w:r>
          </w:p>
        </w:tc>
        <w:tc>
          <w:tcPr>
            <w:tcW w:w="1360" w:type="dxa"/>
            <w:tcBorders>
              <w:top w:val="single" w:sz="4" w:space="0" w:color="BFBFBF"/>
              <w:left w:val="nil"/>
              <w:bottom w:val="single" w:sz="4" w:space="0" w:color="BFBFBF"/>
              <w:right w:val="single" w:sz="4" w:space="0" w:color="BFBFBF"/>
            </w:tcBorders>
            <w:shd w:val="clear" w:color="D9E1F2" w:fill="D9E1F2"/>
            <w:noWrap/>
            <w:vAlign w:val="bottom"/>
            <w:hideMark/>
          </w:tcPr>
          <w:p w14:paraId="1D34E231" w14:textId="77777777" w:rsidR="004F4E59" w:rsidRPr="005503B4" w:rsidRDefault="004F4E59" w:rsidP="004F4E59">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2021</w:t>
            </w:r>
          </w:p>
        </w:tc>
      </w:tr>
      <w:tr w:rsidR="004F4E59" w:rsidRPr="005503B4" w14:paraId="5E8BE2A1" w14:textId="77777777" w:rsidTr="004F4E59">
        <w:trPr>
          <w:trHeight w:val="240"/>
        </w:trPr>
        <w:tc>
          <w:tcPr>
            <w:tcW w:w="2920" w:type="dxa"/>
            <w:tcBorders>
              <w:top w:val="nil"/>
              <w:left w:val="single" w:sz="4" w:space="0" w:color="BFBFBF"/>
              <w:bottom w:val="nil"/>
              <w:right w:val="nil"/>
            </w:tcBorders>
            <w:shd w:val="clear" w:color="000000" w:fill="FFFFFF"/>
            <w:noWrap/>
            <w:vAlign w:val="bottom"/>
            <w:hideMark/>
          </w:tcPr>
          <w:p w14:paraId="06493977" w14:textId="77777777" w:rsidR="004F4E59" w:rsidRPr="005503B4" w:rsidRDefault="004F4E59" w:rsidP="004F4E59">
            <w:pPr>
              <w:spacing w:before="0" w:after="0" w:line="240" w:lineRule="auto"/>
              <w:ind w:firstLineChars="100" w:firstLine="18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Giros internacionales</w:t>
            </w:r>
          </w:p>
        </w:tc>
        <w:tc>
          <w:tcPr>
            <w:tcW w:w="1360" w:type="dxa"/>
            <w:tcBorders>
              <w:top w:val="nil"/>
              <w:left w:val="nil"/>
              <w:bottom w:val="nil"/>
              <w:right w:val="nil"/>
            </w:tcBorders>
            <w:shd w:val="clear" w:color="000000" w:fill="FFFFFF"/>
            <w:noWrap/>
            <w:vAlign w:val="bottom"/>
            <w:hideMark/>
          </w:tcPr>
          <w:p w14:paraId="422E2E92"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59.373</w:t>
            </w:r>
          </w:p>
        </w:tc>
        <w:tc>
          <w:tcPr>
            <w:tcW w:w="1360" w:type="dxa"/>
            <w:tcBorders>
              <w:top w:val="nil"/>
              <w:left w:val="nil"/>
              <w:bottom w:val="nil"/>
              <w:right w:val="nil"/>
            </w:tcBorders>
            <w:shd w:val="clear" w:color="000000" w:fill="FFFFFF"/>
            <w:noWrap/>
            <w:vAlign w:val="bottom"/>
            <w:hideMark/>
          </w:tcPr>
          <w:p w14:paraId="00BD748E"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72.996</w:t>
            </w:r>
          </w:p>
        </w:tc>
        <w:tc>
          <w:tcPr>
            <w:tcW w:w="1360" w:type="dxa"/>
            <w:tcBorders>
              <w:top w:val="nil"/>
              <w:left w:val="nil"/>
              <w:bottom w:val="nil"/>
              <w:right w:val="nil"/>
            </w:tcBorders>
            <w:shd w:val="clear" w:color="000000" w:fill="FFFFFF"/>
            <w:noWrap/>
            <w:vAlign w:val="bottom"/>
            <w:hideMark/>
          </w:tcPr>
          <w:p w14:paraId="7F2D1312"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81.115</w:t>
            </w:r>
          </w:p>
        </w:tc>
        <w:tc>
          <w:tcPr>
            <w:tcW w:w="1360" w:type="dxa"/>
            <w:tcBorders>
              <w:top w:val="nil"/>
              <w:left w:val="nil"/>
              <w:bottom w:val="nil"/>
              <w:right w:val="nil"/>
            </w:tcBorders>
            <w:shd w:val="clear" w:color="000000" w:fill="FFFFFF"/>
            <w:noWrap/>
            <w:vAlign w:val="bottom"/>
            <w:hideMark/>
          </w:tcPr>
          <w:p w14:paraId="7F418F2D"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66.389</w:t>
            </w:r>
          </w:p>
        </w:tc>
        <w:tc>
          <w:tcPr>
            <w:tcW w:w="1360" w:type="dxa"/>
            <w:tcBorders>
              <w:top w:val="nil"/>
              <w:left w:val="nil"/>
              <w:bottom w:val="nil"/>
              <w:right w:val="single" w:sz="4" w:space="0" w:color="BFBFBF"/>
            </w:tcBorders>
            <w:shd w:val="clear" w:color="000000" w:fill="FFFFFF"/>
            <w:noWrap/>
            <w:vAlign w:val="bottom"/>
            <w:hideMark/>
          </w:tcPr>
          <w:p w14:paraId="111E9D79"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78.108</w:t>
            </w:r>
          </w:p>
        </w:tc>
      </w:tr>
      <w:tr w:rsidR="004F4E59" w:rsidRPr="005503B4" w14:paraId="2F0140F3" w14:textId="77777777" w:rsidTr="004F4E59">
        <w:trPr>
          <w:trHeight w:val="240"/>
        </w:trPr>
        <w:tc>
          <w:tcPr>
            <w:tcW w:w="2920" w:type="dxa"/>
            <w:tcBorders>
              <w:top w:val="nil"/>
              <w:left w:val="single" w:sz="4" w:space="0" w:color="BFBFBF"/>
              <w:bottom w:val="nil"/>
              <w:right w:val="nil"/>
            </w:tcBorders>
            <w:shd w:val="clear" w:color="000000" w:fill="FFFFFF"/>
            <w:noWrap/>
            <w:vAlign w:val="bottom"/>
            <w:hideMark/>
          </w:tcPr>
          <w:p w14:paraId="378212C1" w14:textId="77777777" w:rsidR="004F4E59" w:rsidRPr="005503B4" w:rsidRDefault="004F4E59" w:rsidP="004F4E59">
            <w:pPr>
              <w:spacing w:before="0" w:after="0" w:line="240" w:lineRule="auto"/>
              <w:ind w:firstLineChars="300" w:firstLine="54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Entrante</w:t>
            </w:r>
          </w:p>
        </w:tc>
        <w:tc>
          <w:tcPr>
            <w:tcW w:w="1360" w:type="dxa"/>
            <w:tcBorders>
              <w:top w:val="nil"/>
              <w:left w:val="nil"/>
              <w:bottom w:val="nil"/>
              <w:right w:val="nil"/>
            </w:tcBorders>
            <w:shd w:val="clear" w:color="000000" w:fill="FFFFFF"/>
            <w:noWrap/>
            <w:vAlign w:val="bottom"/>
            <w:hideMark/>
          </w:tcPr>
          <w:p w14:paraId="14164EE8"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37.538</w:t>
            </w:r>
          </w:p>
        </w:tc>
        <w:tc>
          <w:tcPr>
            <w:tcW w:w="1360" w:type="dxa"/>
            <w:tcBorders>
              <w:top w:val="nil"/>
              <w:left w:val="nil"/>
              <w:bottom w:val="nil"/>
              <w:right w:val="nil"/>
            </w:tcBorders>
            <w:shd w:val="clear" w:color="000000" w:fill="FFFFFF"/>
            <w:noWrap/>
            <w:vAlign w:val="bottom"/>
            <w:hideMark/>
          </w:tcPr>
          <w:p w14:paraId="36DDD720"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45.274</w:t>
            </w:r>
          </w:p>
        </w:tc>
        <w:tc>
          <w:tcPr>
            <w:tcW w:w="1360" w:type="dxa"/>
            <w:tcBorders>
              <w:top w:val="nil"/>
              <w:left w:val="nil"/>
              <w:bottom w:val="nil"/>
              <w:right w:val="nil"/>
            </w:tcBorders>
            <w:shd w:val="clear" w:color="000000" w:fill="FFFFFF"/>
            <w:noWrap/>
            <w:vAlign w:val="bottom"/>
            <w:hideMark/>
          </w:tcPr>
          <w:p w14:paraId="7792ACFB"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52.027</w:t>
            </w:r>
          </w:p>
        </w:tc>
        <w:tc>
          <w:tcPr>
            <w:tcW w:w="1360" w:type="dxa"/>
            <w:tcBorders>
              <w:top w:val="nil"/>
              <w:left w:val="nil"/>
              <w:bottom w:val="nil"/>
              <w:right w:val="nil"/>
            </w:tcBorders>
            <w:shd w:val="clear" w:color="000000" w:fill="FFFFFF"/>
            <w:noWrap/>
            <w:vAlign w:val="bottom"/>
            <w:hideMark/>
          </w:tcPr>
          <w:p w14:paraId="51030887"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46.154</w:t>
            </w:r>
          </w:p>
        </w:tc>
        <w:tc>
          <w:tcPr>
            <w:tcW w:w="1360" w:type="dxa"/>
            <w:tcBorders>
              <w:top w:val="nil"/>
              <w:left w:val="nil"/>
              <w:bottom w:val="nil"/>
              <w:right w:val="single" w:sz="4" w:space="0" w:color="BFBFBF"/>
            </w:tcBorders>
            <w:shd w:val="clear" w:color="000000" w:fill="FFFFFF"/>
            <w:noWrap/>
            <w:vAlign w:val="bottom"/>
            <w:hideMark/>
          </w:tcPr>
          <w:p w14:paraId="7C6AF9E2"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57.420</w:t>
            </w:r>
          </w:p>
        </w:tc>
      </w:tr>
      <w:tr w:rsidR="004F4E59" w:rsidRPr="005503B4" w14:paraId="62EA16F3" w14:textId="77777777" w:rsidTr="004F4E59">
        <w:trPr>
          <w:trHeight w:val="240"/>
        </w:trPr>
        <w:tc>
          <w:tcPr>
            <w:tcW w:w="2920" w:type="dxa"/>
            <w:tcBorders>
              <w:top w:val="nil"/>
              <w:left w:val="single" w:sz="4" w:space="0" w:color="BFBFBF"/>
              <w:bottom w:val="nil"/>
              <w:right w:val="nil"/>
            </w:tcBorders>
            <w:shd w:val="clear" w:color="000000" w:fill="FFFFFF"/>
            <w:noWrap/>
            <w:vAlign w:val="bottom"/>
            <w:hideMark/>
          </w:tcPr>
          <w:p w14:paraId="5E2568D7" w14:textId="77777777" w:rsidR="004F4E59" w:rsidRPr="005503B4" w:rsidRDefault="004F4E59" w:rsidP="004F4E59">
            <w:pPr>
              <w:spacing w:before="0" w:after="0" w:line="240" w:lineRule="auto"/>
              <w:ind w:firstLineChars="300" w:firstLine="54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Saliente</w:t>
            </w:r>
          </w:p>
        </w:tc>
        <w:tc>
          <w:tcPr>
            <w:tcW w:w="1360" w:type="dxa"/>
            <w:tcBorders>
              <w:top w:val="nil"/>
              <w:left w:val="nil"/>
              <w:bottom w:val="nil"/>
              <w:right w:val="nil"/>
            </w:tcBorders>
            <w:shd w:val="clear" w:color="000000" w:fill="FFFFFF"/>
            <w:noWrap/>
            <w:vAlign w:val="bottom"/>
            <w:hideMark/>
          </w:tcPr>
          <w:p w14:paraId="5C33F3A5"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21.835</w:t>
            </w:r>
          </w:p>
        </w:tc>
        <w:tc>
          <w:tcPr>
            <w:tcW w:w="1360" w:type="dxa"/>
            <w:tcBorders>
              <w:top w:val="nil"/>
              <w:left w:val="nil"/>
              <w:bottom w:val="nil"/>
              <w:right w:val="nil"/>
            </w:tcBorders>
            <w:shd w:val="clear" w:color="000000" w:fill="FFFFFF"/>
            <w:noWrap/>
            <w:vAlign w:val="bottom"/>
            <w:hideMark/>
          </w:tcPr>
          <w:p w14:paraId="5016DE3A"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27.722</w:t>
            </w:r>
          </w:p>
        </w:tc>
        <w:tc>
          <w:tcPr>
            <w:tcW w:w="1360" w:type="dxa"/>
            <w:tcBorders>
              <w:top w:val="nil"/>
              <w:left w:val="nil"/>
              <w:bottom w:val="nil"/>
              <w:right w:val="nil"/>
            </w:tcBorders>
            <w:shd w:val="clear" w:color="000000" w:fill="FFFFFF"/>
            <w:noWrap/>
            <w:vAlign w:val="bottom"/>
            <w:hideMark/>
          </w:tcPr>
          <w:p w14:paraId="18583662"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29.088</w:t>
            </w:r>
          </w:p>
        </w:tc>
        <w:tc>
          <w:tcPr>
            <w:tcW w:w="1360" w:type="dxa"/>
            <w:tcBorders>
              <w:top w:val="nil"/>
              <w:left w:val="nil"/>
              <w:bottom w:val="nil"/>
              <w:right w:val="nil"/>
            </w:tcBorders>
            <w:shd w:val="clear" w:color="000000" w:fill="FFFFFF"/>
            <w:noWrap/>
            <w:vAlign w:val="bottom"/>
            <w:hideMark/>
          </w:tcPr>
          <w:p w14:paraId="0B2B02E1"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20.235</w:t>
            </w:r>
          </w:p>
        </w:tc>
        <w:tc>
          <w:tcPr>
            <w:tcW w:w="1360" w:type="dxa"/>
            <w:tcBorders>
              <w:top w:val="nil"/>
              <w:left w:val="nil"/>
              <w:bottom w:val="nil"/>
              <w:right w:val="single" w:sz="4" w:space="0" w:color="BFBFBF"/>
            </w:tcBorders>
            <w:shd w:val="clear" w:color="000000" w:fill="FFFFFF"/>
            <w:noWrap/>
            <w:vAlign w:val="bottom"/>
            <w:hideMark/>
          </w:tcPr>
          <w:p w14:paraId="0C1A2AD6"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20.688</w:t>
            </w:r>
          </w:p>
        </w:tc>
      </w:tr>
      <w:tr w:rsidR="004F4E59" w:rsidRPr="005503B4" w14:paraId="5638E6DA" w14:textId="77777777" w:rsidTr="004F4E59">
        <w:trPr>
          <w:trHeight w:val="240"/>
        </w:trPr>
        <w:tc>
          <w:tcPr>
            <w:tcW w:w="2920" w:type="dxa"/>
            <w:tcBorders>
              <w:top w:val="nil"/>
              <w:left w:val="single" w:sz="4" w:space="0" w:color="BFBFBF"/>
              <w:bottom w:val="nil"/>
              <w:right w:val="nil"/>
            </w:tcBorders>
            <w:shd w:val="clear" w:color="000000" w:fill="FFFFFF"/>
            <w:noWrap/>
            <w:vAlign w:val="bottom"/>
            <w:hideMark/>
          </w:tcPr>
          <w:p w14:paraId="497F65DB" w14:textId="77777777" w:rsidR="004F4E59" w:rsidRPr="005503B4" w:rsidRDefault="004F4E59" w:rsidP="004F4E59">
            <w:pPr>
              <w:spacing w:before="0" w:after="0" w:line="240" w:lineRule="auto"/>
              <w:ind w:firstLineChars="100" w:firstLine="18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Giros nacionales</w:t>
            </w:r>
          </w:p>
        </w:tc>
        <w:tc>
          <w:tcPr>
            <w:tcW w:w="1360" w:type="dxa"/>
            <w:tcBorders>
              <w:top w:val="nil"/>
              <w:left w:val="nil"/>
              <w:bottom w:val="nil"/>
              <w:right w:val="nil"/>
            </w:tcBorders>
            <w:shd w:val="clear" w:color="000000" w:fill="FFFFFF"/>
            <w:noWrap/>
            <w:vAlign w:val="bottom"/>
            <w:hideMark/>
          </w:tcPr>
          <w:p w14:paraId="37736CE2"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14.710.456</w:t>
            </w:r>
          </w:p>
        </w:tc>
        <w:tc>
          <w:tcPr>
            <w:tcW w:w="1360" w:type="dxa"/>
            <w:tcBorders>
              <w:top w:val="nil"/>
              <w:left w:val="nil"/>
              <w:bottom w:val="nil"/>
              <w:right w:val="nil"/>
            </w:tcBorders>
            <w:shd w:val="clear" w:color="000000" w:fill="FFFFFF"/>
            <w:noWrap/>
            <w:vAlign w:val="bottom"/>
            <w:hideMark/>
          </w:tcPr>
          <w:p w14:paraId="6224EA46"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19.915.806</w:t>
            </w:r>
          </w:p>
        </w:tc>
        <w:tc>
          <w:tcPr>
            <w:tcW w:w="1360" w:type="dxa"/>
            <w:tcBorders>
              <w:top w:val="nil"/>
              <w:left w:val="nil"/>
              <w:bottom w:val="nil"/>
              <w:right w:val="nil"/>
            </w:tcBorders>
            <w:shd w:val="clear" w:color="000000" w:fill="FFFFFF"/>
            <w:noWrap/>
            <w:vAlign w:val="bottom"/>
            <w:hideMark/>
          </w:tcPr>
          <w:p w14:paraId="3D3C66E8"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20.276.562</w:t>
            </w:r>
          </w:p>
        </w:tc>
        <w:tc>
          <w:tcPr>
            <w:tcW w:w="1360" w:type="dxa"/>
            <w:tcBorders>
              <w:top w:val="nil"/>
              <w:left w:val="nil"/>
              <w:bottom w:val="nil"/>
              <w:right w:val="nil"/>
            </w:tcBorders>
            <w:shd w:val="clear" w:color="000000" w:fill="FFFFFF"/>
            <w:noWrap/>
            <w:vAlign w:val="bottom"/>
            <w:hideMark/>
          </w:tcPr>
          <w:p w14:paraId="5144A633"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23.360.778</w:t>
            </w:r>
          </w:p>
        </w:tc>
        <w:tc>
          <w:tcPr>
            <w:tcW w:w="1360" w:type="dxa"/>
            <w:tcBorders>
              <w:top w:val="nil"/>
              <w:left w:val="nil"/>
              <w:bottom w:val="nil"/>
              <w:right w:val="single" w:sz="4" w:space="0" w:color="BFBFBF"/>
            </w:tcBorders>
            <w:shd w:val="clear" w:color="000000" w:fill="FFFFFF"/>
            <w:noWrap/>
            <w:vAlign w:val="bottom"/>
            <w:hideMark/>
          </w:tcPr>
          <w:p w14:paraId="51A8DD26" w14:textId="77777777" w:rsidR="004F4E59" w:rsidRPr="005503B4" w:rsidRDefault="004F4E59" w:rsidP="004F4E59">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20.541.860</w:t>
            </w:r>
          </w:p>
        </w:tc>
      </w:tr>
      <w:tr w:rsidR="004F4E59" w:rsidRPr="005503B4" w14:paraId="7599AE41" w14:textId="77777777" w:rsidTr="004F4E59">
        <w:trPr>
          <w:trHeight w:val="240"/>
        </w:trPr>
        <w:tc>
          <w:tcPr>
            <w:tcW w:w="2920" w:type="dxa"/>
            <w:tcBorders>
              <w:top w:val="single" w:sz="4" w:space="0" w:color="8EA9DB"/>
              <w:left w:val="single" w:sz="4" w:space="0" w:color="BFBFBF"/>
              <w:bottom w:val="single" w:sz="4" w:space="0" w:color="BFBFBF"/>
              <w:right w:val="nil"/>
            </w:tcBorders>
            <w:shd w:val="clear" w:color="D9E1F2" w:fill="D9E1F2"/>
            <w:noWrap/>
            <w:vAlign w:val="bottom"/>
            <w:hideMark/>
          </w:tcPr>
          <w:p w14:paraId="5FFD102F" w14:textId="77777777" w:rsidR="004F4E59" w:rsidRPr="005503B4" w:rsidRDefault="004F4E59" w:rsidP="004F4E59">
            <w:pPr>
              <w:spacing w:before="0" w:after="0" w:line="240" w:lineRule="auto"/>
              <w:jc w:val="center"/>
              <w:rPr>
                <w:rFonts w:eastAsia="Times New Roman" w:cs="Segoe UI"/>
                <w:b/>
                <w:bCs/>
                <w:color w:val="000000"/>
                <w:sz w:val="18"/>
                <w:szCs w:val="18"/>
                <w:lang w:val="es-CO" w:eastAsia="es-CO"/>
              </w:rPr>
            </w:pPr>
            <w:proofErr w:type="gramStart"/>
            <w:r w:rsidRPr="005503B4">
              <w:rPr>
                <w:rFonts w:eastAsia="Times New Roman" w:cs="Segoe UI"/>
                <w:b/>
                <w:bCs/>
                <w:color w:val="000000"/>
                <w:sz w:val="18"/>
                <w:szCs w:val="18"/>
                <w:lang w:val="es-CO" w:eastAsia="es-CO"/>
              </w:rPr>
              <w:t>Total</w:t>
            </w:r>
            <w:proofErr w:type="gramEnd"/>
            <w:r w:rsidRPr="005503B4">
              <w:rPr>
                <w:rFonts w:eastAsia="Times New Roman" w:cs="Segoe UI"/>
                <w:b/>
                <w:bCs/>
                <w:color w:val="000000"/>
                <w:sz w:val="18"/>
                <w:szCs w:val="18"/>
                <w:lang w:val="es-CO" w:eastAsia="es-CO"/>
              </w:rPr>
              <w:t xml:space="preserve"> mercado de giros postales</w:t>
            </w:r>
          </w:p>
        </w:tc>
        <w:tc>
          <w:tcPr>
            <w:tcW w:w="1360" w:type="dxa"/>
            <w:tcBorders>
              <w:top w:val="single" w:sz="4" w:space="0" w:color="8EA9DB"/>
              <w:left w:val="nil"/>
              <w:bottom w:val="single" w:sz="4" w:space="0" w:color="BFBFBF"/>
              <w:right w:val="nil"/>
            </w:tcBorders>
            <w:shd w:val="clear" w:color="D9E1F2" w:fill="D9E1F2"/>
            <w:noWrap/>
            <w:vAlign w:val="bottom"/>
            <w:hideMark/>
          </w:tcPr>
          <w:p w14:paraId="0A62D6DC" w14:textId="77777777" w:rsidR="004F4E59" w:rsidRPr="005503B4" w:rsidRDefault="004F4E59" w:rsidP="004F4E59">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$14.769.829</w:t>
            </w:r>
          </w:p>
        </w:tc>
        <w:tc>
          <w:tcPr>
            <w:tcW w:w="1360" w:type="dxa"/>
            <w:tcBorders>
              <w:top w:val="single" w:sz="4" w:space="0" w:color="8EA9DB"/>
              <w:left w:val="nil"/>
              <w:bottom w:val="single" w:sz="4" w:space="0" w:color="BFBFBF"/>
              <w:right w:val="nil"/>
            </w:tcBorders>
            <w:shd w:val="clear" w:color="D9E1F2" w:fill="D9E1F2"/>
            <w:noWrap/>
            <w:vAlign w:val="bottom"/>
            <w:hideMark/>
          </w:tcPr>
          <w:p w14:paraId="0CD96C19" w14:textId="77777777" w:rsidR="004F4E59" w:rsidRPr="005503B4" w:rsidRDefault="004F4E59" w:rsidP="004F4E59">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$19.988.802</w:t>
            </w:r>
          </w:p>
        </w:tc>
        <w:tc>
          <w:tcPr>
            <w:tcW w:w="1360" w:type="dxa"/>
            <w:tcBorders>
              <w:top w:val="single" w:sz="4" w:space="0" w:color="8EA9DB"/>
              <w:left w:val="nil"/>
              <w:bottom w:val="single" w:sz="4" w:space="0" w:color="BFBFBF"/>
              <w:right w:val="nil"/>
            </w:tcBorders>
            <w:shd w:val="clear" w:color="D9E1F2" w:fill="D9E1F2"/>
            <w:noWrap/>
            <w:vAlign w:val="bottom"/>
            <w:hideMark/>
          </w:tcPr>
          <w:p w14:paraId="0C14BB13" w14:textId="77777777" w:rsidR="004F4E59" w:rsidRPr="005503B4" w:rsidRDefault="004F4E59" w:rsidP="004F4E59">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$20.357.677</w:t>
            </w:r>
          </w:p>
        </w:tc>
        <w:tc>
          <w:tcPr>
            <w:tcW w:w="1360" w:type="dxa"/>
            <w:tcBorders>
              <w:top w:val="single" w:sz="4" w:space="0" w:color="8EA9DB"/>
              <w:left w:val="nil"/>
              <w:bottom w:val="single" w:sz="4" w:space="0" w:color="BFBFBF"/>
              <w:right w:val="nil"/>
            </w:tcBorders>
            <w:shd w:val="clear" w:color="D9E1F2" w:fill="D9E1F2"/>
            <w:noWrap/>
            <w:vAlign w:val="bottom"/>
            <w:hideMark/>
          </w:tcPr>
          <w:p w14:paraId="12598007" w14:textId="77777777" w:rsidR="004F4E59" w:rsidRPr="005503B4" w:rsidRDefault="004F4E59" w:rsidP="004F4E59">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$23.427.168</w:t>
            </w:r>
          </w:p>
        </w:tc>
        <w:tc>
          <w:tcPr>
            <w:tcW w:w="1360" w:type="dxa"/>
            <w:tcBorders>
              <w:top w:val="single" w:sz="4" w:space="0" w:color="8EA9DB"/>
              <w:left w:val="nil"/>
              <w:bottom w:val="single" w:sz="4" w:space="0" w:color="BFBFBF"/>
              <w:right w:val="single" w:sz="4" w:space="0" w:color="BFBFBF"/>
            </w:tcBorders>
            <w:shd w:val="clear" w:color="D9E1F2" w:fill="D9E1F2"/>
            <w:noWrap/>
            <w:vAlign w:val="bottom"/>
            <w:hideMark/>
          </w:tcPr>
          <w:p w14:paraId="0E9141E5" w14:textId="77777777" w:rsidR="004F4E59" w:rsidRPr="005503B4" w:rsidRDefault="004F4E59" w:rsidP="004F4E59">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$20.619.968</w:t>
            </w:r>
          </w:p>
        </w:tc>
      </w:tr>
    </w:tbl>
    <w:p w14:paraId="0BF385ED" w14:textId="40C41FD4" w:rsidR="002F6BE3" w:rsidRPr="005503B4" w:rsidRDefault="002F6BE3" w:rsidP="002F6BE3">
      <w:pPr>
        <w:pStyle w:val="FuentedeGrfica"/>
        <w:ind w:right="-2"/>
      </w:pPr>
      <w:r w:rsidRPr="005503B4">
        <w:t xml:space="preserve">FUENTE: MinTIC. Boletín Postal Trimestral </w:t>
      </w:r>
      <w:r w:rsidR="004F4E59" w:rsidRPr="005503B4">
        <w:t>al cuarto trimestre de 2021. E</w:t>
      </w:r>
      <w:r w:rsidRPr="005503B4">
        <w:t>l IPC que publica el DANE para los índices deflactores de los valores monetarios.</w:t>
      </w:r>
    </w:p>
    <w:p w14:paraId="7A017490" w14:textId="4FF99F9C" w:rsidR="0050504B" w:rsidRPr="005503B4" w:rsidRDefault="00DF6A10" w:rsidP="002F6BE3">
      <w:pPr>
        <w:rPr>
          <w:lang w:val="es-CO"/>
        </w:rPr>
      </w:pPr>
      <w:r>
        <w:rPr>
          <w:lang w:val="es-CO"/>
        </w:rPr>
        <w:lastRenderedPageBreak/>
        <w:t xml:space="preserve">Es importante resaltar </w:t>
      </w:r>
      <w:r w:rsidR="0050504B" w:rsidRPr="005503B4">
        <w:rPr>
          <w:lang w:val="es-CO"/>
        </w:rPr>
        <w:t>la manera como los giros postales se incrementaron en un 39,6% en los pasados cinco años</w:t>
      </w:r>
      <w:r>
        <w:rPr>
          <w:lang w:val="es-CO"/>
        </w:rPr>
        <w:t>, sin embargo, p</w:t>
      </w:r>
      <w:r w:rsidR="0050504B" w:rsidRPr="005503B4">
        <w:rPr>
          <w:lang w:val="es-CO"/>
        </w:rPr>
        <w:t>ara el año 2021 se presentó un descenso en el valor movilizado del orden de los $2,8 billones.</w:t>
      </w:r>
    </w:p>
    <w:p w14:paraId="18659983" w14:textId="2A7AB996" w:rsidR="002F6BE3" w:rsidRPr="005503B4" w:rsidRDefault="13985CC2" w:rsidP="002F6BE3">
      <w:pPr>
        <w:rPr>
          <w:lang w:val="es-CO"/>
        </w:rPr>
      </w:pPr>
      <w:r w:rsidRPr="005503B4">
        <w:rPr>
          <w:lang w:val="es-CO"/>
        </w:rPr>
        <w:t>Con base en estos valores movilizados</w:t>
      </w:r>
      <w:r w:rsidR="007E42A0">
        <w:rPr>
          <w:lang w:val="es-CO"/>
        </w:rPr>
        <w:t>,</w:t>
      </w:r>
      <w:r w:rsidRPr="005503B4">
        <w:rPr>
          <w:lang w:val="es-CO"/>
        </w:rPr>
        <w:t xml:space="preserve"> como se aprecia en la </w:t>
      </w:r>
      <w:r w:rsidR="002F6BE3" w:rsidRPr="005503B4">
        <w:rPr>
          <w:lang w:val="es-CO"/>
        </w:rPr>
        <w:fldChar w:fldCharType="begin"/>
      </w:r>
      <w:r w:rsidR="002F6BE3" w:rsidRPr="005503B4">
        <w:rPr>
          <w:lang w:val="es-CO"/>
        </w:rPr>
        <w:instrText xml:space="preserve"> REF _Ref101332138 \h </w:instrText>
      </w:r>
      <w:r w:rsidR="005503B4">
        <w:rPr>
          <w:lang w:val="es-CO"/>
        </w:rPr>
        <w:instrText xml:space="preserve"> \* MERGEFORMAT </w:instrText>
      </w:r>
      <w:r w:rsidR="002F6BE3" w:rsidRPr="005503B4">
        <w:rPr>
          <w:lang w:val="es-CO"/>
        </w:rPr>
      </w:r>
      <w:r w:rsidR="002F6BE3" w:rsidRPr="005503B4">
        <w:rPr>
          <w:lang w:val="es-CO"/>
        </w:rPr>
        <w:fldChar w:fldCharType="separate"/>
      </w:r>
      <w:r w:rsidR="00C57FCA" w:rsidRPr="005503B4">
        <w:t xml:space="preserve">Tabla </w:t>
      </w:r>
      <w:r w:rsidR="00C57FCA">
        <w:rPr>
          <w:noProof/>
        </w:rPr>
        <w:t>6</w:t>
      </w:r>
      <w:r w:rsidR="00C57FCA" w:rsidRPr="005503B4">
        <w:rPr>
          <w:noProof/>
        </w:rPr>
        <w:noBreakHyphen/>
      </w:r>
      <w:r w:rsidR="00C57FCA">
        <w:rPr>
          <w:noProof/>
        </w:rPr>
        <w:t>2</w:t>
      </w:r>
      <w:r w:rsidR="002F6BE3" w:rsidRPr="005503B4">
        <w:rPr>
          <w:lang w:val="es-CO"/>
        </w:rPr>
        <w:fldChar w:fldCharType="end"/>
      </w:r>
      <w:r w:rsidRPr="005503B4">
        <w:rPr>
          <w:lang w:val="es-CO"/>
        </w:rPr>
        <w:t xml:space="preserve">, </w:t>
      </w:r>
      <w:r w:rsidR="00DF6A10">
        <w:rPr>
          <w:lang w:val="es-CO"/>
        </w:rPr>
        <w:t xml:space="preserve">los ingresos </w:t>
      </w:r>
      <w:r w:rsidRPr="005503B4">
        <w:rPr>
          <w:lang w:val="es-CO"/>
        </w:rPr>
        <w:t>percibid</w:t>
      </w:r>
      <w:r w:rsidR="00DF6A10">
        <w:rPr>
          <w:lang w:val="es-CO"/>
        </w:rPr>
        <w:t>o</w:t>
      </w:r>
      <w:r w:rsidRPr="005503B4">
        <w:rPr>
          <w:lang w:val="es-CO"/>
        </w:rPr>
        <w:t>s por los actores del mercado fue</w:t>
      </w:r>
      <w:r w:rsidR="007E42A0">
        <w:rPr>
          <w:lang w:val="es-CO"/>
        </w:rPr>
        <w:t>ron</w:t>
      </w:r>
      <w:r w:rsidRPr="005503B4">
        <w:rPr>
          <w:lang w:val="es-CO"/>
        </w:rPr>
        <w:t>, en términos reales, del orden de los $860,7 mil millones a diciembre de 2020</w:t>
      </w:r>
      <w:r w:rsidR="12FCAF76" w:rsidRPr="005503B4">
        <w:rPr>
          <w:lang w:val="es-CO"/>
        </w:rPr>
        <w:t xml:space="preserve"> y de $718.447 millones en el</w:t>
      </w:r>
      <w:r w:rsidR="1428BE71" w:rsidRPr="005503B4">
        <w:rPr>
          <w:lang w:val="es-CO"/>
        </w:rPr>
        <w:t xml:space="preserve"> año</w:t>
      </w:r>
      <w:r w:rsidR="12FCAF76" w:rsidRPr="005503B4">
        <w:rPr>
          <w:lang w:val="es-CO"/>
        </w:rPr>
        <w:t xml:space="preserve"> 2021</w:t>
      </w:r>
      <w:r w:rsidRPr="005503B4">
        <w:rPr>
          <w:lang w:val="es-CO"/>
        </w:rPr>
        <w:t xml:space="preserve">. Se observa que el </w:t>
      </w:r>
      <w:r w:rsidR="00DF6A10">
        <w:rPr>
          <w:lang w:val="es-CO"/>
        </w:rPr>
        <w:t>servicio</w:t>
      </w:r>
      <w:r w:rsidRPr="005503B4">
        <w:rPr>
          <w:lang w:val="es-CO"/>
        </w:rPr>
        <w:t xml:space="preserve"> de giros </w:t>
      </w:r>
      <w:r w:rsidR="1428BE71" w:rsidRPr="005503B4">
        <w:rPr>
          <w:lang w:val="es-CO"/>
        </w:rPr>
        <w:t xml:space="preserve">postales creció en </w:t>
      </w:r>
      <w:r w:rsidR="00610F4B">
        <w:rPr>
          <w:lang w:val="es-CO"/>
        </w:rPr>
        <w:t>de manera importante</w:t>
      </w:r>
      <w:r w:rsidR="1428BE71" w:rsidRPr="005503B4">
        <w:rPr>
          <w:lang w:val="es-CO"/>
        </w:rPr>
        <w:t xml:space="preserve"> entre </w:t>
      </w:r>
      <w:r w:rsidR="00610F4B">
        <w:rPr>
          <w:lang w:val="es-CO"/>
        </w:rPr>
        <w:t>los</w:t>
      </w:r>
      <w:r w:rsidR="00610F4B" w:rsidRPr="005503B4">
        <w:rPr>
          <w:lang w:val="es-CO"/>
        </w:rPr>
        <w:t xml:space="preserve"> </w:t>
      </w:r>
      <w:r w:rsidR="1428BE71" w:rsidRPr="005503B4">
        <w:rPr>
          <w:lang w:val="es-CO"/>
        </w:rPr>
        <w:t>año</w:t>
      </w:r>
      <w:r w:rsidR="00610F4B">
        <w:rPr>
          <w:lang w:val="es-CO"/>
        </w:rPr>
        <w:t>s</w:t>
      </w:r>
      <w:r w:rsidR="1428BE71" w:rsidRPr="005503B4">
        <w:rPr>
          <w:lang w:val="es-CO"/>
        </w:rPr>
        <w:t xml:space="preserve"> 2017 y 20</w:t>
      </w:r>
      <w:r w:rsidR="00610F4B">
        <w:rPr>
          <w:lang w:val="es-CO"/>
        </w:rPr>
        <w:t>19</w:t>
      </w:r>
      <w:r w:rsidR="1428BE71" w:rsidRPr="005503B4">
        <w:rPr>
          <w:lang w:val="es-CO"/>
        </w:rPr>
        <w:t xml:space="preserve">, </w:t>
      </w:r>
      <w:r w:rsidR="00A7223A" w:rsidRPr="005503B4">
        <w:rPr>
          <w:lang w:val="es-CO"/>
        </w:rPr>
        <w:t>pero experimentó</w:t>
      </w:r>
      <w:r w:rsidRPr="005503B4">
        <w:rPr>
          <w:lang w:val="es-CO"/>
        </w:rPr>
        <w:t xml:space="preserve"> un descenso</w:t>
      </w:r>
      <w:r w:rsidR="1428BE71" w:rsidRPr="005503B4">
        <w:rPr>
          <w:lang w:val="es-CO"/>
        </w:rPr>
        <w:t xml:space="preserve">, </w:t>
      </w:r>
      <w:r w:rsidRPr="005503B4">
        <w:rPr>
          <w:lang w:val="es-CO"/>
        </w:rPr>
        <w:t>del orden del 8,</w:t>
      </w:r>
      <w:r w:rsidR="1428BE71" w:rsidRPr="005503B4">
        <w:rPr>
          <w:lang w:val="es-CO"/>
        </w:rPr>
        <w:t>6</w:t>
      </w:r>
      <w:r w:rsidRPr="005503B4">
        <w:rPr>
          <w:lang w:val="es-CO"/>
        </w:rPr>
        <w:t>% en términos reales, en los pasados tres años, una disminución cercana a los $</w:t>
      </w:r>
      <w:r w:rsidR="1428BE71" w:rsidRPr="005503B4">
        <w:rPr>
          <w:lang w:val="es-CO"/>
        </w:rPr>
        <w:t>244</w:t>
      </w:r>
      <w:r w:rsidRPr="005503B4">
        <w:rPr>
          <w:lang w:val="es-CO"/>
        </w:rPr>
        <w:t xml:space="preserve"> mil millones frente al valor total generado en </w:t>
      </w:r>
      <w:r w:rsidR="00F171C6">
        <w:rPr>
          <w:lang w:val="es-CO"/>
        </w:rPr>
        <w:t>ingresos</w:t>
      </w:r>
      <w:r w:rsidR="00F171C6" w:rsidRPr="005503B4">
        <w:rPr>
          <w:lang w:val="es-CO"/>
        </w:rPr>
        <w:t xml:space="preserve"> </w:t>
      </w:r>
      <w:r w:rsidRPr="005503B4">
        <w:rPr>
          <w:lang w:val="es-CO"/>
        </w:rPr>
        <w:t>en el año 201</w:t>
      </w:r>
      <w:r w:rsidR="1428BE71" w:rsidRPr="005503B4">
        <w:rPr>
          <w:lang w:val="es-CO"/>
        </w:rPr>
        <w:t>9</w:t>
      </w:r>
      <w:r w:rsidRPr="005503B4">
        <w:rPr>
          <w:lang w:val="es-CO"/>
        </w:rPr>
        <w:t xml:space="preserve">. </w:t>
      </w:r>
    </w:p>
    <w:p w14:paraId="0CBEE3DA" w14:textId="51F2DD48" w:rsidR="002F6BE3" w:rsidRPr="005503B4" w:rsidRDefault="002F6BE3" w:rsidP="000D6F89">
      <w:pPr>
        <w:pStyle w:val="TITcuadro"/>
        <w:rPr>
          <w:rStyle w:val="TITcuadroCar"/>
          <w:rFonts w:ascii="Arial Narrow" w:hAnsi="Arial Narrow"/>
          <w:b/>
        </w:rPr>
      </w:pPr>
      <w:bookmarkStart w:id="239" w:name="_Ref101332138"/>
      <w:bookmarkStart w:id="240" w:name="_Toc101865470"/>
      <w:bookmarkStart w:id="241" w:name="_Toc104227931"/>
      <w:r w:rsidRPr="005503B4">
        <w:t xml:space="preserve">Tabla </w:t>
      </w:r>
      <w:r w:rsidRPr="005503B4">
        <w:fldChar w:fldCharType="begin"/>
      </w:r>
      <w:r w:rsidRPr="005503B4">
        <w:instrText>STYLEREF 1 \s</w:instrText>
      </w:r>
      <w:r w:rsidRPr="005503B4">
        <w:fldChar w:fldCharType="separate"/>
      </w:r>
      <w:r w:rsidR="00C57FCA">
        <w:rPr>
          <w:noProof/>
        </w:rPr>
        <w:t>6</w:t>
      </w:r>
      <w:r w:rsidRPr="005503B4">
        <w:fldChar w:fldCharType="end"/>
      </w:r>
      <w:r w:rsidRPr="005503B4">
        <w:noBreakHyphen/>
      </w:r>
      <w:r w:rsidRPr="005503B4">
        <w:fldChar w:fldCharType="begin"/>
      </w:r>
      <w:r w:rsidRPr="005503B4">
        <w:instrText>SEQ Tabla \* ARABIC \s 1</w:instrText>
      </w:r>
      <w:r w:rsidRPr="005503B4">
        <w:fldChar w:fldCharType="separate"/>
      </w:r>
      <w:r w:rsidR="00C57FCA">
        <w:rPr>
          <w:noProof/>
        </w:rPr>
        <w:t>2</w:t>
      </w:r>
      <w:r w:rsidRPr="005503B4">
        <w:fldChar w:fldCharType="end"/>
      </w:r>
      <w:bookmarkEnd w:id="239"/>
      <w:r w:rsidRPr="005503B4">
        <w:t xml:space="preserve"> </w:t>
      </w:r>
      <w:r w:rsidRPr="005503B4">
        <w:rPr>
          <w:rStyle w:val="TITcuadroCar"/>
          <w:rFonts w:ascii="Arial Narrow" w:hAnsi="Arial Narrow"/>
          <w:b/>
        </w:rPr>
        <w:t>– El mercado de giros postales – Tamaño de l</w:t>
      </w:r>
      <w:r w:rsidR="008318D2">
        <w:rPr>
          <w:rStyle w:val="TITcuadroCar"/>
          <w:rFonts w:ascii="Arial Narrow" w:hAnsi="Arial Narrow"/>
          <w:b/>
        </w:rPr>
        <w:t xml:space="preserve">os ingresos </w:t>
      </w:r>
      <w:r w:rsidRPr="005503B4">
        <w:rPr>
          <w:rStyle w:val="TITcuadroCar"/>
          <w:rFonts w:ascii="Arial Narrow" w:hAnsi="Arial Narrow"/>
          <w:b/>
        </w:rPr>
        <w:t>percibid</w:t>
      </w:r>
      <w:r w:rsidR="008318D2">
        <w:rPr>
          <w:rStyle w:val="TITcuadroCar"/>
          <w:rFonts w:ascii="Arial Narrow" w:hAnsi="Arial Narrow"/>
          <w:b/>
        </w:rPr>
        <w:t>o</w:t>
      </w:r>
      <w:r w:rsidRPr="005503B4">
        <w:rPr>
          <w:rStyle w:val="TITcuadroCar"/>
          <w:rFonts w:ascii="Arial Narrow" w:hAnsi="Arial Narrow"/>
          <w:b/>
        </w:rPr>
        <w:t>s por los actores del mercado (</w:t>
      </w:r>
      <w:r w:rsidR="00466A14">
        <w:rPr>
          <w:rStyle w:val="TITcuadroCar"/>
          <w:rFonts w:ascii="Arial Narrow" w:hAnsi="Arial Narrow"/>
          <w:b/>
        </w:rPr>
        <w:t>Millones de pesos</w:t>
      </w:r>
      <w:r w:rsidRPr="005503B4">
        <w:rPr>
          <w:rStyle w:val="TITcuadroCar"/>
          <w:rFonts w:ascii="Arial Narrow" w:hAnsi="Arial Narrow"/>
          <w:b/>
        </w:rPr>
        <w:t xml:space="preserve"> de</w:t>
      </w:r>
      <w:r w:rsidR="00466A14">
        <w:rPr>
          <w:rStyle w:val="TITcuadroCar"/>
          <w:rFonts w:ascii="Arial Narrow" w:hAnsi="Arial Narrow"/>
          <w:b/>
        </w:rPr>
        <w:t xml:space="preserve"> </w:t>
      </w:r>
      <w:r w:rsidRPr="005503B4">
        <w:rPr>
          <w:rStyle w:val="TITcuadroCar"/>
          <w:rFonts w:ascii="Arial Narrow" w:hAnsi="Arial Narrow"/>
          <w:b/>
        </w:rPr>
        <w:t>dic</w:t>
      </w:r>
      <w:r w:rsidR="00466A14">
        <w:rPr>
          <w:rStyle w:val="TITcuadroCar"/>
          <w:rFonts w:ascii="Arial Narrow" w:hAnsi="Arial Narrow"/>
          <w:b/>
        </w:rPr>
        <w:t>iembre</w:t>
      </w:r>
      <w:r w:rsidRPr="005503B4">
        <w:rPr>
          <w:rStyle w:val="TITcuadroCar"/>
          <w:rFonts w:ascii="Arial Narrow" w:hAnsi="Arial Narrow"/>
          <w:b/>
        </w:rPr>
        <w:t xml:space="preserve"> 2021)</w:t>
      </w:r>
      <w:bookmarkEnd w:id="240"/>
      <w:bookmarkEnd w:id="241"/>
    </w:p>
    <w:tbl>
      <w:tblPr>
        <w:tblW w:w="9720" w:type="dxa"/>
        <w:tblCellMar>
          <w:left w:w="70" w:type="dxa"/>
          <w:right w:w="70" w:type="dxa"/>
        </w:tblCellMar>
        <w:tblLook w:val="04A0" w:firstRow="1" w:lastRow="0" w:firstColumn="1" w:lastColumn="0" w:noHBand="0" w:noVBand="1"/>
      </w:tblPr>
      <w:tblGrid>
        <w:gridCol w:w="2920"/>
        <w:gridCol w:w="1360"/>
        <w:gridCol w:w="1360"/>
        <w:gridCol w:w="1360"/>
        <w:gridCol w:w="1360"/>
        <w:gridCol w:w="1360"/>
      </w:tblGrid>
      <w:tr w:rsidR="00E6222F" w:rsidRPr="005503B4" w14:paraId="414A643D" w14:textId="77777777" w:rsidTr="00E6222F">
        <w:trPr>
          <w:trHeight w:val="240"/>
        </w:trPr>
        <w:tc>
          <w:tcPr>
            <w:tcW w:w="2920" w:type="dxa"/>
            <w:tcBorders>
              <w:top w:val="single" w:sz="4" w:space="0" w:color="BFBFBF"/>
              <w:left w:val="single" w:sz="4" w:space="0" w:color="BFBFBF"/>
              <w:bottom w:val="single" w:sz="4" w:space="0" w:color="BFBFBF"/>
              <w:right w:val="nil"/>
            </w:tcBorders>
            <w:shd w:val="clear" w:color="D9E1F2" w:fill="D9E1F2"/>
            <w:noWrap/>
            <w:vAlign w:val="bottom"/>
            <w:hideMark/>
          </w:tcPr>
          <w:p w14:paraId="0DF5D356" w14:textId="77777777" w:rsidR="00E6222F" w:rsidRPr="005503B4" w:rsidRDefault="00E6222F" w:rsidP="00E6222F">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Segmento \ Año</w:t>
            </w:r>
          </w:p>
        </w:tc>
        <w:tc>
          <w:tcPr>
            <w:tcW w:w="1360" w:type="dxa"/>
            <w:tcBorders>
              <w:top w:val="single" w:sz="4" w:space="0" w:color="BFBFBF"/>
              <w:left w:val="nil"/>
              <w:bottom w:val="single" w:sz="4" w:space="0" w:color="BFBFBF"/>
              <w:right w:val="nil"/>
            </w:tcBorders>
            <w:shd w:val="clear" w:color="D9E1F2" w:fill="D9E1F2"/>
            <w:noWrap/>
            <w:vAlign w:val="bottom"/>
            <w:hideMark/>
          </w:tcPr>
          <w:p w14:paraId="2AB9369A" w14:textId="77777777" w:rsidR="00E6222F" w:rsidRPr="005503B4" w:rsidRDefault="00E6222F" w:rsidP="00E6222F">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2017</w:t>
            </w:r>
          </w:p>
        </w:tc>
        <w:tc>
          <w:tcPr>
            <w:tcW w:w="1360" w:type="dxa"/>
            <w:tcBorders>
              <w:top w:val="single" w:sz="4" w:space="0" w:color="BFBFBF"/>
              <w:left w:val="nil"/>
              <w:bottom w:val="single" w:sz="4" w:space="0" w:color="BFBFBF"/>
              <w:right w:val="nil"/>
            </w:tcBorders>
            <w:shd w:val="clear" w:color="D9E1F2" w:fill="D9E1F2"/>
            <w:noWrap/>
            <w:vAlign w:val="bottom"/>
            <w:hideMark/>
          </w:tcPr>
          <w:p w14:paraId="1E7079CE" w14:textId="77777777" w:rsidR="00E6222F" w:rsidRPr="005503B4" w:rsidRDefault="00E6222F" w:rsidP="00E6222F">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2018</w:t>
            </w:r>
          </w:p>
        </w:tc>
        <w:tc>
          <w:tcPr>
            <w:tcW w:w="1360" w:type="dxa"/>
            <w:tcBorders>
              <w:top w:val="single" w:sz="4" w:space="0" w:color="BFBFBF"/>
              <w:left w:val="nil"/>
              <w:bottom w:val="single" w:sz="4" w:space="0" w:color="BFBFBF"/>
              <w:right w:val="nil"/>
            </w:tcBorders>
            <w:shd w:val="clear" w:color="D9E1F2" w:fill="D9E1F2"/>
            <w:noWrap/>
            <w:vAlign w:val="bottom"/>
            <w:hideMark/>
          </w:tcPr>
          <w:p w14:paraId="5BFD8EBA" w14:textId="77777777" w:rsidR="00E6222F" w:rsidRPr="005503B4" w:rsidRDefault="00E6222F" w:rsidP="00E6222F">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2019</w:t>
            </w:r>
          </w:p>
        </w:tc>
        <w:tc>
          <w:tcPr>
            <w:tcW w:w="1360" w:type="dxa"/>
            <w:tcBorders>
              <w:top w:val="single" w:sz="4" w:space="0" w:color="BFBFBF"/>
              <w:left w:val="nil"/>
              <w:bottom w:val="single" w:sz="4" w:space="0" w:color="BFBFBF"/>
              <w:right w:val="nil"/>
            </w:tcBorders>
            <w:shd w:val="clear" w:color="D9E1F2" w:fill="D9E1F2"/>
            <w:noWrap/>
            <w:vAlign w:val="bottom"/>
            <w:hideMark/>
          </w:tcPr>
          <w:p w14:paraId="29596CEF" w14:textId="77777777" w:rsidR="00E6222F" w:rsidRPr="005503B4" w:rsidRDefault="00E6222F" w:rsidP="00E6222F">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2020</w:t>
            </w:r>
          </w:p>
        </w:tc>
        <w:tc>
          <w:tcPr>
            <w:tcW w:w="1360" w:type="dxa"/>
            <w:tcBorders>
              <w:top w:val="single" w:sz="4" w:space="0" w:color="BFBFBF"/>
              <w:left w:val="nil"/>
              <w:bottom w:val="single" w:sz="4" w:space="0" w:color="BFBFBF"/>
              <w:right w:val="single" w:sz="4" w:space="0" w:color="BFBFBF"/>
            </w:tcBorders>
            <w:shd w:val="clear" w:color="D9E1F2" w:fill="D9E1F2"/>
            <w:noWrap/>
            <w:vAlign w:val="bottom"/>
            <w:hideMark/>
          </w:tcPr>
          <w:p w14:paraId="66B4CDDC" w14:textId="77777777" w:rsidR="00E6222F" w:rsidRPr="005503B4" w:rsidRDefault="00E6222F" w:rsidP="00E6222F">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2021</w:t>
            </w:r>
          </w:p>
        </w:tc>
      </w:tr>
      <w:tr w:rsidR="00E6222F" w:rsidRPr="005503B4" w14:paraId="6F6C2641" w14:textId="77777777" w:rsidTr="00E6222F">
        <w:trPr>
          <w:trHeight w:val="240"/>
        </w:trPr>
        <w:tc>
          <w:tcPr>
            <w:tcW w:w="2920" w:type="dxa"/>
            <w:tcBorders>
              <w:top w:val="nil"/>
              <w:left w:val="single" w:sz="4" w:space="0" w:color="BFBFBF"/>
              <w:bottom w:val="nil"/>
              <w:right w:val="nil"/>
            </w:tcBorders>
            <w:shd w:val="clear" w:color="000000" w:fill="FFFFFF"/>
            <w:noWrap/>
            <w:vAlign w:val="bottom"/>
            <w:hideMark/>
          </w:tcPr>
          <w:p w14:paraId="5DF4408A" w14:textId="77777777" w:rsidR="00E6222F" w:rsidRPr="005503B4" w:rsidRDefault="00E6222F" w:rsidP="00E6222F">
            <w:pPr>
              <w:spacing w:before="0" w:after="0" w:line="240" w:lineRule="auto"/>
              <w:ind w:firstLineChars="100" w:firstLine="18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Giros internacionales</w:t>
            </w:r>
          </w:p>
        </w:tc>
        <w:tc>
          <w:tcPr>
            <w:tcW w:w="1360" w:type="dxa"/>
            <w:tcBorders>
              <w:top w:val="nil"/>
              <w:left w:val="nil"/>
              <w:bottom w:val="nil"/>
              <w:right w:val="nil"/>
            </w:tcBorders>
            <w:shd w:val="clear" w:color="000000" w:fill="FFFFFF"/>
            <w:noWrap/>
            <w:vAlign w:val="bottom"/>
            <w:hideMark/>
          </w:tcPr>
          <w:p w14:paraId="7E5CD9CD"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3.125</w:t>
            </w:r>
          </w:p>
        </w:tc>
        <w:tc>
          <w:tcPr>
            <w:tcW w:w="1360" w:type="dxa"/>
            <w:tcBorders>
              <w:top w:val="nil"/>
              <w:left w:val="nil"/>
              <w:bottom w:val="nil"/>
              <w:right w:val="nil"/>
            </w:tcBorders>
            <w:shd w:val="clear" w:color="000000" w:fill="FFFFFF"/>
            <w:noWrap/>
            <w:vAlign w:val="bottom"/>
            <w:hideMark/>
          </w:tcPr>
          <w:p w14:paraId="4B1C8E59"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3.842</w:t>
            </w:r>
          </w:p>
        </w:tc>
        <w:tc>
          <w:tcPr>
            <w:tcW w:w="1360" w:type="dxa"/>
            <w:tcBorders>
              <w:top w:val="nil"/>
              <w:left w:val="nil"/>
              <w:bottom w:val="nil"/>
              <w:right w:val="nil"/>
            </w:tcBorders>
            <w:shd w:val="clear" w:color="000000" w:fill="FFFFFF"/>
            <w:noWrap/>
            <w:vAlign w:val="bottom"/>
            <w:hideMark/>
          </w:tcPr>
          <w:p w14:paraId="218DD65C"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4.112</w:t>
            </w:r>
          </w:p>
        </w:tc>
        <w:tc>
          <w:tcPr>
            <w:tcW w:w="1360" w:type="dxa"/>
            <w:tcBorders>
              <w:top w:val="nil"/>
              <w:left w:val="nil"/>
              <w:bottom w:val="nil"/>
              <w:right w:val="nil"/>
            </w:tcBorders>
            <w:shd w:val="clear" w:color="000000" w:fill="FFFFFF"/>
            <w:noWrap/>
            <w:vAlign w:val="bottom"/>
            <w:hideMark/>
          </w:tcPr>
          <w:p w14:paraId="59653BB8"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2.032</w:t>
            </w:r>
          </w:p>
        </w:tc>
        <w:tc>
          <w:tcPr>
            <w:tcW w:w="1360" w:type="dxa"/>
            <w:tcBorders>
              <w:top w:val="nil"/>
              <w:left w:val="nil"/>
              <w:bottom w:val="nil"/>
              <w:right w:val="single" w:sz="4" w:space="0" w:color="BFBFBF"/>
            </w:tcBorders>
            <w:shd w:val="clear" w:color="000000" w:fill="FFFFFF"/>
            <w:noWrap/>
            <w:vAlign w:val="bottom"/>
            <w:hideMark/>
          </w:tcPr>
          <w:p w14:paraId="1BB0F9CE"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4.111</w:t>
            </w:r>
          </w:p>
        </w:tc>
      </w:tr>
      <w:tr w:rsidR="00E6222F" w:rsidRPr="005503B4" w14:paraId="36C9CBD2" w14:textId="77777777" w:rsidTr="00E6222F">
        <w:trPr>
          <w:trHeight w:val="240"/>
        </w:trPr>
        <w:tc>
          <w:tcPr>
            <w:tcW w:w="2920" w:type="dxa"/>
            <w:tcBorders>
              <w:top w:val="nil"/>
              <w:left w:val="single" w:sz="4" w:space="0" w:color="BFBFBF"/>
              <w:bottom w:val="nil"/>
              <w:right w:val="nil"/>
            </w:tcBorders>
            <w:shd w:val="clear" w:color="000000" w:fill="FFFFFF"/>
            <w:noWrap/>
            <w:vAlign w:val="bottom"/>
            <w:hideMark/>
          </w:tcPr>
          <w:p w14:paraId="23048453" w14:textId="77777777" w:rsidR="00E6222F" w:rsidRPr="005503B4" w:rsidRDefault="00E6222F" w:rsidP="00E6222F">
            <w:pPr>
              <w:spacing w:before="0" w:after="0" w:line="240" w:lineRule="auto"/>
              <w:ind w:firstLineChars="300" w:firstLine="54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Entrante</w:t>
            </w:r>
          </w:p>
        </w:tc>
        <w:tc>
          <w:tcPr>
            <w:tcW w:w="1360" w:type="dxa"/>
            <w:tcBorders>
              <w:top w:val="nil"/>
              <w:left w:val="nil"/>
              <w:bottom w:val="nil"/>
              <w:right w:val="nil"/>
            </w:tcBorders>
            <w:shd w:val="clear" w:color="000000" w:fill="FFFFFF"/>
            <w:noWrap/>
            <w:vAlign w:val="bottom"/>
            <w:hideMark/>
          </w:tcPr>
          <w:p w14:paraId="7F552F9A"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1.976</w:t>
            </w:r>
          </w:p>
        </w:tc>
        <w:tc>
          <w:tcPr>
            <w:tcW w:w="1360" w:type="dxa"/>
            <w:tcBorders>
              <w:top w:val="nil"/>
              <w:left w:val="nil"/>
              <w:bottom w:val="nil"/>
              <w:right w:val="nil"/>
            </w:tcBorders>
            <w:shd w:val="clear" w:color="000000" w:fill="FFFFFF"/>
            <w:noWrap/>
            <w:vAlign w:val="bottom"/>
            <w:hideMark/>
          </w:tcPr>
          <w:p w14:paraId="021023C8"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2.383</w:t>
            </w:r>
          </w:p>
        </w:tc>
        <w:tc>
          <w:tcPr>
            <w:tcW w:w="1360" w:type="dxa"/>
            <w:tcBorders>
              <w:top w:val="nil"/>
              <w:left w:val="nil"/>
              <w:bottom w:val="nil"/>
              <w:right w:val="nil"/>
            </w:tcBorders>
            <w:shd w:val="clear" w:color="000000" w:fill="FFFFFF"/>
            <w:noWrap/>
            <w:vAlign w:val="bottom"/>
            <w:hideMark/>
          </w:tcPr>
          <w:p w14:paraId="40395472"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2.669</w:t>
            </w:r>
          </w:p>
        </w:tc>
        <w:tc>
          <w:tcPr>
            <w:tcW w:w="1360" w:type="dxa"/>
            <w:tcBorders>
              <w:top w:val="nil"/>
              <w:left w:val="nil"/>
              <w:bottom w:val="nil"/>
              <w:right w:val="nil"/>
            </w:tcBorders>
            <w:shd w:val="clear" w:color="000000" w:fill="FFFFFF"/>
            <w:noWrap/>
            <w:vAlign w:val="bottom"/>
            <w:hideMark/>
          </w:tcPr>
          <w:p w14:paraId="72697A5F"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1.397</w:t>
            </w:r>
          </w:p>
        </w:tc>
        <w:tc>
          <w:tcPr>
            <w:tcW w:w="1360" w:type="dxa"/>
            <w:tcBorders>
              <w:top w:val="nil"/>
              <w:left w:val="nil"/>
              <w:bottom w:val="nil"/>
              <w:right w:val="single" w:sz="4" w:space="0" w:color="BFBFBF"/>
            </w:tcBorders>
            <w:shd w:val="clear" w:color="000000" w:fill="FFFFFF"/>
            <w:noWrap/>
            <w:vAlign w:val="bottom"/>
            <w:hideMark/>
          </w:tcPr>
          <w:p w14:paraId="53888100"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3.022</w:t>
            </w:r>
          </w:p>
        </w:tc>
      </w:tr>
      <w:tr w:rsidR="00E6222F" w:rsidRPr="005503B4" w14:paraId="7A43C926" w14:textId="77777777" w:rsidTr="00E6222F">
        <w:trPr>
          <w:trHeight w:val="240"/>
        </w:trPr>
        <w:tc>
          <w:tcPr>
            <w:tcW w:w="2920" w:type="dxa"/>
            <w:tcBorders>
              <w:top w:val="nil"/>
              <w:left w:val="single" w:sz="4" w:space="0" w:color="BFBFBF"/>
              <w:bottom w:val="nil"/>
              <w:right w:val="nil"/>
            </w:tcBorders>
            <w:shd w:val="clear" w:color="000000" w:fill="FFFFFF"/>
            <w:noWrap/>
            <w:vAlign w:val="bottom"/>
            <w:hideMark/>
          </w:tcPr>
          <w:p w14:paraId="769D0390" w14:textId="77777777" w:rsidR="00E6222F" w:rsidRPr="005503B4" w:rsidRDefault="00E6222F" w:rsidP="00E6222F">
            <w:pPr>
              <w:spacing w:before="0" w:after="0" w:line="240" w:lineRule="auto"/>
              <w:ind w:firstLineChars="300" w:firstLine="54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Saliente</w:t>
            </w:r>
          </w:p>
        </w:tc>
        <w:tc>
          <w:tcPr>
            <w:tcW w:w="1360" w:type="dxa"/>
            <w:tcBorders>
              <w:top w:val="nil"/>
              <w:left w:val="nil"/>
              <w:bottom w:val="nil"/>
              <w:right w:val="nil"/>
            </w:tcBorders>
            <w:shd w:val="clear" w:color="000000" w:fill="FFFFFF"/>
            <w:noWrap/>
            <w:vAlign w:val="bottom"/>
            <w:hideMark/>
          </w:tcPr>
          <w:p w14:paraId="009EA813"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1.149</w:t>
            </w:r>
          </w:p>
        </w:tc>
        <w:tc>
          <w:tcPr>
            <w:tcW w:w="1360" w:type="dxa"/>
            <w:tcBorders>
              <w:top w:val="nil"/>
              <w:left w:val="nil"/>
              <w:bottom w:val="nil"/>
              <w:right w:val="nil"/>
            </w:tcBorders>
            <w:shd w:val="clear" w:color="000000" w:fill="FFFFFF"/>
            <w:noWrap/>
            <w:vAlign w:val="bottom"/>
            <w:hideMark/>
          </w:tcPr>
          <w:p w14:paraId="61A27EA6"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1.459</w:t>
            </w:r>
          </w:p>
        </w:tc>
        <w:tc>
          <w:tcPr>
            <w:tcW w:w="1360" w:type="dxa"/>
            <w:tcBorders>
              <w:top w:val="nil"/>
              <w:left w:val="nil"/>
              <w:bottom w:val="nil"/>
              <w:right w:val="nil"/>
            </w:tcBorders>
            <w:shd w:val="clear" w:color="000000" w:fill="FFFFFF"/>
            <w:noWrap/>
            <w:vAlign w:val="bottom"/>
            <w:hideMark/>
          </w:tcPr>
          <w:p w14:paraId="31E1846B"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1.443</w:t>
            </w:r>
          </w:p>
        </w:tc>
        <w:tc>
          <w:tcPr>
            <w:tcW w:w="1360" w:type="dxa"/>
            <w:tcBorders>
              <w:top w:val="nil"/>
              <w:left w:val="nil"/>
              <w:bottom w:val="nil"/>
              <w:right w:val="nil"/>
            </w:tcBorders>
            <w:shd w:val="clear" w:color="000000" w:fill="FFFFFF"/>
            <w:noWrap/>
            <w:vAlign w:val="bottom"/>
            <w:hideMark/>
          </w:tcPr>
          <w:p w14:paraId="33A1C135"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636</w:t>
            </w:r>
          </w:p>
        </w:tc>
        <w:tc>
          <w:tcPr>
            <w:tcW w:w="1360" w:type="dxa"/>
            <w:tcBorders>
              <w:top w:val="nil"/>
              <w:left w:val="nil"/>
              <w:bottom w:val="nil"/>
              <w:right w:val="single" w:sz="4" w:space="0" w:color="BFBFBF"/>
            </w:tcBorders>
            <w:shd w:val="clear" w:color="000000" w:fill="FFFFFF"/>
            <w:noWrap/>
            <w:vAlign w:val="bottom"/>
            <w:hideMark/>
          </w:tcPr>
          <w:p w14:paraId="5F7DDAE7"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1.089</w:t>
            </w:r>
          </w:p>
        </w:tc>
      </w:tr>
      <w:tr w:rsidR="00E6222F" w:rsidRPr="005503B4" w14:paraId="4734ABE6" w14:textId="77777777" w:rsidTr="00E6222F">
        <w:trPr>
          <w:trHeight w:val="240"/>
        </w:trPr>
        <w:tc>
          <w:tcPr>
            <w:tcW w:w="2920" w:type="dxa"/>
            <w:tcBorders>
              <w:top w:val="nil"/>
              <w:left w:val="single" w:sz="4" w:space="0" w:color="BFBFBF"/>
              <w:bottom w:val="nil"/>
              <w:right w:val="nil"/>
            </w:tcBorders>
            <w:shd w:val="clear" w:color="000000" w:fill="FFFFFF"/>
            <w:noWrap/>
            <w:vAlign w:val="bottom"/>
            <w:hideMark/>
          </w:tcPr>
          <w:p w14:paraId="1588B2F7" w14:textId="77777777" w:rsidR="00E6222F" w:rsidRPr="005503B4" w:rsidRDefault="00E6222F" w:rsidP="00E6222F">
            <w:pPr>
              <w:spacing w:before="0" w:after="0" w:line="240" w:lineRule="auto"/>
              <w:ind w:firstLineChars="100" w:firstLine="18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Giros nacionales</w:t>
            </w:r>
          </w:p>
        </w:tc>
        <w:tc>
          <w:tcPr>
            <w:tcW w:w="1360" w:type="dxa"/>
            <w:tcBorders>
              <w:top w:val="nil"/>
              <w:left w:val="nil"/>
              <w:bottom w:val="nil"/>
              <w:right w:val="nil"/>
            </w:tcBorders>
            <w:shd w:val="clear" w:color="000000" w:fill="FFFFFF"/>
            <w:noWrap/>
            <w:vAlign w:val="bottom"/>
            <w:hideMark/>
          </w:tcPr>
          <w:p w14:paraId="38466075"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685.523</w:t>
            </w:r>
          </w:p>
        </w:tc>
        <w:tc>
          <w:tcPr>
            <w:tcW w:w="1360" w:type="dxa"/>
            <w:tcBorders>
              <w:top w:val="nil"/>
              <w:left w:val="nil"/>
              <w:bottom w:val="nil"/>
              <w:right w:val="nil"/>
            </w:tcBorders>
            <w:shd w:val="clear" w:color="000000" w:fill="FFFFFF"/>
            <w:noWrap/>
            <w:vAlign w:val="bottom"/>
            <w:hideMark/>
          </w:tcPr>
          <w:p w14:paraId="7EEF4137"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935.744</w:t>
            </w:r>
          </w:p>
        </w:tc>
        <w:tc>
          <w:tcPr>
            <w:tcW w:w="1360" w:type="dxa"/>
            <w:tcBorders>
              <w:top w:val="nil"/>
              <w:left w:val="nil"/>
              <w:bottom w:val="nil"/>
              <w:right w:val="nil"/>
            </w:tcBorders>
            <w:shd w:val="clear" w:color="000000" w:fill="FFFFFF"/>
            <w:noWrap/>
            <w:vAlign w:val="bottom"/>
            <w:hideMark/>
          </w:tcPr>
          <w:p w14:paraId="3BA5DD95"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958.754</w:t>
            </w:r>
          </w:p>
        </w:tc>
        <w:tc>
          <w:tcPr>
            <w:tcW w:w="1360" w:type="dxa"/>
            <w:tcBorders>
              <w:top w:val="nil"/>
              <w:left w:val="nil"/>
              <w:bottom w:val="nil"/>
              <w:right w:val="nil"/>
            </w:tcBorders>
            <w:shd w:val="clear" w:color="000000" w:fill="FFFFFF"/>
            <w:noWrap/>
            <w:vAlign w:val="bottom"/>
            <w:hideMark/>
          </w:tcPr>
          <w:p w14:paraId="653267AE"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858.630</w:t>
            </w:r>
          </w:p>
        </w:tc>
        <w:tc>
          <w:tcPr>
            <w:tcW w:w="1360" w:type="dxa"/>
            <w:tcBorders>
              <w:top w:val="nil"/>
              <w:left w:val="nil"/>
              <w:bottom w:val="nil"/>
              <w:right w:val="single" w:sz="4" w:space="0" w:color="BFBFBF"/>
            </w:tcBorders>
            <w:shd w:val="clear" w:color="000000" w:fill="FFFFFF"/>
            <w:noWrap/>
            <w:vAlign w:val="bottom"/>
            <w:hideMark/>
          </w:tcPr>
          <w:p w14:paraId="59C07426" w14:textId="77777777" w:rsidR="00E6222F" w:rsidRPr="005503B4" w:rsidRDefault="00E6222F" w:rsidP="00E6222F">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714.336</w:t>
            </w:r>
          </w:p>
        </w:tc>
      </w:tr>
      <w:tr w:rsidR="00E6222F" w:rsidRPr="005503B4" w14:paraId="09E6BACA" w14:textId="77777777" w:rsidTr="00E6222F">
        <w:trPr>
          <w:trHeight w:val="240"/>
        </w:trPr>
        <w:tc>
          <w:tcPr>
            <w:tcW w:w="2920" w:type="dxa"/>
            <w:tcBorders>
              <w:top w:val="single" w:sz="4" w:space="0" w:color="8EA9DB"/>
              <w:left w:val="single" w:sz="4" w:space="0" w:color="BFBFBF"/>
              <w:bottom w:val="single" w:sz="4" w:space="0" w:color="BFBFBF"/>
              <w:right w:val="nil"/>
            </w:tcBorders>
            <w:shd w:val="clear" w:color="D9E1F2" w:fill="D9E1F2"/>
            <w:noWrap/>
            <w:vAlign w:val="bottom"/>
            <w:hideMark/>
          </w:tcPr>
          <w:p w14:paraId="4AB36514" w14:textId="77777777" w:rsidR="00E6222F" w:rsidRPr="005503B4" w:rsidRDefault="00E6222F" w:rsidP="00E6222F">
            <w:pPr>
              <w:spacing w:before="0" w:after="0" w:line="240" w:lineRule="auto"/>
              <w:jc w:val="center"/>
              <w:rPr>
                <w:rFonts w:eastAsia="Times New Roman" w:cs="Segoe UI"/>
                <w:b/>
                <w:bCs/>
                <w:color w:val="000000"/>
                <w:sz w:val="18"/>
                <w:szCs w:val="18"/>
                <w:lang w:val="es-CO" w:eastAsia="es-CO"/>
              </w:rPr>
            </w:pPr>
            <w:proofErr w:type="gramStart"/>
            <w:r w:rsidRPr="005503B4">
              <w:rPr>
                <w:rFonts w:eastAsia="Times New Roman" w:cs="Segoe UI"/>
                <w:b/>
                <w:bCs/>
                <w:color w:val="000000"/>
                <w:sz w:val="18"/>
                <w:szCs w:val="18"/>
                <w:lang w:val="es-CO" w:eastAsia="es-CO"/>
              </w:rPr>
              <w:t>Total</w:t>
            </w:r>
            <w:proofErr w:type="gramEnd"/>
            <w:r w:rsidRPr="005503B4">
              <w:rPr>
                <w:rFonts w:eastAsia="Times New Roman" w:cs="Segoe UI"/>
                <w:b/>
                <w:bCs/>
                <w:color w:val="000000"/>
                <w:sz w:val="18"/>
                <w:szCs w:val="18"/>
                <w:lang w:val="es-CO" w:eastAsia="es-CO"/>
              </w:rPr>
              <w:t xml:space="preserve"> mercado de giros postales</w:t>
            </w:r>
          </w:p>
        </w:tc>
        <w:tc>
          <w:tcPr>
            <w:tcW w:w="1360" w:type="dxa"/>
            <w:tcBorders>
              <w:top w:val="single" w:sz="4" w:space="0" w:color="8EA9DB"/>
              <w:left w:val="nil"/>
              <w:bottom w:val="single" w:sz="4" w:space="0" w:color="BFBFBF"/>
              <w:right w:val="nil"/>
            </w:tcBorders>
            <w:shd w:val="clear" w:color="D9E1F2" w:fill="D9E1F2"/>
            <w:noWrap/>
            <w:vAlign w:val="bottom"/>
            <w:hideMark/>
          </w:tcPr>
          <w:p w14:paraId="5F3997E4" w14:textId="77777777" w:rsidR="00E6222F" w:rsidRPr="005503B4" w:rsidRDefault="00E6222F" w:rsidP="00E6222F">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$688.648</w:t>
            </w:r>
          </w:p>
        </w:tc>
        <w:tc>
          <w:tcPr>
            <w:tcW w:w="1360" w:type="dxa"/>
            <w:tcBorders>
              <w:top w:val="single" w:sz="4" w:space="0" w:color="8EA9DB"/>
              <w:left w:val="nil"/>
              <w:bottom w:val="single" w:sz="4" w:space="0" w:color="BFBFBF"/>
              <w:right w:val="nil"/>
            </w:tcBorders>
            <w:shd w:val="clear" w:color="D9E1F2" w:fill="D9E1F2"/>
            <w:noWrap/>
            <w:vAlign w:val="bottom"/>
            <w:hideMark/>
          </w:tcPr>
          <w:p w14:paraId="3F84E7AF" w14:textId="77777777" w:rsidR="00E6222F" w:rsidRPr="005503B4" w:rsidRDefault="00E6222F" w:rsidP="00E6222F">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$939.586</w:t>
            </w:r>
          </w:p>
        </w:tc>
        <w:tc>
          <w:tcPr>
            <w:tcW w:w="1360" w:type="dxa"/>
            <w:tcBorders>
              <w:top w:val="single" w:sz="4" w:space="0" w:color="8EA9DB"/>
              <w:left w:val="nil"/>
              <w:bottom w:val="single" w:sz="4" w:space="0" w:color="BFBFBF"/>
              <w:right w:val="nil"/>
            </w:tcBorders>
            <w:shd w:val="clear" w:color="D9E1F2" w:fill="D9E1F2"/>
            <w:noWrap/>
            <w:vAlign w:val="bottom"/>
            <w:hideMark/>
          </w:tcPr>
          <w:p w14:paraId="68B906F4" w14:textId="77777777" w:rsidR="00E6222F" w:rsidRPr="005503B4" w:rsidRDefault="00E6222F" w:rsidP="00E6222F">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$962.866</w:t>
            </w:r>
          </w:p>
        </w:tc>
        <w:tc>
          <w:tcPr>
            <w:tcW w:w="1360" w:type="dxa"/>
            <w:tcBorders>
              <w:top w:val="single" w:sz="4" w:space="0" w:color="8EA9DB"/>
              <w:left w:val="nil"/>
              <w:bottom w:val="single" w:sz="4" w:space="0" w:color="BFBFBF"/>
              <w:right w:val="nil"/>
            </w:tcBorders>
            <w:shd w:val="clear" w:color="D9E1F2" w:fill="D9E1F2"/>
            <w:noWrap/>
            <w:vAlign w:val="bottom"/>
            <w:hideMark/>
          </w:tcPr>
          <w:p w14:paraId="1D4CAB70" w14:textId="77777777" w:rsidR="00E6222F" w:rsidRPr="005503B4" w:rsidRDefault="00E6222F" w:rsidP="00E6222F">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$860.662</w:t>
            </w:r>
          </w:p>
        </w:tc>
        <w:tc>
          <w:tcPr>
            <w:tcW w:w="1360" w:type="dxa"/>
            <w:tcBorders>
              <w:top w:val="single" w:sz="4" w:space="0" w:color="8EA9DB"/>
              <w:left w:val="nil"/>
              <w:bottom w:val="single" w:sz="4" w:space="0" w:color="BFBFBF"/>
              <w:right w:val="single" w:sz="4" w:space="0" w:color="BFBFBF"/>
            </w:tcBorders>
            <w:shd w:val="clear" w:color="D9E1F2" w:fill="D9E1F2"/>
            <w:noWrap/>
            <w:vAlign w:val="bottom"/>
            <w:hideMark/>
          </w:tcPr>
          <w:p w14:paraId="2159B7A3" w14:textId="77777777" w:rsidR="00E6222F" w:rsidRPr="005503B4" w:rsidRDefault="00E6222F" w:rsidP="00E6222F">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$718.447</w:t>
            </w:r>
          </w:p>
        </w:tc>
      </w:tr>
    </w:tbl>
    <w:p w14:paraId="68EB6BAF" w14:textId="223B5CE0" w:rsidR="002F6BE3" w:rsidRPr="005503B4" w:rsidRDefault="002F6BE3" w:rsidP="002F6BE3">
      <w:pPr>
        <w:pStyle w:val="FuentedeGrfica"/>
      </w:pPr>
      <w:r w:rsidRPr="005503B4">
        <w:t>FUENTE: MinTIC. Boletín Postal trimestral.</w:t>
      </w:r>
      <w:r w:rsidR="00CA2A6C" w:rsidRPr="005503B4">
        <w:t xml:space="preserve"> </w:t>
      </w:r>
      <w:r w:rsidR="00CA2A6C" w:rsidRPr="005503B4">
        <w:rPr>
          <w:rStyle w:val="cf01"/>
          <w:rFonts w:ascii="Arial Narrow" w:eastAsiaTheme="majorEastAsia" w:hAnsi="Arial Narrow"/>
        </w:rPr>
        <w:t>C</w:t>
      </w:r>
      <w:r w:rsidR="004C57A2" w:rsidRPr="005503B4">
        <w:rPr>
          <w:rStyle w:val="cf01"/>
          <w:rFonts w:ascii="Arial Narrow" w:eastAsiaTheme="majorEastAsia" w:hAnsi="Arial Narrow"/>
        </w:rPr>
        <w:t>ifras al c</w:t>
      </w:r>
      <w:r w:rsidR="00CA2A6C" w:rsidRPr="005503B4">
        <w:rPr>
          <w:rStyle w:val="cf01"/>
          <w:rFonts w:ascii="Arial Narrow" w:eastAsiaTheme="majorEastAsia" w:hAnsi="Arial Narrow"/>
        </w:rPr>
        <w:t>uarto trimestre de 2021.</w:t>
      </w:r>
    </w:p>
    <w:p w14:paraId="2A8F1914" w14:textId="167A5BE5" w:rsidR="002F6BE3" w:rsidRPr="005503B4" w:rsidRDefault="13985CC2" w:rsidP="002F6BE3">
      <w:pPr>
        <w:rPr>
          <w:lang w:val="es-CO" w:eastAsia="es-ES"/>
        </w:rPr>
      </w:pPr>
      <w:r w:rsidRPr="005503B4">
        <w:rPr>
          <w:lang w:val="es-CO" w:eastAsia="es-ES"/>
        </w:rPr>
        <w:t>Pese a lo anterior, con respecto al año 2017, se encuentra que el mercado creció en cerca de $</w:t>
      </w:r>
      <w:r w:rsidR="1428BE71" w:rsidRPr="005503B4">
        <w:rPr>
          <w:lang w:val="es-CO" w:eastAsia="es-ES"/>
        </w:rPr>
        <w:t>30</w:t>
      </w:r>
      <w:r w:rsidRPr="005503B4">
        <w:rPr>
          <w:lang w:val="es-CO" w:eastAsia="es-ES"/>
        </w:rPr>
        <w:t xml:space="preserve"> mil millones hasta el 202</w:t>
      </w:r>
      <w:r w:rsidR="1428BE71" w:rsidRPr="005503B4">
        <w:rPr>
          <w:lang w:val="es-CO" w:eastAsia="es-ES"/>
        </w:rPr>
        <w:t xml:space="preserve">1. </w:t>
      </w:r>
      <w:r w:rsidRPr="005503B4">
        <w:rPr>
          <w:lang w:val="es-CO" w:eastAsia="es-ES"/>
        </w:rPr>
        <w:t xml:space="preserve">Nótese, sin embargo, que </w:t>
      </w:r>
      <w:r w:rsidR="00A7223A" w:rsidRPr="005503B4">
        <w:rPr>
          <w:lang w:val="es-CO" w:eastAsia="es-ES"/>
        </w:rPr>
        <w:t>entre 2020</w:t>
      </w:r>
      <w:r w:rsidR="2CFE0F9E" w:rsidRPr="005503B4">
        <w:rPr>
          <w:lang w:val="es-CO" w:eastAsia="es-ES"/>
        </w:rPr>
        <w:t xml:space="preserve"> y 2021</w:t>
      </w:r>
      <w:r w:rsidRPr="005503B4">
        <w:rPr>
          <w:lang w:val="es-CO" w:eastAsia="es-ES"/>
        </w:rPr>
        <w:t xml:space="preserve">, el tamaño de </w:t>
      </w:r>
      <w:r w:rsidR="009C7268">
        <w:rPr>
          <w:lang w:val="es-CO" w:eastAsia="es-ES"/>
        </w:rPr>
        <w:t>los ingresos</w:t>
      </w:r>
      <w:r w:rsidRPr="005503B4">
        <w:rPr>
          <w:lang w:val="es-CO" w:eastAsia="es-ES"/>
        </w:rPr>
        <w:t xml:space="preserve"> habría </w:t>
      </w:r>
      <w:r w:rsidR="2CFE0F9E" w:rsidRPr="005503B4">
        <w:rPr>
          <w:lang w:val="es-CO" w:eastAsia="es-ES"/>
        </w:rPr>
        <w:t>casi que decrecido a los niveles de cuando se abrió el mercado en el año 2015.</w:t>
      </w:r>
      <w:r w:rsidRPr="005503B4">
        <w:rPr>
          <w:lang w:val="es-CO" w:eastAsia="es-ES"/>
        </w:rPr>
        <w:t xml:space="preserve"> </w:t>
      </w:r>
    </w:p>
    <w:p w14:paraId="4EC1DB72" w14:textId="1B2921D3" w:rsidR="002F6BE3" w:rsidRPr="005503B4" w:rsidRDefault="13985CC2" w:rsidP="002F6BE3">
      <w:pPr>
        <w:rPr>
          <w:lang w:val="es-CO" w:eastAsia="es-ES"/>
        </w:rPr>
      </w:pPr>
      <w:r w:rsidRPr="005503B4">
        <w:rPr>
          <w:lang w:val="es-CO" w:eastAsia="es-ES"/>
        </w:rPr>
        <w:t xml:space="preserve">Este comportamiento se explica, básicamente, por dos fenómenos que han estado en juego en la evolución del mercado en el período. En primer lugar, la apertura del mercado en el año 2014 y la entrada y consolidación de nuevos operadores en los años subsiguientes, adicionales a SPN, que mantenía el monopolio del mercado hasta ese año, esto dinamizó la industria de giros postales y generó eficiencias de significancia entre los años de 2014 y 2018.  </w:t>
      </w:r>
    </w:p>
    <w:p w14:paraId="4700157A" w14:textId="5D80FC59" w:rsidR="001F1996" w:rsidRPr="005503B4" w:rsidRDefault="13985CC2" w:rsidP="353D2129">
      <w:pPr>
        <w:rPr>
          <w:lang w:val="es-CO" w:eastAsia="es-ES"/>
        </w:rPr>
      </w:pPr>
      <w:r w:rsidRPr="005503B4">
        <w:rPr>
          <w:lang w:val="es-CO" w:eastAsia="es-ES"/>
        </w:rPr>
        <w:t xml:space="preserve">En segundo lugar, y pese a lo anterior, el mercado se </w:t>
      </w:r>
      <w:r w:rsidR="1EB4A008" w:rsidRPr="005503B4">
        <w:rPr>
          <w:lang w:val="es-CO" w:eastAsia="es-ES"/>
        </w:rPr>
        <w:t xml:space="preserve">podría </w:t>
      </w:r>
      <w:r w:rsidRPr="005503B4">
        <w:rPr>
          <w:lang w:val="es-CO" w:eastAsia="es-ES"/>
        </w:rPr>
        <w:t xml:space="preserve">está viendo afectado por el advenimiento de nuevos servicios y plataformas de giro financiero diseñadas y lanzadas al mercado colombiano, principalmente por actores del sector bancario que, como Davivienda y Bancolombia, con sus productos </w:t>
      </w:r>
      <w:proofErr w:type="spellStart"/>
      <w:r w:rsidRPr="005503B4">
        <w:rPr>
          <w:lang w:val="es-CO" w:eastAsia="es-ES"/>
        </w:rPr>
        <w:t>Daviplata</w:t>
      </w:r>
      <w:proofErr w:type="spellEnd"/>
      <w:r w:rsidRPr="005503B4">
        <w:rPr>
          <w:lang w:val="es-CO" w:eastAsia="es-ES"/>
        </w:rPr>
        <w:t xml:space="preserve"> y </w:t>
      </w:r>
      <w:proofErr w:type="spellStart"/>
      <w:r w:rsidRPr="005503B4">
        <w:rPr>
          <w:lang w:val="es-CO" w:eastAsia="es-ES"/>
        </w:rPr>
        <w:t>Nequi</w:t>
      </w:r>
      <w:proofErr w:type="spellEnd"/>
      <w:r w:rsidRPr="005503B4">
        <w:rPr>
          <w:lang w:val="es-CO" w:eastAsia="es-ES"/>
        </w:rPr>
        <w:t>, entraron a competir con fuerza con los operado</w:t>
      </w:r>
      <w:r w:rsidR="1EB4A008" w:rsidRPr="005503B4">
        <w:rPr>
          <w:lang w:val="es-CO" w:eastAsia="es-ES"/>
        </w:rPr>
        <w:t>re</w:t>
      </w:r>
      <w:r w:rsidRPr="005503B4">
        <w:rPr>
          <w:lang w:val="es-CO" w:eastAsia="es-ES"/>
        </w:rPr>
        <w:t>s de giros postales de pago, en aquellos puntos donde dichas entidades contaban con redes de oficinas y puntos de pago, y en los mismos segmentos de los operadores postales de pago.</w:t>
      </w:r>
      <w:r w:rsidR="675504F0" w:rsidRPr="005503B4">
        <w:rPr>
          <w:lang w:val="es-CO" w:eastAsia="es-ES"/>
        </w:rPr>
        <w:t xml:space="preserve"> </w:t>
      </w:r>
    </w:p>
    <w:p w14:paraId="710F67E2" w14:textId="02D577CA" w:rsidR="001F1996" w:rsidRPr="005503B4" w:rsidRDefault="675504F0" w:rsidP="001F1996">
      <w:pPr>
        <w:rPr>
          <w:lang w:val="es-CO" w:eastAsia="es-ES"/>
        </w:rPr>
      </w:pPr>
      <w:r w:rsidRPr="005503B4">
        <w:rPr>
          <w:lang w:val="es-CO" w:eastAsia="es-ES"/>
        </w:rPr>
        <w:lastRenderedPageBreak/>
        <w:t xml:space="preserve">Ha </w:t>
      </w:r>
      <w:r w:rsidR="12B7189B" w:rsidRPr="005503B4">
        <w:rPr>
          <w:lang w:val="es-CO" w:eastAsia="es-ES"/>
        </w:rPr>
        <w:t>podido contribuir a esta presión competitiva, el efecto de los programas de bancarización en zonas rurales, o poco cubiertas, que ha adelantado el Gobierno Nacional a través de la Banca de las Oportunidades, que ha aumentado la tasa de bancarización en dichas zonas en los últimos años. (</w:t>
      </w:r>
      <w:proofErr w:type="spellStart"/>
      <w:r w:rsidR="12B7189B" w:rsidRPr="005503B4">
        <w:rPr>
          <w:lang w:val="es-CO" w:eastAsia="es-ES"/>
        </w:rPr>
        <w:t>BanOpor</w:t>
      </w:r>
      <w:proofErr w:type="spellEnd"/>
      <w:r w:rsidR="12B7189B" w:rsidRPr="005503B4">
        <w:rPr>
          <w:lang w:val="es-CO" w:eastAsia="es-ES"/>
        </w:rPr>
        <w:t>, 2022).</w:t>
      </w:r>
    </w:p>
    <w:p w14:paraId="438A704C" w14:textId="2C2FEEEA" w:rsidR="002F6BE3" w:rsidRPr="005503B4" w:rsidRDefault="13985CC2" w:rsidP="002F6BE3">
      <w:pPr>
        <w:rPr>
          <w:lang w:val="es-CO" w:eastAsia="es-ES"/>
        </w:rPr>
      </w:pPr>
      <w:r w:rsidRPr="005503B4">
        <w:rPr>
          <w:lang w:val="es-CO" w:eastAsia="es-ES"/>
        </w:rPr>
        <w:t xml:space="preserve">Este fenómeno se explicará y justificará </w:t>
      </w:r>
      <w:r w:rsidR="00A7223A" w:rsidRPr="005503B4">
        <w:rPr>
          <w:lang w:val="es-CO" w:eastAsia="es-ES"/>
        </w:rPr>
        <w:t>con mucho</w:t>
      </w:r>
      <w:r w:rsidRPr="005503B4">
        <w:rPr>
          <w:lang w:val="es-CO" w:eastAsia="es-ES"/>
        </w:rPr>
        <w:t xml:space="preserve"> más detalle en la sección </w:t>
      </w:r>
      <w:r w:rsidR="002F6BE3" w:rsidRPr="005503B4">
        <w:rPr>
          <w:lang w:val="es-CO" w:eastAsia="es-ES"/>
        </w:rPr>
        <w:fldChar w:fldCharType="begin"/>
      </w:r>
      <w:r w:rsidR="002F6BE3" w:rsidRPr="005503B4">
        <w:rPr>
          <w:lang w:val="es-CO" w:eastAsia="es-ES"/>
        </w:rPr>
        <w:instrText xml:space="preserve"> REF _Ref101688228 \r \h </w:instrText>
      </w:r>
      <w:r w:rsidR="005503B4">
        <w:rPr>
          <w:lang w:val="es-CO" w:eastAsia="es-ES"/>
        </w:rPr>
        <w:instrText xml:space="preserve"> \* MERGEFORMAT </w:instrText>
      </w:r>
      <w:r w:rsidR="002F6BE3" w:rsidRPr="005503B4">
        <w:rPr>
          <w:lang w:val="es-CO" w:eastAsia="es-ES"/>
        </w:rPr>
      </w:r>
      <w:r w:rsidR="002F6BE3" w:rsidRPr="005503B4">
        <w:rPr>
          <w:lang w:val="es-CO" w:eastAsia="es-ES"/>
        </w:rPr>
        <w:fldChar w:fldCharType="separate"/>
      </w:r>
      <w:r w:rsidR="00C57FCA">
        <w:rPr>
          <w:lang w:val="es-CO" w:eastAsia="es-ES"/>
        </w:rPr>
        <w:t>6.3</w:t>
      </w:r>
      <w:r w:rsidR="002F6BE3" w:rsidRPr="005503B4">
        <w:rPr>
          <w:lang w:val="es-CO" w:eastAsia="es-ES"/>
        </w:rPr>
        <w:fldChar w:fldCharType="end"/>
      </w:r>
      <w:r w:rsidRPr="005503B4">
        <w:rPr>
          <w:lang w:val="es-CO" w:eastAsia="es-ES"/>
        </w:rPr>
        <w:t xml:space="preserve">, en la </w:t>
      </w:r>
      <w:r w:rsidR="00A7223A" w:rsidRPr="005503B4">
        <w:rPr>
          <w:lang w:val="es-CO" w:eastAsia="es-ES"/>
        </w:rPr>
        <w:t>que se</w:t>
      </w:r>
      <w:r w:rsidRPr="005503B4">
        <w:rPr>
          <w:lang w:val="es-CO" w:eastAsia="es-ES"/>
        </w:rPr>
        <w:t xml:space="preserve"> presentará la evolución de los servicios Fintech y de los servicios bancarios de pago de dinero, utilizando sus redes y puntos de pago existentes en la actualidad</w:t>
      </w:r>
      <w:r w:rsidR="5DA4F872" w:rsidRPr="005503B4">
        <w:rPr>
          <w:lang w:val="es-CO" w:eastAsia="es-ES"/>
        </w:rPr>
        <w:t>.</w:t>
      </w:r>
    </w:p>
    <w:p w14:paraId="389E9C17" w14:textId="4E73097A" w:rsidR="002F6BE3" w:rsidRPr="005503B4" w:rsidRDefault="13985CC2" w:rsidP="353D2129">
      <w:pPr>
        <w:rPr>
          <w:lang w:val="es-CO" w:eastAsia="es-ES"/>
        </w:rPr>
      </w:pPr>
      <w:r w:rsidRPr="005503B4">
        <w:rPr>
          <w:lang w:val="es-CO" w:eastAsia="es-ES"/>
        </w:rPr>
        <w:t xml:space="preserve">A efectos de profundizar mejor en la realidad de la estructura del mercado postal en Colombia, medida en término de envíos anuales de giros, , en la </w:t>
      </w:r>
      <w:r w:rsidR="002F6BE3" w:rsidRPr="005503B4">
        <w:rPr>
          <w:lang w:val="es-CO" w:eastAsia="es-ES"/>
        </w:rPr>
        <w:fldChar w:fldCharType="begin"/>
      </w:r>
      <w:r w:rsidR="002F6BE3" w:rsidRPr="005503B4">
        <w:rPr>
          <w:lang w:val="es-CO" w:eastAsia="es-ES"/>
        </w:rPr>
        <w:instrText xml:space="preserve"> REF _Ref101339375 \h </w:instrText>
      </w:r>
      <w:r w:rsidR="005503B4">
        <w:rPr>
          <w:lang w:val="es-CO" w:eastAsia="es-ES"/>
        </w:rPr>
        <w:instrText xml:space="preserve"> \* MERGEFORMAT </w:instrText>
      </w:r>
      <w:r w:rsidR="002F6BE3" w:rsidRPr="005503B4">
        <w:rPr>
          <w:lang w:val="es-CO" w:eastAsia="es-ES"/>
        </w:rPr>
      </w:r>
      <w:r w:rsidR="002F6BE3" w:rsidRPr="005503B4">
        <w:rPr>
          <w:lang w:val="es-CO" w:eastAsia="es-ES"/>
        </w:rPr>
        <w:fldChar w:fldCharType="separate"/>
      </w:r>
      <w:r w:rsidR="00C57FCA" w:rsidRPr="005503B4">
        <w:t xml:space="preserve">Tabla </w:t>
      </w:r>
      <w:r w:rsidR="00C57FCA">
        <w:rPr>
          <w:noProof/>
        </w:rPr>
        <w:t>6</w:t>
      </w:r>
      <w:r w:rsidR="00C57FCA" w:rsidRPr="005503B4">
        <w:rPr>
          <w:noProof/>
        </w:rPr>
        <w:noBreakHyphen/>
      </w:r>
      <w:r w:rsidR="00C57FCA">
        <w:rPr>
          <w:noProof/>
        </w:rPr>
        <w:t>3</w:t>
      </w:r>
      <w:r w:rsidR="002F6BE3" w:rsidRPr="005503B4">
        <w:rPr>
          <w:lang w:val="es-CO" w:eastAsia="es-ES"/>
        </w:rPr>
        <w:fldChar w:fldCharType="end"/>
      </w:r>
      <w:r w:rsidRPr="005503B4">
        <w:rPr>
          <w:lang w:val="es-CO" w:eastAsia="es-ES"/>
        </w:rPr>
        <w:t xml:space="preserve"> se presenta una dimensión adicional que permite comprender con mayor profundidad la dinámica del mercado, mostrando el tamaño del mercado de giros postales, medido ahora desde la óptica del volumen de giros  cursados a través de los actores del mercado postal, para el período comprendido entre los años 2017 y 2021. </w:t>
      </w:r>
    </w:p>
    <w:p w14:paraId="3102F7A4" w14:textId="6BD5397D" w:rsidR="002F6BE3" w:rsidRPr="005503B4" w:rsidRDefault="13985CC2" w:rsidP="353D2129">
      <w:pPr>
        <w:rPr>
          <w:lang w:val="es-CO" w:eastAsia="es-ES"/>
        </w:rPr>
      </w:pPr>
      <w:r w:rsidRPr="005503B4">
        <w:rPr>
          <w:lang w:val="es-CO" w:eastAsia="es-ES"/>
        </w:rPr>
        <w:t>En este sentido, se encontró que el número de envíos que han cursado los operadores de giros postales, contrario a lo que ha sucedido con el volumen de ingresos, ha crecido a lo largo del período a una tasa anual promedio del 18,4%</w:t>
      </w:r>
      <w:r w:rsidR="7311B3DA" w:rsidRPr="005503B4">
        <w:rPr>
          <w:lang w:val="es-CO" w:eastAsia="es-ES"/>
        </w:rPr>
        <w:t xml:space="preserve"> hasta el año 2020</w:t>
      </w:r>
      <w:r w:rsidRPr="005503B4">
        <w:rPr>
          <w:lang w:val="es-CO" w:eastAsia="es-ES"/>
        </w:rPr>
        <w:t xml:space="preserve">. </w:t>
      </w:r>
      <w:r w:rsidR="7311B3DA" w:rsidRPr="005503B4">
        <w:rPr>
          <w:lang w:val="es-CO" w:eastAsia="es-ES"/>
        </w:rPr>
        <w:t xml:space="preserve">Pese a lo anterior, el número de giros cayó en el año 2021 a 127,7 millones de giros postales, presentando una desaceleración en el volumen de </w:t>
      </w:r>
      <w:proofErr w:type="gramStart"/>
      <w:r w:rsidR="7311B3DA" w:rsidRPr="005503B4">
        <w:rPr>
          <w:lang w:val="es-CO" w:eastAsia="es-ES"/>
        </w:rPr>
        <w:t xml:space="preserve">los </w:t>
      </w:r>
      <w:r w:rsidR="00A7223A" w:rsidRPr="005503B4">
        <w:rPr>
          <w:lang w:val="es-CO" w:eastAsia="es-ES"/>
        </w:rPr>
        <w:t>mismos</w:t>
      </w:r>
      <w:proofErr w:type="gramEnd"/>
      <w:r w:rsidR="00A7223A" w:rsidRPr="005503B4">
        <w:rPr>
          <w:lang w:val="es-CO" w:eastAsia="es-ES"/>
        </w:rPr>
        <w:t>, que</w:t>
      </w:r>
      <w:r w:rsidR="7311B3DA" w:rsidRPr="005503B4">
        <w:rPr>
          <w:lang w:val="es-CO" w:eastAsia="es-ES"/>
        </w:rPr>
        <w:t xml:space="preserve"> redujo la tasa de crecimiento anual al 12%.</w:t>
      </w:r>
    </w:p>
    <w:p w14:paraId="59E314DC" w14:textId="418A809F" w:rsidR="002F6BE3" w:rsidRPr="005503B4" w:rsidRDefault="002F6BE3" w:rsidP="002F6BE3">
      <w:pPr>
        <w:pStyle w:val="Descripcin"/>
        <w:ind w:right="707" w:hanging="1418"/>
        <w:rPr>
          <w:sz w:val="16"/>
          <w:szCs w:val="16"/>
        </w:rPr>
      </w:pPr>
      <w:bookmarkStart w:id="242" w:name="_Ref101339375"/>
      <w:bookmarkStart w:id="243" w:name="_Toc101865471"/>
      <w:bookmarkStart w:id="244" w:name="_Toc104227932"/>
      <w:r w:rsidRPr="005503B4">
        <w:t xml:space="preserve">Tabla </w:t>
      </w:r>
      <w:r w:rsidRPr="005503B4">
        <w:fldChar w:fldCharType="begin"/>
      </w:r>
      <w:r w:rsidRPr="005503B4">
        <w:instrText>STYLEREF 1 \s</w:instrText>
      </w:r>
      <w:r w:rsidRPr="005503B4">
        <w:fldChar w:fldCharType="separate"/>
      </w:r>
      <w:r w:rsidR="00C57FCA">
        <w:rPr>
          <w:noProof/>
        </w:rPr>
        <w:t>6</w:t>
      </w:r>
      <w:r w:rsidRPr="005503B4">
        <w:fldChar w:fldCharType="end"/>
      </w:r>
      <w:r w:rsidRPr="005503B4">
        <w:noBreakHyphen/>
      </w:r>
      <w:r w:rsidRPr="005503B4">
        <w:fldChar w:fldCharType="begin"/>
      </w:r>
      <w:r w:rsidRPr="005503B4">
        <w:instrText>SEQ Tabla \* ARABIC \s 1</w:instrText>
      </w:r>
      <w:r w:rsidRPr="005503B4">
        <w:fldChar w:fldCharType="separate"/>
      </w:r>
      <w:r w:rsidR="00C57FCA">
        <w:rPr>
          <w:noProof/>
        </w:rPr>
        <w:t>3</w:t>
      </w:r>
      <w:r w:rsidRPr="005503B4">
        <w:fldChar w:fldCharType="end"/>
      </w:r>
      <w:bookmarkEnd w:id="242"/>
      <w:r w:rsidRPr="005503B4">
        <w:t xml:space="preserve"> – El tamaño de mercado de giros postales – Número de giros postales cursados a través de los actores del mercado </w:t>
      </w:r>
      <w:r w:rsidRPr="005503B4">
        <w:rPr>
          <w:sz w:val="16"/>
          <w:szCs w:val="16"/>
        </w:rPr>
        <w:t>(Miles de envíos)</w:t>
      </w:r>
      <w:bookmarkEnd w:id="243"/>
      <w:bookmarkEnd w:id="244"/>
    </w:p>
    <w:tbl>
      <w:tblPr>
        <w:tblW w:w="9280" w:type="dxa"/>
        <w:tblCellMar>
          <w:left w:w="70" w:type="dxa"/>
          <w:right w:w="70" w:type="dxa"/>
        </w:tblCellMar>
        <w:tblLook w:val="04A0" w:firstRow="1" w:lastRow="0" w:firstColumn="1" w:lastColumn="0" w:noHBand="0" w:noVBand="1"/>
      </w:tblPr>
      <w:tblGrid>
        <w:gridCol w:w="2780"/>
        <w:gridCol w:w="1300"/>
        <w:gridCol w:w="1300"/>
        <w:gridCol w:w="1300"/>
        <w:gridCol w:w="1360"/>
        <w:gridCol w:w="1240"/>
      </w:tblGrid>
      <w:tr w:rsidR="00785B3B" w:rsidRPr="005503B4" w14:paraId="7BD27B3C" w14:textId="77777777" w:rsidTr="00785B3B">
        <w:trPr>
          <w:trHeight w:val="240"/>
        </w:trPr>
        <w:tc>
          <w:tcPr>
            <w:tcW w:w="2780" w:type="dxa"/>
            <w:tcBorders>
              <w:top w:val="single" w:sz="4" w:space="0" w:color="A6A6A6"/>
              <w:left w:val="single" w:sz="4" w:space="0" w:color="A6A6A6"/>
              <w:bottom w:val="single" w:sz="4" w:space="0" w:color="8EA9DB"/>
              <w:right w:val="nil"/>
            </w:tcBorders>
            <w:shd w:val="clear" w:color="D9E1F2" w:fill="D9E1F2"/>
            <w:noWrap/>
            <w:vAlign w:val="bottom"/>
            <w:hideMark/>
          </w:tcPr>
          <w:p w14:paraId="3B6ECB5E" w14:textId="77777777" w:rsidR="00785B3B" w:rsidRPr="005503B4" w:rsidRDefault="00785B3B" w:rsidP="00785B3B">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Segmento \ Año</w:t>
            </w:r>
          </w:p>
        </w:tc>
        <w:tc>
          <w:tcPr>
            <w:tcW w:w="1300" w:type="dxa"/>
            <w:tcBorders>
              <w:top w:val="single" w:sz="4" w:space="0" w:color="A6A6A6"/>
              <w:left w:val="nil"/>
              <w:bottom w:val="single" w:sz="4" w:space="0" w:color="8EA9DB"/>
              <w:right w:val="nil"/>
            </w:tcBorders>
            <w:shd w:val="clear" w:color="D9E1F2" w:fill="D9E1F2"/>
            <w:noWrap/>
            <w:vAlign w:val="bottom"/>
            <w:hideMark/>
          </w:tcPr>
          <w:p w14:paraId="247CB3C9" w14:textId="77777777" w:rsidR="00785B3B" w:rsidRPr="005503B4" w:rsidRDefault="00785B3B" w:rsidP="00785B3B">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2.017</w:t>
            </w:r>
          </w:p>
        </w:tc>
        <w:tc>
          <w:tcPr>
            <w:tcW w:w="1300" w:type="dxa"/>
            <w:tcBorders>
              <w:top w:val="single" w:sz="4" w:space="0" w:color="A6A6A6"/>
              <w:left w:val="nil"/>
              <w:bottom w:val="single" w:sz="4" w:space="0" w:color="8EA9DB"/>
              <w:right w:val="nil"/>
            </w:tcBorders>
            <w:shd w:val="clear" w:color="D9E1F2" w:fill="D9E1F2"/>
            <w:noWrap/>
            <w:vAlign w:val="bottom"/>
            <w:hideMark/>
          </w:tcPr>
          <w:p w14:paraId="5F09E94E" w14:textId="77777777" w:rsidR="00785B3B" w:rsidRPr="005503B4" w:rsidRDefault="00785B3B" w:rsidP="00785B3B">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2.018</w:t>
            </w:r>
          </w:p>
        </w:tc>
        <w:tc>
          <w:tcPr>
            <w:tcW w:w="1300" w:type="dxa"/>
            <w:tcBorders>
              <w:top w:val="single" w:sz="4" w:space="0" w:color="A6A6A6"/>
              <w:left w:val="nil"/>
              <w:bottom w:val="single" w:sz="4" w:space="0" w:color="8EA9DB"/>
              <w:right w:val="nil"/>
            </w:tcBorders>
            <w:shd w:val="clear" w:color="D9E1F2" w:fill="D9E1F2"/>
            <w:noWrap/>
            <w:vAlign w:val="bottom"/>
            <w:hideMark/>
          </w:tcPr>
          <w:p w14:paraId="1A483386" w14:textId="77777777" w:rsidR="00785B3B" w:rsidRPr="005503B4" w:rsidRDefault="00785B3B" w:rsidP="00785B3B">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2.019</w:t>
            </w:r>
          </w:p>
        </w:tc>
        <w:tc>
          <w:tcPr>
            <w:tcW w:w="1360" w:type="dxa"/>
            <w:tcBorders>
              <w:top w:val="single" w:sz="4" w:space="0" w:color="A6A6A6"/>
              <w:left w:val="nil"/>
              <w:bottom w:val="single" w:sz="4" w:space="0" w:color="8EA9DB"/>
              <w:right w:val="nil"/>
            </w:tcBorders>
            <w:shd w:val="clear" w:color="D9E1F2" w:fill="D9E1F2"/>
            <w:noWrap/>
            <w:vAlign w:val="bottom"/>
            <w:hideMark/>
          </w:tcPr>
          <w:p w14:paraId="5EED5B84" w14:textId="77777777" w:rsidR="00785B3B" w:rsidRPr="005503B4" w:rsidRDefault="00785B3B" w:rsidP="00785B3B">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2.020</w:t>
            </w:r>
          </w:p>
        </w:tc>
        <w:tc>
          <w:tcPr>
            <w:tcW w:w="1240" w:type="dxa"/>
            <w:tcBorders>
              <w:top w:val="single" w:sz="4" w:space="0" w:color="A6A6A6"/>
              <w:left w:val="nil"/>
              <w:bottom w:val="single" w:sz="4" w:space="0" w:color="8EA9DB"/>
              <w:right w:val="single" w:sz="4" w:space="0" w:color="A6A6A6"/>
            </w:tcBorders>
            <w:shd w:val="clear" w:color="D9E1F2" w:fill="D9E1F2"/>
            <w:noWrap/>
            <w:vAlign w:val="bottom"/>
            <w:hideMark/>
          </w:tcPr>
          <w:p w14:paraId="52DCCDDD" w14:textId="77777777" w:rsidR="00785B3B" w:rsidRPr="005503B4" w:rsidRDefault="00785B3B" w:rsidP="00785B3B">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2.021</w:t>
            </w:r>
          </w:p>
        </w:tc>
      </w:tr>
      <w:tr w:rsidR="00785B3B" w:rsidRPr="005503B4" w14:paraId="00C6C88F" w14:textId="77777777" w:rsidTr="00785B3B">
        <w:trPr>
          <w:trHeight w:val="240"/>
        </w:trPr>
        <w:tc>
          <w:tcPr>
            <w:tcW w:w="2780" w:type="dxa"/>
            <w:tcBorders>
              <w:top w:val="nil"/>
              <w:left w:val="single" w:sz="4" w:space="0" w:color="A6A6A6"/>
              <w:bottom w:val="nil"/>
              <w:right w:val="nil"/>
            </w:tcBorders>
            <w:shd w:val="clear" w:color="000000" w:fill="FFFFFF"/>
            <w:noWrap/>
            <w:vAlign w:val="bottom"/>
            <w:hideMark/>
          </w:tcPr>
          <w:p w14:paraId="54CEB8D6" w14:textId="77777777" w:rsidR="00785B3B" w:rsidRPr="005503B4" w:rsidRDefault="00785B3B" w:rsidP="00785B3B">
            <w:pPr>
              <w:spacing w:before="0" w:after="0" w:line="240" w:lineRule="auto"/>
              <w:ind w:firstLineChars="100" w:firstLine="18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Giros internacionales</w:t>
            </w:r>
          </w:p>
        </w:tc>
        <w:tc>
          <w:tcPr>
            <w:tcW w:w="1300" w:type="dxa"/>
            <w:tcBorders>
              <w:top w:val="nil"/>
              <w:left w:val="nil"/>
              <w:bottom w:val="nil"/>
              <w:right w:val="nil"/>
            </w:tcBorders>
            <w:shd w:val="clear" w:color="000000" w:fill="FFFFFF"/>
            <w:noWrap/>
            <w:vAlign w:val="bottom"/>
            <w:hideMark/>
          </w:tcPr>
          <w:p w14:paraId="1995D651"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68</w:t>
            </w:r>
          </w:p>
        </w:tc>
        <w:tc>
          <w:tcPr>
            <w:tcW w:w="1300" w:type="dxa"/>
            <w:tcBorders>
              <w:top w:val="nil"/>
              <w:left w:val="nil"/>
              <w:bottom w:val="nil"/>
              <w:right w:val="nil"/>
            </w:tcBorders>
            <w:shd w:val="clear" w:color="000000" w:fill="FFFFFF"/>
            <w:noWrap/>
            <w:vAlign w:val="bottom"/>
            <w:hideMark/>
          </w:tcPr>
          <w:p w14:paraId="244B9C79"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97</w:t>
            </w:r>
          </w:p>
        </w:tc>
        <w:tc>
          <w:tcPr>
            <w:tcW w:w="1300" w:type="dxa"/>
            <w:tcBorders>
              <w:top w:val="nil"/>
              <w:left w:val="nil"/>
              <w:bottom w:val="nil"/>
              <w:right w:val="nil"/>
            </w:tcBorders>
            <w:shd w:val="clear" w:color="000000" w:fill="FFFFFF"/>
            <w:noWrap/>
            <w:vAlign w:val="bottom"/>
            <w:hideMark/>
          </w:tcPr>
          <w:p w14:paraId="03BE8688"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107</w:t>
            </w:r>
          </w:p>
        </w:tc>
        <w:tc>
          <w:tcPr>
            <w:tcW w:w="1360" w:type="dxa"/>
            <w:tcBorders>
              <w:top w:val="nil"/>
              <w:left w:val="nil"/>
              <w:bottom w:val="nil"/>
              <w:right w:val="nil"/>
            </w:tcBorders>
            <w:shd w:val="clear" w:color="000000" w:fill="FFFFFF"/>
            <w:noWrap/>
            <w:vAlign w:val="bottom"/>
            <w:hideMark/>
          </w:tcPr>
          <w:p w14:paraId="3F3BC834"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90</w:t>
            </w:r>
          </w:p>
        </w:tc>
        <w:tc>
          <w:tcPr>
            <w:tcW w:w="1240" w:type="dxa"/>
            <w:tcBorders>
              <w:top w:val="nil"/>
              <w:left w:val="nil"/>
              <w:bottom w:val="nil"/>
              <w:right w:val="single" w:sz="4" w:space="0" w:color="A6A6A6"/>
            </w:tcBorders>
            <w:shd w:val="clear" w:color="000000" w:fill="FFFFFF"/>
            <w:noWrap/>
            <w:vAlign w:val="bottom"/>
            <w:hideMark/>
          </w:tcPr>
          <w:p w14:paraId="737C4097"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104</w:t>
            </w:r>
          </w:p>
        </w:tc>
      </w:tr>
      <w:tr w:rsidR="00785B3B" w:rsidRPr="005503B4" w14:paraId="4D4F1A3D" w14:textId="77777777" w:rsidTr="00785B3B">
        <w:trPr>
          <w:trHeight w:val="240"/>
        </w:trPr>
        <w:tc>
          <w:tcPr>
            <w:tcW w:w="2780" w:type="dxa"/>
            <w:tcBorders>
              <w:top w:val="nil"/>
              <w:left w:val="single" w:sz="4" w:space="0" w:color="A6A6A6"/>
              <w:bottom w:val="nil"/>
              <w:right w:val="nil"/>
            </w:tcBorders>
            <w:shd w:val="clear" w:color="000000" w:fill="FFFFFF"/>
            <w:noWrap/>
            <w:vAlign w:val="bottom"/>
            <w:hideMark/>
          </w:tcPr>
          <w:p w14:paraId="6508D869" w14:textId="77777777" w:rsidR="00785B3B" w:rsidRPr="005503B4" w:rsidRDefault="00785B3B" w:rsidP="00785B3B">
            <w:pPr>
              <w:spacing w:before="0" w:after="0" w:line="240" w:lineRule="auto"/>
              <w:ind w:firstLineChars="300" w:firstLine="54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Entrante</w:t>
            </w:r>
          </w:p>
        </w:tc>
        <w:tc>
          <w:tcPr>
            <w:tcW w:w="1300" w:type="dxa"/>
            <w:tcBorders>
              <w:top w:val="nil"/>
              <w:left w:val="nil"/>
              <w:bottom w:val="nil"/>
              <w:right w:val="nil"/>
            </w:tcBorders>
            <w:shd w:val="clear" w:color="000000" w:fill="FFFFFF"/>
            <w:noWrap/>
            <w:vAlign w:val="bottom"/>
            <w:hideMark/>
          </w:tcPr>
          <w:p w14:paraId="1F631268"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45</w:t>
            </w:r>
          </w:p>
        </w:tc>
        <w:tc>
          <w:tcPr>
            <w:tcW w:w="1300" w:type="dxa"/>
            <w:tcBorders>
              <w:top w:val="nil"/>
              <w:left w:val="nil"/>
              <w:bottom w:val="nil"/>
              <w:right w:val="nil"/>
            </w:tcBorders>
            <w:shd w:val="clear" w:color="000000" w:fill="FFFFFF"/>
            <w:noWrap/>
            <w:vAlign w:val="bottom"/>
            <w:hideMark/>
          </w:tcPr>
          <w:p w14:paraId="36C5F20E"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63</w:t>
            </w:r>
          </w:p>
        </w:tc>
        <w:tc>
          <w:tcPr>
            <w:tcW w:w="1300" w:type="dxa"/>
            <w:tcBorders>
              <w:top w:val="nil"/>
              <w:left w:val="nil"/>
              <w:bottom w:val="nil"/>
              <w:right w:val="nil"/>
            </w:tcBorders>
            <w:shd w:val="clear" w:color="000000" w:fill="FFFFFF"/>
            <w:noWrap/>
            <w:vAlign w:val="bottom"/>
            <w:hideMark/>
          </w:tcPr>
          <w:p w14:paraId="62E3C77E"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74</w:t>
            </w:r>
          </w:p>
        </w:tc>
        <w:tc>
          <w:tcPr>
            <w:tcW w:w="1360" w:type="dxa"/>
            <w:tcBorders>
              <w:top w:val="nil"/>
              <w:left w:val="nil"/>
              <w:bottom w:val="nil"/>
              <w:right w:val="nil"/>
            </w:tcBorders>
            <w:shd w:val="clear" w:color="000000" w:fill="FFFFFF"/>
            <w:noWrap/>
            <w:vAlign w:val="bottom"/>
            <w:hideMark/>
          </w:tcPr>
          <w:p w14:paraId="576926C1"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70</w:t>
            </w:r>
          </w:p>
        </w:tc>
        <w:tc>
          <w:tcPr>
            <w:tcW w:w="1240" w:type="dxa"/>
            <w:tcBorders>
              <w:top w:val="nil"/>
              <w:left w:val="nil"/>
              <w:bottom w:val="nil"/>
              <w:right w:val="single" w:sz="4" w:space="0" w:color="A6A6A6"/>
            </w:tcBorders>
            <w:shd w:val="clear" w:color="000000" w:fill="FFFFFF"/>
            <w:noWrap/>
            <w:vAlign w:val="bottom"/>
            <w:hideMark/>
          </w:tcPr>
          <w:p w14:paraId="7800AF39"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84</w:t>
            </w:r>
          </w:p>
        </w:tc>
      </w:tr>
      <w:tr w:rsidR="00785B3B" w:rsidRPr="005503B4" w14:paraId="6320721D" w14:textId="77777777" w:rsidTr="00785B3B">
        <w:trPr>
          <w:trHeight w:val="240"/>
        </w:trPr>
        <w:tc>
          <w:tcPr>
            <w:tcW w:w="2780" w:type="dxa"/>
            <w:tcBorders>
              <w:top w:val="nil"/>
              <w:left w:val="single" w:sz="4" w:space="0" w:color="A6A6A6"/>
              <w:bottom w:val="nil"/>
              <w:right w:val="nil"/>
            </w:tcBorders>
            <w:shd w:val="clear" w:color="000000" w:fill="FFFFFF"/>
            <w:noWrap/>
            <w:vAlign w:val="bottom"/>
            <w:hideMark/>
          </w:tcPr>
          <w:p w14:paraId="6EAE6BCD" w14:textId="77777777" w:rsidR="00785B3B" w:rsidRPr="005503B4" w:rsidRDefault="00785B3B" w:rsidP="00785B3B">
            <w:pPr>
              <w:spacing w:before="0" w:after="0" w:line="240" w:lineRule="auto"/>
              <w:ind w:firstLineChars="300" w:firstLine="54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Saliente</w:t>
            </w:r>
          </w:p>
        </w:tc>
        <w:tc>
          <w:tcPr>
            <w:tcW w:w="1300" w:type="dxa"/>
            <w:tcBorders>
              <w:top w:val="nil"/>
              <w:left w:val="nil"/>
              <w:bottom w:val="nil"/>
              <w:right w:val="nil"/>
            </w:tcBorders>
            <w:shd w:val="clear" w:color="000000" w:fill="FFFFFF"/>
            <w:noWrap/>
            <w:vAlign w:val="bottom"/>
            <w:hideMark/>
          </w:tcPr>
          <w:p w14:paraId="346A88EA"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23</w:t>
            </w:r>
          </w:p>
        </w:tc>
        <w:tc>
          <w:tcPr>
            <w:tcW w:w="1300" w:type="dxa"/>
            <w:tcBorders>
              <w:top w:val="nil"/>
              <w:left w:val="nil"/>
              <w:bottom w:val="nil"/>
              <w:right w:val="nil"/>
            </w:tcBorders>
            <w:shd w:val="clear" w:color="000000" w:fill="FFFFFF"/>
            <w:noWrap/>
            <w:vAlign w:val="bottom"/>
            <w:hideMark/>
          </w:tcPr>
          <w:p w14:paraId="76135325"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34</w:t>
            </w:r>
          </w:p>
        </w:tc>
        <w:tc>
          <w:tcPr>
            <w:tcW w:w="1300" w:type="dxa"/>
            <w:tcBorders>
              <w:top w:val="nil"/>
              <w:left w:val="nil"/>
              <w:bottom w:val="nil"/>
              <w:right w:val="nil"/>
            </w:tcBorders>
            <w:shd w:val="clear" w:color="000000" w:fill="FFFFFF"/>
            <w:noWrap/>
            <w:vAlign w:val="bottom"/>
            <w:hideMark/>
          </w:tcPr>
          <w:p w14:paraId="5E699FFC"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32</w:t>
            </w:r>
          </w:p>
        </w:tc>
        <w:tc>
          <w:tcPr>
            <w:tcW w:w="1360" w:type="dxa"/>
            <w:tcBorders>
              <w:top w:val="nil"/>
              <w:left w:val="nil"/>
              <w:bottom w:val="nil"/>
              <w:right w:val="nil"/>
            </w:tcBorders>
            <w:shd w:val="clear" w:color="000000" w:fill="FFFFFF"/>
            <w:noWrap/>
            <w:vAlign w:val="bottom"/>
            <w:hideMark/>
          </w:tcPr>
          <w:p w14:paraId="152B75F8"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20</w:t>
            </w:r>
          </w:p>
        </w:tc>
        <w:tc>
          <w:tcPr>
            <w:tcW w:w="1240" w:type="dxa"/>
            <w:tcBorders>
              <w:top w:val="nil"/>
              <w:left w:val="nil"/>
              <w:bottom w:val="nil"/>
              <w:right w:val="single" w:sz="4" w:space="0" w:color="A6A6A6"/>
            </w:tcBorders>
            <w:shd w:val="clear" w:color="000000" w:fill="FFFFFF"/>
            <w:noWrap/>
            <w:vAlign w:val="bottom"/>
            <w:hideMark/>
          </w:tcPr>
          <w:p w14:paraId="3F596264"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19</w:t>
            </w:r>
          </w:p>
        </w:tc>
      </w:tr>
      <w:tr w:rsidR="00785B3B" w:rsidRPr="005503B4" w14:paraId="1CEF0D4E" w14:textId="77777777" w:rsidTr="00785B3B">
        <w:trPr>
          <w:trHeight w:val="240"/>
        </w:trPr>
        <w:tc>
          <w:tcPr>
            <w:tcW w:w="2780" w:type="dxa"/>
            <w:tcBorders>
              <w:top w:val="nil"/>
              <w:left w:val="single" w:sz="4" w:space="0" w:color="A6A6A6"/>
              <w:bottom w:val="nil"/>
              <w:right w:val="nil"/>
            </w:tcBorders>
            <w:shd w:val="clear" w:color="000000" w:fill="FFFFFF"/>
            <w:noWrap/>
            <w:vAlign w:val="bottom"/>
            <w:hideMark/>
          </w:tcPr>
          <w:p w14:paraId="6EC6AFEE" w14:textId="77777777" w:rsidR="00785B3B" w:rsidRPr="005503B4" w:rsidRDefault="00785B3B" w:rsidP="00785B3B">
            <w:pPr>
              <w:spacing w:before="0" w:after="0" w:line="240" w:lineRule="auto"/>
              <w:ind w:firstLineChars="100" w:firstLine="18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Giros nacionales</w:t>
            </w:r>
          </w:p>
        </w:tc>
        <w:tc>
          <w:tcPr>
            <w:tcW w:w="1300" w:type="dxa"/>
            <w:tcBorders>
              <w:top w:val="nil"/>
              <w:left w:val="nil"/>
              <w:bottom w:val="nil"/>
              <w:right w:val="nil"/>
            </w:tcBorders>
            <w:shd w:val="clear" w:color="000000" w:fill="FFFFFF"/>
            <w:noWrap/>
            <w:vAlign w:val="bottom"/>
            <w:hideMark/>
          </w:tcPr>
          <w:p w14:paraId="57581ECB"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81.100</w:t>
            </w:r>
          </w:p>
        </w:tc>
        <w:tc>
          <w:tcPr>
            <w:tcW w:w="1300" w:type="dxa"/>
            <w:tcBorders>
              <w:top w:val="nil"/>
              <w:left w:val="nil"/>
              <w:bottom w:val="nil"/>
              <w:right w:val="nil"/>
            </w:tcBorders>
            <w:shd w:val="clear" w:color="000000" w:fill="FFFFFF"/>
            <w:noWrap/>
            <w:vAlign w:val="bottom"/>
            <w:hideMark/>
          </w:tcPr>
          <w:p w14:paraId="6AA229C9"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117.932</w:t>
            </w:r>
          </w:p>
        </w:tc>
        <w:tc>
          <w:tcPr>
            <w:tcW w:w="1300" w:type="dxa"/>
            <w:tcBorders>
              <w:top w:val="nil"/>
              <w:left w:val="nil"/>
              <w:bottom w:val="nil"/>
              <w:right w:val="nil"/>
            </w:tcBorders>
            <w:shd w:val="clear" w:color="000000" w:fill="FFFFFF"/>
            <w:noWrap/>
            <w:vAlign w:val="bottom"/>
            <w:hideMark/>
          </w:tcPr>
          <w:p w14:paraId="6A29EE44"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136.015</w:t>
            </w:r>
          </w:p>
        </w:tc>
        <w:tc>
          <w:tcPr>
            <w:tcW w:w="1360" w:type="dxa"/>
            <w:tcBorders>
              <w:top w:val="nil"/>
              <w:left w:val="nil"/>
              <w:bottom w:val="nil"/>
              <w:right w:val="nil"/>
            </w:tcBorders>
            <w:shd w:val="clear" w:color="000000" w:fill="FFFFFF"/>
            <w:noWrap/>
            <w:vAlign w:val="bottom"/>
            <w:hideMark/>
          </w:tcPr>
          <w:p w14:paraId="65A69645"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134.726</w:t>
            </w:r>
          </w:p>
        </w:tc>
        <w:tc>
          <w:tcPr>
            <w:tcW w:w="1240" w:type="dxa"/>
            <w:tcBorders>
              <w:top w:val="nil"/>
              <w:left w:val="nil"/>
              <w:bottom w:val="nil"/>
              <w:right w:val="single" w:sz="4" w:space="0" w:color="A6A6A6"/>
            </w:tcBorders>
            <w:shd w:val="clear" w:color="000000" w:fill="FFFFFF"/>
            <w:noWrap/>
            <w:vAlign w:val="bottom"/>
            <w:hideMark/>
          </w:tcPr>
          <w:p w14:paraId="42DFC0AA" w14:textId="77777777" w:rsidR="00785B3B" w:rsidRPr="005503B4" w:rsidRDefault="00785B3B" w:rsidP="00785B3B">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127.588</w:t>
            </w:r>
          </w:p>
        </w:tc>
      </w:tr>
      <w:tr w:rsidR="00785B3B" w:rsidRPr="005503B4" w14:paraId="1B3AAC4F" w14:textId="77777777" w:rsidTr="00785B3B">
        <w:trPr>
          <w:trHeight w:val="240"/>
        </w:trPr>
        <w:tc>
          <w:tcPr>
            <w:tcW w:w="2780" w:type="dxa"/>
            <w:tcBorders>
              <w:top w:val="single" w:sz="4" w:space="0" w:color="8EA9DB"/>
              <w:left w:val="single" w:sz="4" w:space="0" w:color="A6A6A6"/>
              <w:bottom w:val="single" w:sz="4" w:space="0" w:color="A6A6A6"/>
              <w:right w:val="nil"/>
            </w:tcBorders>
            <w:shd w:val="clear" w:color="D9E1F2" w:fill="D9E1F2"/>
            <w:noWrap/>
            <w:vAlign w:val="bottom"/>
            <w:hideMark/>
          </w:tcPr>
          <w:p w14:paraId="19DE311F" w14:textId="77777777" w:rsidR="00785B3B" w:rsidRPr="005503B4" w:rsidRDefault="00785B3B" w:rsidP="00785B3B">
            <w:pPr>
              <w:spacing w:before="0" w:after="0" w:line="240" w:lineRule="auto"/>
              <w:jc w:val="center"/>
              <w:rPr>
                <w:rFonts w:eastAsia="Times New Roman" w:cs="Segoe UI"/>
                <w:b/>
                <w:bCs/>
                <w:color w:val="000000"/>
                <w:sz w:val="18"/>
                <w:szCs w:val="18"/>
                <w:lang w:val="es-CO" w:eastAsia="es-CO"/>
              </w:rPr>
            </w:pPr>
            <w:proofErr w:type="gramStart"/>
            <w:r w:rsidRPr="005503B4">
              <w:rPr>
                <w:rFonts w:eastAsia="Times New Roman" w:cs="Segoe UI"/>
                <w:b/>
                <w:bCs/>
                <w:color w:val="000000"/>
                <w:sz w:val="18"/>
                <w:szCs w:val="18"/>
                <w:lang w:val="es-CO" w:eastAsia="es-CO"/>
              </w:rPr>
              <w:t>Total</w:t>
            </w:r>
            <w:proofErr w:type="gramEnd"/>
            <w:r w:rsidRPr="005503B4">
              <w:rPr>
                <w:rFonts w:eastAsia="Times New Roman" w:cs="Segoe UI"/>
                <w:b/>
                <w:bCs/>
                <w:color w:val="000000"/>
                <w:sz w:val="18"/>
                <w:szCs w:val="18"/>
                <w:lang w:val="es-CO" w:eastAsia="es-CO"/>
              </w:rPr>
              <w:t xml:space="preserve"> mercado postal</w:t>
            </w:r>
          </w:p>
        </w:tc>
        <w:tc>
          <w:tcPr>
            <w:tcW w:w="1300" w:type="dxa"/>
            <w:tcBorders>
              <w:top w:val="single" w:sz="4" w:space="0" w:color="8EA9DB"/>
              <w:left w:val="nil"/>
              <w:bottom w:val="single" w:sz="4" w:space="0" w:color="A6A6A6"/>
              <w:right w:val="nil"/>
            </w:tcBorders>
            <w:shd w:val="clear" w:color="D9E1F2" w:fill="D9E1F2"/>
            <w:noWrap/>
            <w:vAlign w:val="bottom"/>
            <w:hideMark/>
          </w:tcPr>
          <w:p w14:paraId="7C0F262F" w14:textId="77777777" w:rsidR="00785B3B" w:rsidRPr="005503B4" w:rsidRDefault="00785B3B" w:rsidP="00785B3B">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81.168</w:t>
            </w:r>
          </w:p>
        </w:tc>
        <w:tc>
          <w:tcPr>
            <w:tcW w:w="1300" w:type="dxa"/>
            <w:tcBorders>
              <w:top w:val="single" w:sz="4" w:space="0" w:color="8EA9DB"/>
              <w:left w:val="nil"/>
              <w:bottom w:val="single" w:sz="4" w:space="0" w:color="A6A6A6"/>
              <w:right w:val="nil"/>
            </w:tcBorders>
            <w:shd w:val="clear" w:color="D9E1F2" w:fill="D9E1F2"/>
            <w:noWrap/>
            <w:vAlign w:val="bottom"/>
            <w:hideMark/>
          </w:tcPr>
          <w:p w14:paraId="6C38D48E" w14:textId="77777777" w:rsidR="00785B3B" w:rsidRPr="005503B4" w:rsidRDefault="00785B3B" w:rsidP="00785B3B">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118.029</w:t>
            </w:r>
          </w:p>
        </w:tc>
        <w:tc>
          <w:tcPr>
            <w:tcW w:w="1300" w:type="dxa"/>
            <w:tcBorders>
              <w:top w:val="single" w:sz="4" w:space="0" w:color="8EA9DB"/>
              <w:left w:val="nil"/>
              <w:bottom w:val="single" w:sz="4" w:space="0" w:color="A6A6A6"/>
              <w:right w:val="nil"/>
            </w:tcBorders>
            <w:shd w:val="clear" w:color="D9E1F2" w:fill="D9E1F2"/>
            <w:noWrap/>
            <w:vAlign w:val="bottom"/>
            <w:hideMark/>
          </w:tcPr>
          <w:p w14:paraId="5B3F329C" w14:textId="77777777" w:rsidR="00785B3B" w:rsidRPr="005503B4" w:rsidRDefault="00785B3B" w:rsidP="00785B3B">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136.121</w:t>
            </w:r>
          </w:p>
        </w:tc>
        <w:tc>
          <w:tcPr>
            <w:tcW w:w="1360" w:type="dxa"/>
            <w:tcBorders>
              <w:top w:val="single" w:sz="4" w:space="0" w:color="8EA9DB"/>
              <w:left w:val="nil"/>
              <w:bottom w:val="single" w:sz="4" w:space="0" w:color="A6A6A6"/>
              <w:right w:val="nil"/>
            </w:tcBorders>
            <w:shd w:val="clear" w:color="D9E1F2" w:fill="D9E1F2"/>
            <w:noWrap/>
            <w:vAlign w:val="bottom"/>
            <w:hideMark/>
          </w:tcPr>
          <w:p w14:paraId="22858196" w14:textId="77777777" w:rsidR="00785B3B" w:rsidRPr="005503B4" w:rsidRDefault="00785B3B" w:rsidP="00785B3B">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134.816</w:t>
            </w:r>
          </w:p>
        </w:tc>
        <w:tc>
          <w:tcPr>
            <w:tcW w:w="1240" w:type="dxa"/>
            <w:tcBorders>
              <w:top w:val="single" w:sz="4" w:space="0" w:color="8EA9DB"/>
              <w:left w:val="nil"/>
              <w:bottom w:val="single" w:sz="4" w:space="0" w:color="A6A6A6"/>
              <w:right w:val="single" w:sz="4" w:space="0" w:color="A6A6A6"/>
            </w:tcBorders>
            <w:shd w:val="clear" w:color="D9E1F2" w:fill="D9E1F2"/>
            <w:noWrap/>
            <w:vAlign w:val="bottom"/>
            <w:hideMark/>
          </w:tcPr>
          <w:p w14:paraId="76C91515" w14:textId="77777777" w:rsidR="00785B3B" w:rsidRPr="005503B4" w:rsidRDefault="00785B3B" w:rsidP="00785B3B">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127.692</w:t>
            </w:r>
          </w:p>
        </w:tc>
      </w:tr>
    </w:tbl>
    <w:p w14:paraId="72ABB27E" w14:textId="60783554" w:rsidR="002F6BE3" w:rsidRPr="005503B4" w:rsidRDefault="002F6BE3" w:rsidP="004C57A2">
      <w:pPr>
        <w:pStyle w:val="FuentedeGrfica"/>
      </w:pPr>
      <w:r w:rsidRPr="005503B4">
        <w:t>FUENTE: MinTIC. Boletín Postal Trimestral.</w:t>
      </w:r>
      <w:r w:rsidR="004C57A2" w:rsidRPr="005503B4">
        <w:t xml:space="preserve"> </w:t>
      </w:r>
      <w:r w:rsidR="004C57A2" w:rsidRPr="005503B4">
        <w:rPr>
          <w:rStyle w:val="cf01"/>
          <w:rFonts w:ascii="Arial Narrow" w:eastAsiaTheme="majorEastAsia" w:hAnsi="Arial Narrow"/>
        </w:rPr>
        <w:t>Cifras al cuarto trimestre de 2021.</w:t>
      </w:r>
    </w:p>
    <w:p w14:paraId="3FEB78DF" w14:textId="6E0B6838" w:rsidR="002F6BE3" w:rsidRPr="005503B4" w:rsidRDefault="12B7189B" w:rsidP="002F6BE3">
      <w:pPr>
        <w:rPr>
          <w:lang w:val="es-CO" w:eastAsia="es-ES"/>
        </w:rPr>
      </w:pPr>
      <w:r w:rsidRPr="005503B4">
        <w:rPr>
          <w:lang w:val="es-CO" w:eastAsia="es-ES"/>
        </w:rPr>
        <w:t>En l</w:t>
      </w:r>
      <w:r w:rsidR="13985CC2" w:rsidRPr="005503B4">
        <w:rPr>
          <w:lang w:val="es-CO" w:eastAsia="es-ES"/>
        </w:rPr>
        <w:t xml:space="preserve">a anterior </w:t>
      </w:r>
      <w:r w:rsidRPr="005503B4">
        <w:rPr>
          <w:lang w:val="es-CO" w:eastAsia="es-ES"/>
        </w:rPr>
        <w:t>tabla</w:t>
      </w:r>
      <w:r w:rsidR="13985CC2" w:rsidRPr="005503B4">
        <w:rPr>
          <w:lang w:val="es-CO" w:eastAsia="es-ES"/>
        </w:rPr>
        <w:t xml:space="preserve"> se muestra una reducción significativa del 8,</w:t>
      </w:r>
      <w:r w:rsidR="30019755" w:rsidRPr="005503B4">
        <w:rPr>
          <w:lang w:val="es-CO" w:eastAsia="es-ES"/>
        </w:rPr>
        <w:t>6</w:t>
      </w:r>
      <w:r w:rsidR="13985CC2" w:rsidRPr="005503B4">
        <w:rPr>
          <w:lang w:val="es-CO" w:eastAsia="es-ES"/>
        </w:rPr>
        <w:t xml:space="preserve">% en el volumen de ingresos por concepto de </w:t>
      </w:r>
      <w:r w:rsidR="00C7346D" w:rsidRPr="005503B4">
        <w:rPr>
          <w:lang w:val="es-CO" w:eastAsia="es-ES"/>
        </w:rPr>
        <w:t>comisiones, acompañada</w:t>
      </w:r>
      <w:r w:rsidR="13985CC2" w:rsidRPr="005503B4">
        <w:rPr>
          <w:lang w:val="es-CO" w:eastAsia="es-ES"/>
        </w:rPr>
        <w:t xml:space="preserve"> de un aumento importante en el número de giros postales en efectivo transados,</w:t>
      </w:r>
      <w:r w:rsidR="30019755" w:rsidRPr="005503B4">
        <w:rPr>
          <w:lang w:val="es-CO" w:eastAsia="es-ES"/>
        </w:rPr>
        <w:t xml:space="preserve"> del 12%</w:t>
      </w:r>
      <w:r w:rsidRPr="005503B4">
        <w:rPr>
          <w:lang w:val="es-CO" w:eastAsia="es-ES"/>
        </w:rPr>
        <w:t>.</w:t>
      </w:r>
    </w:p>
    <w:p w14:paraId="4788C878" w14:textId="0FC8A777" w:rsidR="002F6BE3" w:rsidRPr="005503B4" w:rsidRDefault="13985CC2" w:rsidP="002F6BE3">
      <w:pPr>
        <w:rPr>
          <w:lang w:val="es-CO" w:eastAsia="es-ES"/>
        </w:rPr>
      </w:pPr>
      <w:r w:rsidRPr="005503B4">
        <w:rPr>
          <w:lang w:val="es-CO" w:eastAsia="es-ES"/>
        </w:rPr>
        <w:t xml:space="preserve">De lo anterior, se </w:t>
      </w:r>
      <w:r w:rsidR="00C7346D" w:rsidRPr="005503B4">
        <w:rPr>
          <w:lang w:val="es-CO" w:eastAsia="es-ES"/>
        </w:rPr>
        <w:t>concluye que</w:t>
      </w:r>
      <w:r w:rsidRPr="005503B4">
        <w:rPr>
          <w:lang w:val="es-CO" w:eastAsia="es-ES"/>
        </w:rPr>
        <w:t xml:space="preserve"> </w:t>
      </w:r>
      <w:r w:rsidR="00493C3D">
        <w:rPr>
          <w:lang w:val="es-CO" w:eastAsia="es-ES"/>
        </w:rPr>
        <w:t>los ingresos</w:t>
      </w:r>
      <w:r w:rsidRPr="005503B4">
        <w:rPr>
          <w:lang w:val="es-CO" w:eastAsia="es-ES"/>
        </w:rPr>
        <w:t xml:space="preserve"> promedio por giro han disminuido en términos reales de $8.484,</w:t>
      </w:r>
      <w:r w:rsidR="00C7346D" w:rsidRPr="005503B4">
        <w:rPr>
          <w:lang w:val="es-CO" w:eastAsia="es-ES"/>
        </w:rPr>
        <w:t>28, cobrados</w:t>
      </w:r>
      <w:r w:rsidRPr="005503B4">
        <w:rPr>
          <w:lang w:val="es-CO" w:eastAsia="es-ES"/>
        </w:rPr>
        <w:t xml:space="preserve"> en 2017, a $5.</w:t>
      </w:r>
      <w:r w:rsidR="30019755" w:rsidRPr="005503B4">
        <w:rPr>
          <w:lang w:val="es-CO" w:eastAsia="es-ES"/>
        </w:rPr>
        <w:t>626,41</w:t>
      </w:r>
      <w:r w:rsidRPr="005503B4">
        <w:rPr>
          <w:lang w:val="es-CO" w:eastAsia="es-ES"/>
        </w:rPr>
        <w:t xml:space="preserve"> en el </w:t>
      </w:r>
      <w:r w:rsidR="30019755" w:rsidRPr="005503B4">
        <w:rPr>
          <w:lang w:val="es-CO" w:eastAsia="es-ES"/>
        </w:rPr>
        <w:t>cuarto</w:t>
      </w:r>
      <w:r w:rsidRPr="005503B4">
        <w:rPr>
          <w:lang w:val="es-CO" w:eastAsia="es-ES"/>
        </w:rPr>
        <w:t xml:space="preserve"> trimestre de 2021, representando una caída </w:t>
      </w:r>
      <w:r w:rsidRPr="005503B4">
        <w:rPr>
          <w:lang w:val="es-CO" w:eastAsia="es-ES"/>
        </w:rPr>
        <w:lastRenderedPageBreak/>
        <w:t xml:space="preserve">promedio total del </w:t>
      </w:r>
      <w:r w:rsidR="30019755" w:rsidRPr="005503B4">
        <w:rPr>
          <w:lang w:val="es-CO" w:eastAsia="es-ES"/>
        </w:rPr>
        <w:t>66,3</w:t>
      </w:r>
      <w:r w:rsidRPr="005503B4">
        <w:rPr>
          <w:lang w:val="es-CO" w:eastAsia="es-ES"/>
        </w:rPr>
        <w:t xml:space="preserve">%. Este fenómeno se observa, fundamentalmente, en el mercado de giros postales nacionales, en el que la competencia de los operadores de giros bancarios es efectiva. Nótese que, en el mercado de giros postales internacionales, </w:t>
      </w:r>
      <w:r w:rsidR="00493C3D">
        <w:rPr>
          <w:lang w:val="es-CO" w:eastAsia="es-ES"/>
        </w:rPr>
        <w:t>los ingresos</w:t>
      </w:r>
      <w:r w:rsidRPr="005503B4">
        <w:rPr>
          <w:lang w:val="es-CO" w:eastAsia="es-ES"/>
        </w:rPr>
        <w:t xml:space="preserve"> promedio han venido en aumento </w:t>
      </w:r>
      <w:r w:rsidR="00C7346D" w:rsidRPr="005503B4">
        <w:rPr>
          <w:lang w:val="es-CO" w:eastAsia="es-ES"/>
        </w:rPr>
        <w:t xml:space="preserve">desde </w:t>
      </w:r>
      <w:r w:rsidRPr="005503B4">
        <w:rPr>
          <w:lang w:val="es-CO" w:eastAsia="es-ES"/>
        </w:rPr>
        <w:t>$50.860,97 en 2014, a s $</w:t>
      </w:r>
      <w:r w:rsidR="30019755" w:rsidRPr="005503B4">
        <w:rPr>
          <w:lang w:val="es-CO" w:eastAsia="es-ES"/>
        </w:rPr>
        <w:t>56.463,76</w:t>
      </w:r>
      <w:r w:rsidRPr="005503B4">
        <w:rPr>
          <w:lang w:val="es-CO" w:eastAsia="es-ES"/>
        </w:rPr>
        <w:t xml:space="preserve"> a </w:t>
      </w:r>
      <w:r w:rsidR="30019755" w:rsidRPr="005503B4">
        <w:rPr>
          <w:lang w:val="es-CO" w:eastAsia="es-ES"/>
        </w:rPr>
        <w:t>dic</w:t>
      </w:r>
      <w:r w:rsidRPr="005503B4">
        <w:rPr>
          <w:lang w:val="es-CO" w:eastAsia="es-ES"/>
        </w:rPr>
        <w:t xml:space="preserve">iembre de 2021. </w:t>
      </w:r>
    </w:p>
    <w:p w14:paraId="657F8C0B" w14:textId="4C8A85A3" w:rsidR="002F6BE3" w:rsidRPr="005503B4" w:rsidRDefault="002F6BE3" w:rsidP="00F36CCF">
      <w:pPr>
        <w:pStyle w:val="TITcuadro"/>
        <w:rPr>
          <w:sz w:val="16"/>
          <w:szCs w:val="16"/>
        </w:rPr>
      </w:pPr>
      <w:bookmarkStart w:id="245" w:name="_Ref101515767"/>
      <w:bookmarkStart w:id="246" w:name="_Toc101865472"/>
      <w:bookmarkStart w:id="247" w:name="_Toc104227933"/>
      <w:r w:rsidRPr="005503B4">
        <w:t xml:space="preserve">Tabla </w:t>
      </w:r>
      <w:r w:rsidRPr="005503B4">
        <w:fldChar w:fldCharType="begin"/>
      </w:r>
      <w:r w:rsidRPr="005503B4">
        <w:instrText>STYLEREF 1 \s</w:instrText>
      </w:r>
      <w:r w:rsidRPr="005503B4">
        <w:fldChar w:fldCharType="separate"/>
      </w:r>
      <w:r w:rsidR="00C57FCA">
        <w:rPr>
          <w:noProof/>
        </w:rPr>
        <w:t>6</w:t>
      </w:r>
      <w:r w:rsidRPr="005503B4">
        <w:fldChar w:fldCharType="end"/>
      </w:r>
      <w:r w:rsidRPr="005503B4">
        <w:noBreakHyphen/>
      </w:r>
      <w:r w:rsidRPr="005503B4">
        <w:fldChar w:fldCharType="begin"/>
      </w:r>
      <w:r w:rsidRPr="005503B4">
        <w:instrText>SEQ Tabla \* ARABIC \s 1</w:instrText>
      </w:r>
      <w:r w:rsidRPr="005503B4">
        <w:fldChar w:fldCharType="separate"/>
      </w:r>
      <w:r w:rsidR="00C57FCA">
        <w:rPr>
          <w:noProof/>
        </w:rPr>
        <w:t>4</w:t>
      </w:r>
      <w:r w:rsidRPr="005503B4">
        <w:fldChar w:fldCharType="end"/>
      </w:r>
      <w:bookmarkEnd w:id="245"/>
      <w:r w:rsidRPr="005503B4">
        <w:t xml:space="preserve"> – El mercado de giros postales – Comisión promedio por transacción </w:t>
      </w:r>
      <w:r w:rsidRPr="005503B4">
        <w:rPr>
          <w:szCs w:val="20"/>
        </w:rPr>
        <w:t>(</w:t>
      </w:r>
      <w:r w:rsidR="00F36CCF">
        <w:rPr>
          <w:szCs w:val="20"/>
        </w:rPr>
        <w:t>Pesos</w:t>
      </w:r>
      <w:r w:rsidRPr="005503B4">
        <w:rPr>
          <w:szCs w:val="20"/>
        </w:rPr>
        <w:t xml:space="preserve"> reales de</w:t>
      </w:r>
      <w:r w:rsidR="00F36CCF">
        <w:rPr>
          <w:szCs w:val="20"/>
        </w:rPr>
        <w:t xml:space="preserve"> </w:t>
      </w:r>
      <w:r w:rsidRPr="005503B4">
        <w:rPr>
          <w:szCs w:val="20"/>
        </w:rPr>
        <w:t>2021)</w:t>
      </w:r>
      <w:bookmarkEnd w:id="246"/>
      <w:bookmarkEnd w:id="247"/>
    </w:p>
    <w:tbl>
      <w:tblPr>
        <w:tblW w:w="9209" w:type="dxa"/>
        <w:tblCellMar>
          <w:left w:w="70" w:type="dxa"/>
          <w:right w:w="70" w:type="dxa"/>
        </w:tblCellMar>
        <w:tblLook w:val="04A0" w:firstRow="1" w:lastRow="0" w:firstColumn="1" w:lastColumn="0" w:noHBand="0" w:noVBand="1"/>
      </w:tblPr>
      <w:tblGrid>
        <w:gridCol w:w="2689"/>
        <w:gridCol w:w="1591"/>
        <w:gridCol w:w="1244"/>
        <w:gridCol w:w="1275"/>
        <w:gridCol w:w="1134"/>
        <w:gridCol w:w="1276"/>
      </w:tblGrid>
      <w:tr w:rsidR="00DC07F1" w:rsidRPr="005503B4" w14:paraId="657A798B" w14:textId="77777777" w:rsidTr="004324B2">
        <w:trPr>
          <w:trHeight w:val="240"/>
        </w:trPr>
        <w:tc>
          <w:tcPr>
            <w:tcW w:w="2689" w:type="dxa"/>
            <w:tcBorders>
              <w:top w:val="single" w:sz="4" w:space="0" w:color="BFBFBF"/>
              <w:left w:val="single" w:sz="4" w:space="0" w:color="BFBFBF"/>
              <w:bottom w:val="single" w:sz="4" w:space="0" w:color="BFBFBF"/>
              <w:right w:val="nil"/>
            </w:tcBorders>
            <w:shd w:val="clear" w:color="D9E1F2" w:fill="D9E1F2"/>
            <w:noWrap/>
            <w:vAlign w:val="bottom"/>
            <w:hideMark/>
          </w:tcPr>
          <w:p w14:paraId="3204E432" w14:textId="77777777" w:rsidR="00DC07F1" w:rsidRPr="005503B4" w:rsidRDefault="00DC07F1" w:rsidP="00DC07F1">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Segmento \ Año</w:t>
            </w:r>
          </w:p>
        </w:tc>
        <w:tc>
          <w:tcPr>
            <w:tcW w:w="1591" w:type="dxa"/>
            <w:tcBorders>
              <w:top w:val="single" w:sz="4" w:space="0" w:color="BFBFBF"/>
              <w:left w:val="nil"/>
              <w:bottom w:val="single" w:sz="4" w:space="0" w:color="BFBFBF"/>
              <w:right w:val="nil"/>
            </w:tcBorders>
            <w:shd w:val="clear" w:color="D9E1F2" w:fill="D9E1F2"/>
            <w:noWrap/>
            <w:vAlign w:val="bottom"/>
            <w:hideMark/>
          </w:tcPr>
          <w:p w14:paraId="00B31DFF" w14:textId="77777777" w:rsidR="00DC07F1" w:rsidRPr="005503B4" w:rsidRDefault="00DC07F1" w:rsidP="00DC07F1">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2017</w:t>
            </w:r>
          </w:p>
        </w:tc>
        <w:tc>
          <w:tcPr>
            <w:tcW w:w="1244" w:type="dxa"/>
            <w:tcBorders>
              <w:top w:val="single" w:sz="4" w:space="0" w:color="BFBFBF"/>
              <w:left w:val="nil"/>
              <w:bottom w:val="single" w:sz="4" w:space="0" w:color="BFBFBF"/>
              <w:right w:val="nil"/>
            </w:tcBorders>
            <w:shd w:val="clear" w:color="D9E1F2" w:fill="D9E1F2"/>
            <w:noWrap/>
            <w:vAlign w:val="bottom"/>
            <w:hideMark/>
          </w:tcPr>
          <w:p w14:paraId="729277B8" w14:textId="77777777" w:rsidR="00DC07F1" w:rsidRPr="005503B4" w:rsidRDefault="00DC07F1" w:rsidP="00DC07F1">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2018</w:t>
            </w:r>
          </w:p>
        </w:tc>
        <w:tc>
          <w:tcPr>
            <w:tcW w:w="1275" w:type="dxa"/>
            <w:tcBorders>
              <w:top w:val="single" w:sz="4" w:space="0" w:color="BFBFBF"/>
              <w:left w:val="nil"/>
              <w:bottom w:val="single" w:sz="4" w:space="0" w:color="BFBFBF"/>
              <w:right w:val="nil"/>
            </w:tcBorders>
            <w:shd w:val="clear" w:color="D9E1F2" w:fill="D9E1F2"/>
            <w:noWrap/>
            <w:vAlign w:val="bottom"/>
            <w:hideMark/>
          </w:tcPr>
          <w:p w14:paraId="7807B940" w14:textId="77777777" w:rsidR="00DC07F1" w:rsidRPr="005503B4" w:rsidRDefault="00DC07F1" w:rsidP="00DC07F1">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2019</w:t>
            </w:r>
          </w:p>
        </w:tc>
        <w:tc>
          <w:tcPr>
            <w:tcW w:w="1134" w:type="dxa"/>
            <w:tcBorders>
              <w:top w:val="single" w:sz="4" w:space="0" w:color="BFBFBF"/>
              <w:left w:val="nil"/>
              <w:bottom w:val="single" w:sz="4" w:space="0" w:color="BFBFBF"/>
              <w:right w:val="nil"/>
            </w:tcBorders>
            <w:shd w:val="clear" w:color="D9E1F2" w:fill="D9E1F2"/>
            <w:noWrap/>
            <w:vAlign w:val="bottom"/>
            <w:hideMark/>
          </w:tcPr>
          <w:p w14:paraId="5B5AD37F" w14:textId="77777777" w:rsidR="00DC07F1" w:rsidRPr="005503B4" w:rsidRDefault="00DC07F1" w:rsidP="00DC07F1">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2020</w:t>
            </w:r>
          </w:p>
        </w:tc>
        <w:tc>
          <w:tcPr>
            <w:tcW w:w="1276" w:type="dxa"/>
            <w:tcBorders>
              <w:top w:val="single" w:sz="4" w:space="0" w:color="BFBFBF"/>
              <w:left w:val="nil"/>
              <w:bottom w:val="single" w:sz="4" w:space="0" w:color="BFBFBF"/>
              <w:right w:val="single" w:sz="4" w:space="0" w:color="BFBFBF"/>
            </w:tcBorders>
            <w:shd w:val="clear" w:color="D9E1F2" w:fill="D9E1F2"/>
            <w:noWrap/>
            <w:vAlign w:val="bottom"/>
            <w:hideMark/>
          </w:tcPr>
          <w:p w14:paraId="467083BB" w14:textId="77777777" w:rsidR="00DC07F1" w:rsidRPr="005503B4" w:rsidRDefault="00DC07F1" w:rsidP="00DC07F1">
            <w:pPr>
              <w:spacing w:before="0" w:after="0" w:line="240" w:lineRule="auto"/>
              <w:jc w:val="center"/>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2021</w:t>
            </w:r>
          </w:p>
        </w:tc>
      </w:tr>
      <w:tr w:rsidR="00DC07F1" w:rsidRPr="005503B4" w14:paraId="69E71170" w14:textId="77777777" w:rsidTr="004324B2">
        <w:trPr>
          <w:trHeight w:val="240"/>
        </w:trPr>
        <w:tc>
          <w:tcPr>
            <w:tcW w:w="2689" w:type="dxa"/>
            <w:tcBorders>
              <w:top w:val="nil"/>
              <w:left w:val="single" w:sz="4" w:space="0" w:color="BFBFBF"/>
              <w:bottom w:val="nil"/>
              <w:right w:val="nil"/>
            </w:tcBorders>
            <w:shd w:val="clear" w:color="000000" w:fill="FFFFFF"/>
            <w:noWrap/>
            <w:vAlign w:val="bottom"/>
            <w:hideMark/>
          </w:tcPr>
          <w:p w14:paraId="2695B6D1" w14:textId="77777777" w:rsidR="00DC07F1" w:rsidRPr="005503B4" w:rsidRDefault="00DC07F1" w:rsidP="00DC07F1">
            <w:pPr>
              <w:spacing w:before="0" w:after="0" w:line="240" w:lineRule="auto"/>
              <w:ind w:firstLineChars="100" w:firstLine="18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Giros internacionales</w:t>
            </w:r>
          </w:p>
        </w:tc>
        <w:tc>
          <w:tcPr>
            <w:tcW w:w="1591" w:type="dxa"/>
            <w:tcBorders>
              <w:top w:val="nil"/>
              <w:left w:val="nil"/>
              <w:bottom w:val="nil"/>
              <w:right w:val="nil"/>
            </w:tcBorders>
            <w:shd w:val="clear" w:color="000000" w:fill="FFFFFF"/>
            <w:noWrap/>
            <w:vAlign w:val="bottom"/>
            <w:hideMark/>
          </w:tcPr>
          <w:p w14:paraId="58934A4A"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46.023,32</w:t>
            </w:r>
          </w:p>
        </w:tc>
        <w:tc>
          <w:tcPr>
            <w:tcW w:w="1244" w:type="dxa"/>
            <w:tcBorders>
              <w:top w:val="nil"/>
              <w:left w:val="nil"/>
              <w:bottom w:val="nil"/>
              <w:right w:val="nil"/>
            </w:tcBorders>
            <w:shd w:val="clear" w:color="000000" w:fill="FFFFFF"/>
            <w:noWrap/>
            <w:vAlign w:val="bottom"/>
            <w:hideMark/>
          </w:tcPr>
          <w:p w14:paraId="2595D4F9"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39.531,39</w:t>
            </w:r>
          </w:p>
        </w:tc>
        <w:tc>
          <w:tcPr>
            <w:tcW w:w="1275" w:type="dxa"/>
            <w:tcBorders>
              <w:top w:val="nil"/>
              <w:left w:val="nil"/>
              <w:bottom w:val="nil"/>
              <w:right w:val="nil"/>
            </w:tcBorders>
            <w:shd w:val="clear" w:color="000000" w:fill="FFFFFF"/>
            <w:noWrap/>
            <w:vAlign w:val="bottom"/>
            <w:hideMark/>
          </w:tcPr>
          <w:p w14:paraId="00181101"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38.559,90</w:t>
            </w:r>
          </w:p>
        </w:tc>
        <w:tc>
          <w:tcPr>
            <w:tcW w:w="1134" w:type="dxa"/>
            <w:tcBorders>
              <w:top w:val="nil"/>
              <w:left w:val="nil"/>
              <w:bottom w:val="nil"/>
              <w:right w:val="nil"/>
            </w:tcBorders>
            <w:shd w:val="clear" w:color="000000" w:fill="FFFFFF"/>
            <w:noWrap/>
            <w:vAlign w:val="bottom"/>
            <w:hideMark/>
          </w:tcPr>
          <w:p w14:paraId="3650FDD9"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22.532,55</w:t>
            </w:r>
          </w:p>
        </w:tc>
        <w:tc>
          <w:tcPr>
            <w:tcW w:w="1276" w:type="dxa"/>
            <w:tcBorders>
              <w:top w:val="nil"/>
              <w:left w:val="nil"/>
              <w:bottom w:val="nil"/>
              <w:right w:val="single" w:sz="4" w:space="0" w:color="BFBFBF"/>
            </w:tcBorders>
            <w:shd w:val="clear" w:color="000000" w:fill="FFFFFF"/>
            <w:noWrap/>
            <w:vAlign w:val="bottom"/>
            <w:hideMark/>
          </w:tcPr>
          <w:p w14:paraId="5C27474C"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39.612,64</w:t>
            </w:r>
          </w:p>
        </w:tc>
      </w:tr>
      <w:tr w:rsidR="00DC07F1" w:rsidRPr="005503B4" w14:paraId="29586AB0" w14:textId="77777777" w:rsidTr="004324B2">
        <w:trPr>
          <w:trHeight w:val="240"/>
        </w:trPr>
        <w:tc>
          <w:tcPr>
            <w:tcW w:w="2689" w:type="dxa"/>
            <w:tcBorders>
              <w:top w:val="nil"/>
              <w:left w:val="single" w:sz="4" w:space="0" w:color="BFBFBF"/>
              <w:bottom w:val="nil"/>
              <w:right w:val="nil"/>
            </w:tcBorders>
            <w:shd w:val="clear" w:color="000000" w:fill="FFFFFF"/>
            <w:noWrap/>
            <w:vAlign w:val="bottom"/>
            <w:hideMark/>
          </w:tcPr>
          <w:p w14:paraId="6094E5EE" w14:textId="77777777" w:rsidR="00DC07F1" w:rsidRPr="005503B4" w:rsidRDefault="00DC07F1" w:rsidP="00DC07F1">
            <w:pPr>
              <w:spacing w:before="0" w:after="0" w:line="240" w:lineRule="auto"/>
              <w:ind w:firstLineChars="300" w:firstLine="54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Entrante</w:t>
            </w:r>
          </w:p>
        </w:tc>
        <w:tc>
          <w:tcPr>
            <w:tcW w:w="1591" w:type="dxa"/>
            <w:tcBorders>
              <w:top w:val="nil"/>
              <w:left w:val="nil"/>
              <w:bottom w:val="nil"/>
              <w:right w:val="nil"/>
            </w:tcBorders>
            <w:shd w:val="clear" w:color="000000" w:fill="FFFFFF"/>
            <w:noWrap/>
            <w:vAlign w:val="bottom"/>
            <w:hideMark/>
          </w:tcPr>
          <w:p w14:paraId="4B45B90C"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43.610,54</w:t>
            </w:r>
          </w:p>
        </w:tc>
        <w:tc>
          <w:tcPr>
            <w:tcW w:w="1244" w:type="dxa"/>
            <w:tcBorders>
              <w:top w:val="nil"/>
              <w:left w:val="nil"/>
              <w:bottom w:val="nil"/>
              <w:right w:val="nil"/>
            </w:tcBorders>
            <w:shd w:val="clear" w:color="000000" w:fill="FFFFFF"/>
            <w:noWrap/>
            <w:vAlign w:val="bottom"/>
            <w:hideMark/>
          </w:tcPr>
          <w:p w14:paraId="4CD8D62E"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37.603,01</w:t>
            </w:r>
          </w:p>
        </w:tc>
        <w:tc>
          <w:tcPr>
            <w:tcW w:w="1275" w:type="dxa"/>
            <w:tcBorders>
              <w:top w:val="nil"/>
              <w:left w:val="nil"/>
              <w:bottom w:val="nil"/>
              <w:right w:val="nil"/>
            </w:tcBorders>
            <w:shd w:val="clear" w:color="000000" w:fill="FFFFFF"/>
            <w:noWrap/>
            <w:vAlign w:val="bottom"/>
            <w:hideMark/>
          </w:tcPr>
          <w:p w14:paraId="359D6DDD"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35.972,44</w:t>
            </w:r>
          </w:p>
        </w:tc>
        <w:tc>
          <w:tcPr>
            <w:tcW w:w="1134" w:type="dxa"/>
            <w:tcBorders>
              <w:top w:val="nil"/>
              <w:left w:val="nil"/>
              <w:bottom w:val="nil"/>
              <w:right w:val="nil"/>
            </w:tcBorders>
            <w:shd w:val="clear" w:color="000000" w:fill="FFFFFF"/>
            <w:noWrap/>
            <w:vAlign w:val="bottom"/>
            <w:hideMark/>
          </w:tcPr>
          <w:p w14:paraId="738C983D"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19.985,25</w:t>
            </w:r>
          </w:p>
        </w:tc>
        <w:tc>
          <w:tcPr>
            <w:tcW w:w="1276" w:type="dxa"/>
            <w:tcBorders>
              <w:top w:val="nil"/>
              <w:left w:val="nil"/>
              <w:bottom w:val="nil"/>
              <w:right w:val="single" w:sz="4" w:space="0" w:color="BFBFBF"/>
            </w:tcBorders>
            <w:shd w:val="clear" w:color="000000" w:fill="FFFFFF"/>
            <w:noWrap/>
            <w:vAlign w:val="bottom"/>
            <w:hideMark/>
          </w:tcPr>
          <w:p w14:paraId="73B95E02"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35.766,76</w:t>
            </w:r>
          </w:p>
        </w:tc>
      </w:tr>
      <w:tr w:rsidR="00DC07F1" w:rsidRPr="005503B4" w14:paraId="59017F8B" w14:textId="77777777" w:rsidTr="004324B2">
        <w:trPr>
          <w:trHeight w:val="240"/>
        </w:trPr>
        <w:tc>
          <w:tcPr>
            <w:tcW w:w="2689" w:type="dxa"/>
            <w:tcBorders>
              <w:top w:val="nil"/>
              <w:left w:val="single" w:sz="4" w:space="0" w:color="BFBFBF"/>
              <w:bottom w:val="nil"/>
              <w:right w:val="nil"/>
            </w:tcBorders>
            <w:shd w:val="clear" w:color="000000" w:fill="FFFFFF"/>
            <w:noWrap/>
            <w:vAlign w:val="bottom"/>
            <w:hideMark/>
          </w:tcPr>
          <w:p w14:paraId="4001B46F" w14:textId="77777777" w:rsidR="00DC07F1" w:rsidRPr="005503B4" w:rsidRDefault="00DC07F1" w:rsidP="00DC07F1">
            <w:pPr>
              <w:spacing w:before="0" w:after="0" w:line="240" w:lineRule="auto"/>
              <w:ind w:firstLineChars="300" w:firstLine="54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Saliente</w:t>
            </w:r>
          </w:p>
        </w:tc>
        <w:tc>
          <w:tcPr>
            <w:tcW w:w="1591" w:type="dxa"/>
            <w:tcBorders>
              <w:top w:val="nil"/>
              <w:left w:val="nil"/>
              <w:bottom w:val="nil"/>
              <w:right w:val="nil"/>
            </w:tcBorders>
            <w:shd w:val="clear" w:color="000000" w:fill="FFFFFF"/>
            <w:noWrap/>
            <w:vAlign w:val="bottom"/>
            <w:hideMark/>
          </w:tcPr>
          <w:p w14:paraId="1C73DFA4"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50.860,97</w:t>
            </w:r>
          </w:p>
        </w:tc>
        <w:tc>
          <w:tcPr>
            <w:tcW w:w="1244" w:type="dxa"/>
            <w:tcBorders>
              <w:top w:val="nil"/>
              <w:left w:val="nil"/>
              <w:bottom w:val="nil"/>
              <w:right w:val="nil"/>
            </w:tcBorders>
            <w:shd w:val="clear" w:color="000000" w:fill="FFFFFF"/>
            <w:noWrap/>
            <w:vAlign w:val="bottom"/>
            <w:hideMark/>
          </w:tcPr>
          <w:p w14:paraId="24575DD6"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43.144,79</w:t>
            </w:r>
          </w:p>
        </w:tc>
        <w:tc>
          <w:tcPr>
            <w:tcW w:w="1275" w:type="dxa"/>
            <w:tcBorders>
              <w:top w:val="nil"/>
              <w:left w:val="nil"/>
              <w:bottom w:val="nil"/>
              <w:right w:val="nil"/>
            </w:tcBorders>
            <w:shd w:val="clear" w:color="000000" w:fill="FFFFFF"/>
            <w:noWrap/>
            <w:vAlign w:val="bottom"/>
            <w:hideMark/>
          </w:tcPr>
          <w:p w14:paraId="46B7AA9E"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44.478,89</w:t>
            </w:r>
          </w:p>
        </w:tc>
        <w:tc>
          <w:tcPr>
            <w:tcW w:w="1134" w:type="dxa"/>
            <w:tcBorders>
              <w:top w:val="nil"/>
              <w:left w:val="nil"/>
              <w:bottom w:val="nil"/>
              <w:right w:val="nil"/>
            </w:tcBorders>
            <w:shd w:val="clear" w:color="000000" w:fill="FFFFFF"/>
            <w:noWrap/>
            <w:vAlign w:val="bottom"/>
            <w:hideMark/>
          </w:tcPr>
          <w:p w14:paraId="0F193B01"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31.298,07</w:t>
            </w:r>
          </w:p>
        </w:tc>
        <w:tc>
          <w:tcPr>
            <w:tcW w:w="1276" w:type="dxa"/>
            <w:tcBorders>
              <w:top w:val="nil"/>
              <w:left w:val="nil"/>
              <w:bottom w:val="nil"/>
              <w:right w:val="single" w:sz="4" w:space="0" w:color="BFBFBF"/>
            </w:tcBorders>
            <w:shd w:val="clear" w:color="000000" w:fill="FFFFFF"/>
            <w:noWrap/>
            <w:vAlign w:val="bottom"/>
            <w:hideMark/>
          </w:tcPr>
          <w:p w14:paraId="55F95367"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56.463,76</w:t>
            </w:r>
          </w:p>
        </w:tc>
      </w:tr>
      <w:tr w:rsidR="00DC07F1" w:rsidRPr="005503B4" w14:paraId="0A7704AF" w14:textId="77777777" w:rsidTr="004324B2">
        <w:trPr>
          <w:trHeight w:val="240"/>
        </w:trPr>
        <w:tc>
          <w:tcPr>
            <w:tcW w:w="2689" w:type="dxa"/>
            <w:tcBorders>
              <w:top w:val="nil"/>
              <w:left w:val="single" w:sz="4" w:space="0" w:color="BFBFBF"/>
              <w:bottom w:val="nil"/>
              <w:right w:val="nil"/>
            </w:tcBorders>
            <w:shd w:val="clear" w:color="000000" w:fill="FFFFFF"/>
            <w:noWrap/>
            <w:vAlign w:val="bottom"/>
            <w:hideMark/>
          </w:tcPr>
          <w:p w14:paraId="2986CB45" w14:textId="77777777" w:rsidR="00DC07F1" w:rsidRPr="005503B4" w:rsidRDefault="00DC07F1" w:rsidP="00DC07F1">
            <w:pPr>
              <w:spacing w:before="0" w:after="0" w:line="240" w:lineRule="auto"/>
              <w:ind w:firstLineChars="100" w:firstLine="180"/>
              <w:jc w:val="lef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Giros nacionales</w:t>
            </w:r>
          </w:p>
        </w:tc>
        <w:tc>
          <w:tcPr>
            <w:tcW w:w="1591" w:type="dxa"/>
            <w:tcBorders>
              <w:top w:val="nil"/>
              <w:left w:val="nil"/>
              <w:bottom w:val="nil"/>
              <w:right w:val="nil"/>
            </w:tcBorders>
            <w:shd w:val="clear" w:color="000000" w:fill="FFFFFF"/>
            <w:noWrap/>
            <w:vAlign w:val="bottom"/>
            <w:hideMark/>
          </w:tcPr>
          <w:p w14:paraId="3330CC64"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8.452,85</w:t>
            </w:r>
          </w:p>
        </w:tc>
        <w:tc>
          <w:tcPr>
            <w:tcW w:w="1244" w:type="dxa"/>
            <w:tcBorders>
              <w:top w:val="nil"/>
              <w:left w:val="nil"/>
              <w:bottom w:val="nil"/>
              <w:right w:val="nil"/>
            </w:tcBorders>
            <w:shd w:val="clear" w:color="000000" w:fill="FFFFFF"/>
            <w:noWrap/>
            <w:vAlign w:val="bottom"/>
            <w:hideMark/>
          </w:tcPr>
          <w:p w14:paraId="721DE640"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7.934,59</w:t>
            </w:r>
          </w:p>
        </w:tc>
        <w:tc>
          <w:tcPr>
            <w:tcW w:w="1275" w:type="dxa"/>
            <w:tcBorders>
              <w:top w:val="nil"/>
              <w:left w:val="nil"/>
              <w:bottom w:val="nil"/>
              <w:right w:val="nil"/>
            </w:tcBorders>
            <w:shd w:val="clear" w:color="000000" w:fill="FFFFFF"/>
            <w:noWrap/>
            <w:vAlign w:val="bottom"/>
            <w:hideMark/>
          </w:tcPr>
          <w:p w14:paraId="001721DC"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7.048,91</w:t>
            </w:r>
          </w:p>
        </w:tc>
        <w:tc>
          <w:tcPr>
            <w:tcW w:w="1134" w:type="dxa"/>
            <w:tcBorders>
              <w:top w:val="nil"/>
              <w:left w:val="nil"/>
              <w:bottom w:val="nil"/>
              <w:right w:val="nil"/>
            </w:tcBorders>
            <w:shd w:val="clear" w:color="000000" w:fill="FFFFFF"/>
            <w:noWrap/>
            <w:vAlign w:val="bottom"/>
            <w:hideMark/>
          </w:tcPr>
          <w:p w14:paraId="127AAB19"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6.373,16</w:t>
            </w:r>
          </w:p>
        </w:tc>
        <w:tc>
          <w:tcPr>
            <w:tcW w:w="1276" w:type="dxa"/>
            <w:tcBorders>
              <w:top w:val="nil"/>
              <w:left w:val="nil"/>
              <w:bottom w:val="nil"/>
              <w:right w:val="single" w:sz="4" w:space="0" w:color="BFBFBF"/>
            </w:tcBorders>
            <w:shd w:val="clear" w:color="000000" w:fill="FFFFFF"/>
            <w:noWrap/>
            <w:vAlign w:val="bottom"/>
            <w:hideMark/>
          </w:tcPr>
          <w:p w14:paraId="07029E13" w14:textId="77777777" w:rsidR="00DC07F1" w:rsidRPr="005503B4" w:rsidRDefault="00DC07F1" w:rsidP="00DC07F1">
            <w:pPr>
              <w:spacing w:before="0" w:after="0" w:line="240" w:lineRule="auto"/>
              <w:jc w:val="right"/>
              <w:rPr>
                <w:rFonts w:eastAsia="Times New Roman" w:cs="Segoe UI"/>
                <w:color w:val="000000"/>
                <w:sz w:val="18"/>
                <w:szCs w:val="18"/>
                <w:lang w:val="es-CO" w:eastAsia="es-CO"/>
              </w:rPr>
            </w:pPr>
            <w:r w:rsidRPr="005503B4">
              <w:rPr>
                <w:rFonts w:eastAsia="Times New Roman" w:cs="Segoe UI"/>
                <w:color w:val="000000"/>
                <w:sz w:val="18"/>
                <w:szCs w:val="18"/>
                <w:lang w:val="es-CO" w:eastAsia="es-CO"/>
              </w:rPr>
              <w:t>5.598,77</w:t>
            </w:r>
          </w:p>
        </w:tc>
      </w:tr>
      <w:tr w:rsidR="00DC07F1" w:rsidRPr="005503B4" w14:paraId="00DFA6C9" w14:textId="77777777" w:rsidTr="004324B2">
        <w:trPr>
          <w:trHeight w:val="240"/>
        </w:trPr>
        <w:tc>
          <w:tcPr>
            <w:tcW w:w="2689" w:type="dxa"/>
            <w:tcBorders>
              <w:top w:val="single" w:sz="4" w:space="0" w:color="8EA9DB"/>
              <w:left w:val="single" w:sz="4" w:space="0" w:color="BFBFBF"/>
              <w:bottom w:val="single" w:sz="4" w:space="0" w:color="BFBFBF"/>
              <w:right w:val="nil"/>
            </w:tcBorders>
            <w:shd w:val="clear" w:color="D9E1F2" w:fill="D9E1F2"/>
            <w:noWrap/>
            <w:vAlign w:val="bottom"/>
            <w:hideMark/>
          </w:tcPr>
          <w:p w14:paraId="12FB5D53" w14:textId="77777777" w:rsidR="00DC07F1" w:rsidRPr="005503B4" w:rsidRDefault="00DC07F1" w:rsidP="00DC07F1">
            <w:pPr>
              <w:spacing w:before="0" w:after="0" w:line="240" w:lineRule="auto"/>
              <w:jc w:val="center"/>
              <w:rPr>
                <w:rFonts w:eastAsia="Times New Roman" w:cs="Segoe UI"/>
                <w:b/>
                <w:bCs/>
                <w:color w:val="000000"/>
                <w:sz w:val="18"/>
                <w:szCs w:val="18"/>
                <w:lang w:val="es-CO" w:eastAsia="es-CO"/>
              </w:rPr>
            </w:pPr>
            <w:proofErr w:type="gramStart"/>
            <w:r w:rsidRPr="005503B4">
              <w:rPr>
                <w:rFonts w:eastAsia="Times New Roman" w:cs="Segoe UI"/>
                <w:b/>
                <w:bCs/>
                <w:color w:val="000000"/>
                <w:sz w:val="18"/>
                <w:szCs w:val="18"/>
                <w:lang w:val="es-CO" w:eastAsia="es-CO"/>
              </w:rPr>
              <w:t>Total</w:t>
            </w:r>
            <w:proofErr w:type="gramEnd"/>
            <w:r w:rsidRPr="005503B4">
              <w:rPr>
                <w:rFonts w:eastAsia="Times New Roman" w:cs="Segoe UI"/>
                <w:b/>
                <w:bCs/>
                <w:color w:val="000000"/>
                <w:sz w:val="18"/>
                <w:szCs w:val="18"/>
                <w:lang w:val="es-CO" w:eastAsia="es-CO"/>
              </w:rPr>
              <w:t xml:space="preserve"> mercado de giros postales</w:t>
            </w:r>
          </w:p>
        </w:tc>
        <w:tc>
          <w:tcPr>
            <w:tcW w:w="1591" w:type="dxa"/>
            <w:tcBorders>
              <w:top w:val="single" w:sz="4" w:space="0" w:color="8EA9DB"/>
              <w:left w:val="nil"/>
              <w:bottom w:val="single" w:sz="4" w:space="0" w:color="BFBFBF"/>
              <w:right w:val="nil"/>
            </w:tcBorders>
            <w:shd w:val="clear" w:color="D9E1F2" w:fill="D9E1F2"/>
            <w:noWrap/>
            <w:vAlign w:val="bottom"/>
            <w:hideMark/>
          </w:tcPr>
          <w:p w14:paraId="5037FFD4" w14:textId="77777777" w:rsidR="00DC07F1" w:rsidRPr="005503B4" w:rsidRDefault="00DC07F1" w:rsidP="00DC07F1">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$ 8.484,28</w:t>
            </w:r>
          </w:p>
        </w:tc>
        <w:tc>
          <w:tcPr>
            <w:tcW w:w="1244" w:type="dxa"/>
            <w:tcBorders>
              <w:top w:val="single" w:sz="4" w:space="0" w:color="8EA9DB"/>
              <w:left w:val="nil"/>
              <w:bottom w:val="single" w:sz="4" w:space="0" w:color="BFBFBF"/>
              <w:right w:val="nil"/>
            </w:tcBorders>
            <w:shd w:val="clear" w:color="D9E1F2" w:fill="D9E1F2"/>
            <w:noWrap/>
            <w:vAlign w:val="bottom"/>
            <w:hideMark/>
          </w:tcPr>
          <w:p w14:paraId="0F5E4506" w14:textId="77777777" w:rsidR="00DC07F1" w:rsidRPr="005503B4" w:rsidRDefault="00DC07F1" w:rsidP="00DC07F1">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$ 7.960,61</w:t>
            </w:r>
          </w:p>
        </w:tc>
        <w:tc>
          <w:tcPr>
            <w:tcW w:w="1275" w:type="dxa"/>
            <w:tcBorders>
              <w:top w:val="single" w:sz="4" w:space="0" w:color="8EA9DB"/>
              <w:left w:val="nil"/>
              <w:bottom w:val="single" w:sz="4" w:space="0" w:color="BFBFBF"/>
              <w:right w:val="nil"/>
            </w:tcBorders>
            <w:shd w:val="clear" w:color="D9E1F2" w:fill="D9E1F2"/>
            <w:noWrap/>
            <w:vAlign w:val="bottom"/>
            <w:hideMark/>
          </w:tcPr>
          <w:p w14:paraId="2E8AB2C0" w14:textId="77777777" w:rsidR="00DC07F1" w:rsidRPr="005503B4" w:rsidRDefault="00DC07F1" w:rsidP="00DC07F1">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$ 7.073,59</w:t>
            </w:r>
          </w:p>
        </w:tc>
        <w:tc>
          <w:tcPr>
            <w:tcW w:w="1134" w:type="dxa"/>
            <w:tcBorders>
              <w:top w:val="single" w:sz="4" w:space="0" w:color="8EA9DB"/>
              <w:left w:val="nil"/>
              <w:bottom w:val="single" w:sz="4" w:space="0" w:color="BFBFBF"/>
              <w:right w:val="nil"/>
            </w:tcBorders>
            <w:shd w:val="clear" w:color="D9E1F2" w:fill="D9E1F2"/>
            <w:noWrap/>
            <w:vAlign w:val="bottom"/>
            <w:hideMark/>
          </w:tcPr>
          <w:p w14:paraId="19F832BD" w14:textId="77777777" w:rsidR="00DC07F1" w:rsidRPr="005503B4" w:rsidRDefault="00DC07F1" w:rsidP="00DC07F1">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$ 6.383,97</w:t>
            </w:r>
          </w:p>
        </w:tc>
        <w:tc>
          <w:tcPr>
            <w:tcW w:w="1276" w:type="dxa"/>
            <w:tcBorders>
              <w:top w:val="single" w:sz="4" w:space="0" w:color="8EA9DB"/>
              <w:left w:val="nil"/>
              <w:bottom w:val="single" w:sz="4" w:space="0" w:color="BFBFBF"/>
              <w:right w:val="single" w:sz="4" w:space="0" w:color="BFBFBF"/>
            </w:tcBorders>
            <w:shd w:val="clear" w:color="D9E1F2" w:fill="D9E1F2"/>
            <w:noWrap/>
            <w:vAlign w:val="bottom"/>
            <w:hideMark/>
          </w:tcPr>
          <w:p w14:paraId="61BF3EF8" w14:textId="77777777" w:rsidR="00DC07F1" w:rsidRPr="005503B4" w:rsidRDefault="00DC07F1" w:rsidP="00DC07F1">
            <w:pPr>
              <w:spacing w:before="0" w:after="0" w:line="240" w:lineRule="auto"/>
              <w:jc w:val="right"/>
              <w:rPr>
                <w:rFonts w:eastAsia="Times New Roman" w:cs="Segoe UI"/>
                <w:b/>
                <w:bCs/>
                <w:color w:val="000000"/>
                <w:sz w:val="18"/>
                <w:szCs w:val="18"/>
                <w:lang w:val="es-CO" w:eastAsia="es-CO"/>
              </w:rPr>
            </w:pPr>
            <w:r w:rsidRPr="005503B4">
              <w:rPr>
                <w:rFonts w:eastAsia="Times New Roman" w:cs="Segoe UI"/>
                <w:b/>
                <w:bCs/>
                <w:color w:val="000000"/>
                <w:sz w:val="18"/>
                <w:szCs w:val="18"/>
                <w:lang w:val="es-CO" w:eastAsia="es-CO"/>
              </w:rPr>
              <w:t>$ 5.626,41</w:t>
            </w:r>
          </w:p>
        </w:tc>
      </w:tr>
    </w:tbl>
    <w:p w14:paraId="290E42FB" w14:textId="1D8F7770" w:rsidR="002F6BE3" w:rsidRPr="005503B4" w:rsidRDefault="002F6BE3" w:rsidP="002F6BE3">
      <w:pPr>
        <w:pStyle w:val="FuentedeGrfica"/>
      </w:pPr>
      <w:r w:rsidRPr="005503B4">
        <w:t>FUENTE: MinTIC. Boletín Postal Trimestral.</w:t>
      </w:r>
    </w:p>
    <w:p w14:paraId="232C6317" w14:textId="524F47C9" w:rsidR="002F6BE3" w:rsidRPr="005503B4" w:rsidRDefault="002F6BE3" w:rsidP="002F6BE3">
      <w:pPr>
        <w:pStyle w:val="Ttulo2"/>
      </w:pPr>
      <w:bookmarkStart w:id="248" w:name="_Ref101688228"/>
      <w:bookmarkStart w:id="249" w:name="_Toc101727645"/>
      <w:bookmarkStart w:id="250" w:name="_Toc101865400"/>
      <w:bookmarkStart w:id="251" w:name="_Toc102393296"/>
      <w:bookmarkStart w:id="252" w:name="_Toc104272155"/>
      <w:r w:rsidRPr="005503B4">
        <w:t xml:space="preserve">El mercado de giros de efectivo: </w:t>
      </w:r>
      <w:r w:rsidR="007C691C" w:rsidRPr="005503B4">
        <w:t xml:space="preserve">Servicios </w:t>
      </w:r>
      <w:r w:rsidRPr="005503B4">
        <w:t xml:space="preserve">Fintech y giros </w:t>
      </w:r>
      <w:r w:rsidR="00C73740">
        <w:t>p</w:t>
      </w:r>
      <w:r w:rsidRPr="005503B4">
        <w:t>ostales.</w:t>
      </w:r>
      <w:bookmarkEnd w:id="248"/>
      <w:bookmarkEnd w:id="249"/>
      <w:bookmarkEnd w:id="250"/>
      <w:bookmarkEnd w:id="251"/>
      <w:bookmarkEnd w:id="252"/>
    </w:p>
    <w:p w14:paraId="78E21CE7" w14:textId="58B24A61" w:rsidR="002F6BE3" w:rsidRPr="005503B4" w:rsidRDefault="13985CC2" w:rsidP="002F6BE3">
      <w:pPr>
        <w:rPr>
          <w:lang w:val="es-CO" w:eastAsia="es-ES"/>
        </w:rPr>
      </w:pPr>
      <w:r w:rsidRPr="005503B4">
        <w:rPr>
          <w:lang w:val="es-CO" w:eastAsia="es-ES"/>
        </w:rPr>
        <w:t xml:space="preserve">Como se comentó en la sección anterior, la presión competitiva de los operadores del sector bancario y de los servicios </w:t>
      </w:r>
      <w:proofErr w:type="spellStart"/>
      <w:r w:rsidRPr="005503B4">
        <w:rPr>
          <w:lang w:val="es-CO" w:eastAsia="es-ES"/>
        </w:rPr>
        <w:t>FinTech</w:t>
      </w:r>
      <w:proofErr w:type="spellEnd"/>
      <w:r w:rsidRPr="005503B4">
        <w:rPr>
          <w:lang w:val="es-CO" w:eastAsia="es-ES"/>
        </w:rPr>
        <w:t xml:space="preserve">, </w:t>
      </w:r>
      <w:r w:rsidR="6BF046E9" w:rsidRPr="005503B4">
        <w:rPr>
          <w:lang w:val="es-CO" w:eastAsia="es-ES"/>
        </w:rPr>
        <w:t xml:space="preserve">pudo </w:t>
      </w:r>
      <w:r w:rsidRPr="005503B4">
        <w:rPr>
          <w:lang w:val="es-CO" w:eastAsia="es-ES"/>
        </w:rPr>
        <w:t>ha</w:t>
      </w:r>
      <w:r w:rsidR="6BF046E9" w:rsidRPr="005503B4">
        <w:rPr>
          <w:lang w:val="es-CO" w:eastAsia="es-ES"/>
        </w:rPr>
        <w:t>ber</w:t>
      </w:r>
      <w:r w:rsidRPr="005503B4">
        <w:rPr>
          <w:lang w:val="es-CO" w:eastAsia="es-ES"/>
        </w:rPr>
        <w:t xml:space="preserve"> sido uno de los factores que </w:t>
      </w:r>
      <w:r w:rsidR="00F171C6">
        <w:rPr>
          <w:lang w:val="es-CO" w:eastAsia="es-ES"/>
        </w:rPr>
        <w:t>redujo los ingresos</w:t>
      </w:r>
      <w:r w:rsidR="00F171C6" w:rsidRPr="005503B4">
        <w:rPr>
          <w:lang w:val="es-CO" w:eastAsia="es-ES"/>
        </w:rPr>
        <w:t xml:space="preserve"> </w:t>
      </w:r>
      <w:r w:rsidR="00F171C6">
        <w:rPr>
          <w:lang w:val="es-CO" w:eastAsia="es-ES"/>
        </w:rPr>
        <w:t>de</w:t>
      </w:r>
      <w:r w:rsidRPr="005503B4">
        <w:rPr>
          <w:lang w:val="es-CO" w:eastAsia="es-ES"/>
        </w:rPr>
        <w:t xml:space="preserve"> los operadores de giros postales</w:t>
      </w:r>
      <w:r w:rsidR="00F171C6">
        <w:rPr>
          <w:lang w:val="es-CO" w:eastAsia="es-ES"/>
        </w:rPr>
        <w:t>, así como la</w:t>
      </w:r>
      <w:r w:rsidRPr="005503B4">
        <w:rPr>
          <w:lang w:val="es-CO" w:eastAsia="es-ES"/>
        </w:rPr>
        <w:t xml:space="preserve"> posible disminución del volumen de los giros movilizados</w:t>
      </w:r>
      <w:r w:rsidR="6BF046E9" w:rsidRPr="005503B4">
        <w:rPr>
          <w:lang w:val="es-CO" w:eastAsia="es-ES"/>
        </w:rPr>
        <w:t>, especialmente en el año 2021.</w:t>
      </w:r>
    </w:p>
    <w:p w14:paraId="157BC8ED" w14:textId="4CDD6DEB" w:rsidR="002F6BE3" w:rsidRPr="005503B4" w:rsidRDefault="13985CC2" w:rsidP="002F6BE3">
      <w:pPr>
        <w:rPr>
          <w:lang w:val="es-CO"/>
        </w:rPr>
      </w:pPr>
      <w:r w:rsidRPr="005503B4">
        <w:rPr>
          <w:lang w:val="es-CO" w:eastAsia="es-ES"/>
        </w:rPr>
        <w:t xml:space="preserve">Se utiliza para tal efecto </w:t>
      </w:r>
      <w:r w:rsidR="00D26E01">
        <w:rPr>
          <w:lang w:val="es-CO" w:eastAsia="es-ES"/>
        </w:rPr>
        <w:t>la</w:t>
      </w:r>
      <w:r w:rsidRPr="005503B4">
        <w:rPr>
          <w:lang w:val="es-CO" w:eastAsia="es-ES"/>
        </w:rPr>
        <w:t xml:space="preserve"> publicación de Colombia Fintech titulada “</w:t>
      </w:r>
      <w:r w:rsidRPr="005503B4">
        <w:rPr>
          <w:i/>
          <w:iCs/>
          <w:lang w:val="es-CO" w:eastAsia="es-ES"/>
        </w:rPr>
        <w:t>¿Cuáles son y cómo están las billeteras digitales en Colombia?</w:t>
      </w:r>
      <w:r w:rsidRPr="005503B4">
        <w:rPr>
          <w:lang w:val="es-CO" w:eastAsia="es-ES"/>
        </w:rPr>
        <w:t xml:space="preserve">”. </w:t>
      </w:r>
      <w:sdt>
        <w:sdtPr>
          <w:rPr>
            <w:lang w:val="es-CO" w:eastAsia="es-ES"/>
          </w:rPr>
          <w:id w:val="-1264454787"/>
          <w:placeholder>
            <w:docPart w:val="DefaultPlaceholder_1081868574"/>
          </w:placeholder>
          <w:citation/>
        </w:sdtPr>
        <w:sdtEndPr/>
        <w:sdtContent>
          <w:r w:rsidR="002F6BE3" w:rsidRPr="005503B4">
            <w:rPr>
              <w:lang w:val="es-CO" w:eastAsia="es-ES"/>
            </w:rPr>
            <w:fldChar w:fldCharType="begin"/>
          </w:r>
          <w:r w:rsidR="002F6BE3" w:rsidRPr="005503B4">
            <w:rPr>
              <w:lang w:val="es-CO" w:eastAsia="es-ES"/>
            </w:rPr>
            <w:instrText xml:space="preserve">CITATION Col22 \l 9226 </w:instrText>
          </w:r>
          <w:r w:rsidR="002F6BE3" w:rsidRPr="005503B4">
            <w:rPr>
              <w:lang w:val="es-CO" w:eastAsia="es-ES"/>
            </w:rPr>
            <w:fldChar w:fldCharType="separate"/>
          </w:r>
          <w:r w:rsidR="00C57FCA" w:rsidRPr="00C57FCA">
            <w:rPr>
              <w:noProof/>
              <w:lang w:val="es-CO" w:eastAsia="es-ES"/>
            </w:rPr>
            <w:t>(Colombia Fintech, 2022)</w:t>
          </w:r>
          <w:r w:rsidR="002F6BE3" w:rsidRPr="005503B4">
            <w:rPr>
              <w:lang w:val="es-CO" w:eastAsia="es-ES"/>
            </w:rPr>
            <w:fldChar w:fldCharType="end"/>
          </w:r>
        </w:sdtContent>
      </w:sdt>
      <w:r w:rsidRPr="005503B4">
        <w:rPr>
          <w:lang w:val="es-CO" w:eastAsia="es-ES"/>
        </w:rPr>
        <w:t>, así como la información que publica el Ministerio en su Boletín Trimestral Postal.</w:t>
      </w:r>
    </w:p>
    <w:p w14:paraId="48D7DB14" w14:textId="599B7C74" w:rsidR="002F6BE3" w:rsidRDefault="13985CC2" w:rsidP="002F6BE3">
      <w:r w:rsidRPr="005503B4">
        <w:t xml:space="preserve">Con base en dicha información, se encontró, como se muestra en la </w:t>
      </w:r>
      <w:r w:rsidR="002F6BE3" w:rsidRPr="005503B4">
        <w:fldChar w:fldCharType="begin"/>
      </w:r>
      <w:r w:rsidR="002F6BE3" w:rsidRPr="005503B4">
        <w:instrText xml:space="preserve"> REF _Ref101693696 \h </w:instrText>
      </w:r>
      <w:r w:rsidR="005503B4">
        <w:instrText xml:space="preserve"> \* MERGEFORMAT </w:instrText>
      </w:r>
      <w:r w:rsidR="002F6BE3" w:rsidRPr="005503B4">
        <w:fldChar w:fldCharType="separate"/>
      </w:r>
      <w:r w:rsidR="00C57FCA" w:rsidRPr="005503B4">
        <w:t xml:space="preserve">Gráfica </w:t>
      </w:r>
      <w:r w:rsidR="00C57FCA">
        <w:rPr>
          <w:noProof/>
        </w:rPr>
        <w:t>6</w:t>
      </w:r>
      <w:r w:rsidR="00C57FCA" w:rsidRPr="005503B4">
        <w:rPr>
          <w:noProof/>
        </w:rPr>
        <w:noBreakHyphen/>
      </w:r>
      <w:r w:rsidR="00C57FCA">
        <w:rPr>
          <w:noProof/>
        </w:rPr>
        <w:t>1</w:t>
      </w:r>
      <w:r w:rsidR="002F6BE3" w:rsidRPr="005503B4">
        <w:fldChar w:fldCharType="end"/>
      </w:r>
      <w:r w:rsidRPr="005503B4">
        <w:t xml:space="preserve">, que mientras en el 2018 </w:t>
      </w:r>
      <w:r w:rsidR="00D26E01">
        <w:t xml:space="preserve">en </w:t>
      </w:r>
      <w:r w:rsidRPr="005503B4">
        <w:t xml:space="preserve">el mercado de giros de efectivo </w:t>
      </w:r>
      <w:r w:rsidR="00D26E01">
        <w:t>se realizaban alrededor de</w:t>
      </w:r>
      <w:r w:rsidRPr="005503B4">
        <w:t xml:space="preserve"> 128 millones de transacciones, de las cuales el 92% correspondían a giros postales y el 8% </w:t>
      </w:r>
      <w:r w:rsidR="5DA4F872" w:rsidRPr="005503B4">
        <w:t xml:space="preserve">a </w:t>
      </w:r>
      <w:r w:rsidRPr="005503B4">
        <w:t xml:space="preserve">transacciones Fintech, al concluir el año 2021, el mercado se había multiplicado por 16, llegando a generar un volumen de 2.072 millones de giros, </w:t>
      </w:r>
      <w:r w:rsidR="00D26E01">
        <w:t>situación que</w:t>
      </w:r>
      <w:r w:rsidRPr="005503B4">
        <w:t xml:space="preserve"> </w:t>
      </w:r>
      <w:r w:rsidR="6BF046E9" w:rsidRPr="005503B4">
        <w:t xml:space="preserve">podría </w:t>
      </w:r>
      <w:r w:rsidR="009BA795" w:rsidRPr="005503B4">
        <w:t>estar ocasionando un</w:t>
      </w:r>
      <w:r w:rsidRPr="005503B4">
        <w:t xml:space="preserve"> impacto competitivo </w:t>
      </w:r>
      <w:r w:rsidR="009BA795" w:rsidRPr="005503B4">
        <w:t>importante</w:t>
      </w:r>
    </w:p>
    <w:p w14:paraId="02E0FC48" w14:textId="1DAC9C2D" w:rsidR="007E42A0" w:rsidRPr="005503B4" w:rsidRDefault="007E42A0" w:rsidP="007E42A0">
      <w:pPr>
        <w:rPr>
          <w:lang w:eastAsia="es-ES"/>
        </w:rPr>
      </w:pPr>
      <w:r w:rsidRPr="005503B4">
        <w:rPr>
          <w:lang w:eastAsia="es-ES"/>
        </w:rPr>
        <w:t xml:space="preserve">De la información de </w:t>
      </w:r>
      <w:sdt>
        <w:sdtPr>
          <w:rPr>
            <w:lang w:eastAsia="es-ES"/>
          </w:rPr>
          <w:id w:val="-443074127"/>
          <w:placeholder>
            <w:docPart w:val="9C31A22F12F64C068BE2C263A13FF447"/>
          </w:placeholder>
          <w:citation/>
        </w:sdtPr>
        <w:sdtEndPr/>
        <w:sdtContent>
          <w:r w:rsidRPr="005503B4">
            <w:rPr>
              <w:lang w:eastAsia="es-ES"/>
            </w:rPr>
            <w:fldChar w:fldCharType="begin"/>
          </w:r>
          <w:r w:rsidRPr="005503B4">
            <w:rPr>
              <w:lang w:val="es-CO" w:eastAsia="es-ES"/>
            </w:rPr>
            <w:instrText xml:space="preserve"> CITATION Col22 \l 9226 </w:instrText>
          </w:r>
          <w:r w:rsidRPr="005503B4">
            <w:rPr>
              <w:lang w:eastAsia="es-ES"/>
            </w:rPr>
            <w:fldChar w:fldCharType="separate"/>
          </w:r>
          <w:r w:rsidR="00C57FCA" w:rsidRPr="00C57FCA">
            <w:rPr>
              <w:noProof/>
              <w:lang w:val="es-CO" w:eastAsia="es-ES"/>
            </w:rPr>
            <w:t>(Colombia Fintech, 2022)</w:t>
          </w:r>
          <w:r w:rsidRPr="005503B4">
            <w:rPr>
              <w:lang w:eastAsia="es-ES"/>
            </w:rPr>
            <w:fldChar w:fldCharType="end"/>
          </w:r>
        </w:sdtContent>
      </w:sdt>
      <w:r w:rsidRPr="005503B4">
        <w:rPr>
          <w:lang w:eastAsia="es-ES"/>
        </w:rPr>
        <w:t xml:space="preserve">, se </w:t>
      </w:r>
      <w:r w:rsidR="00D26E01">
        <w:rPr>
          <w:lang w:eastAsia="es-ES"/>
        </w:rPr>
        <w:t xml:space="preserve">estima </w:t>
      </w:r>
      <w:r w:rsidRPr="005503B4">
        <w:rPr>
          <w:lang w:eastAsia="es-ES"/>
        </w:rPr>
        <w:t>que exis</w:t>
      </w:r>
      <w:r w:rsidR="00D26E01">
        <w:rPr>
          <w:lang w:eastAsia="es-ES"/>
        </w:rPr>
        <w:t>ten</w:t>
      </w:r>
      <w:r w:rsidRPr="005503B4">
        <w:rPr>
          <w:lang w:eastAsia="es-ES"/>
        </w:rPr>
        <w:t xml:space="preserve"> 12 operadores de servicios </w:t>
      </w:r>
      <w:proofErr w:type="spellStart"/>
      <w:r w:rsidRPr="005503B4">
        <w:rPr>
          <w:lang w:eastAsia="es-ES"/>
        </w:rPr>
        <w:t>FinTech</w:t>
      </w:r>
      <w:proofErr w:type="spellEnd"/>
      <w:r w:rsidRPr="005503B4">
        <w:rPr>
          <w:lang w:eastAsia="es-ES"/>
        </w:rPr>
        <w:t xml:space="preserve"> que se han consolidado en el mercado, con 28,7 millones de usuarios, con un crecimiento del 99% frente al 2020 y con 1.942 millones de transacciones, con un incremento del 122% con respecto al mismo año. Se encuentra, según Colombia Fintech que el volumen movilizado por esas entidades es del orden de los </w:t>
      </w:r>
      <w:r w:rsidRPr="005503B4">
        <w:rPr>
          <w:lang w:eastAsia="es-ES"/>
        </w:rPr>
        <w:lastRenderedPageBreak/>
        <w:t>$112 billones</w:t>
      </w:r>
      <w:r w:rsidR="00D26E01">
        <w:rPr>
          <w:lang w:eastAsia="es-ES"/>
        </w:rPr>
        <w:t xml:space="preserve"> de pesos</w:t>
      </w:r>
      <w:r w:rsidRPr="005503B4">
        <w:rPr>
          <w:lang w:eastAsia="es-ES"/>
        </w:rPr>
        <w:t xml:space="preserve">, presentando un aumento de cerca del 195% con relación al 2020. (Considérese para tal efecto la </w:t>
      </w:r>
      <w:r w:rsidRPr="005503B4">
        <w:rPr>
          <w:lang w:eastAsia="es-ES"/>
        </w:rPr>
        <w:fldChar w:fldCharType="begin"/>
      </w:r>
      <w:r w:rsidRPr="005503B4">
        <w:rPr>
          <w:lang w:eastAsia="es-ES"/>
        </w:rPr>
        <w:instrText xml:space="preserve"> REF _Ref101767070 \h </w:instrText>
      </w:r>
      <w:r>
        <w:rPr>
          <w:lang w:eastAsia="es-ES"/>
        </w:rPr>
        <w:instrText xml:space="preserve"> \* MERGEFORMAT </w:instrText>
      </w:r>
      <w:r w:rsidRPr="005503B4">
        <w:rPr>
          <w:lang w:eastAsia="es-ES"/>
        </w:rPr>
      </w:r>
      <w:r w:rsidRPr="005503B4">
        <w:rPr>
          <w:lang w:eastAsia="es-ES"/>
        </w:rPr>
        <w:fldChar w:fldCharType="separate"/>
      </w:r>
      <w:r w:rsidR="00C57FCA" w:rsidRPr="005503B4">
        <w:t xml:space="preserve">Tabla </w:t>
      </w:r>
      <w:r w:rsidR="00C57FCA">
        <w:rPr>
          <w:noProof/>
        </w:rPr>
        <w:t>6</w:t>
      </w:r>
      <w:r w:rsidR="00C57FCA" w:rsidRPr="005503B4">
        <w:rPr>
          <w:noProof/>
        </w:rPr>
        <w:noBreakHyphen/>
      </w:r>
      <w:r w:rsidR="00C57FCA">
        <w:rPr>
          <w:noProof/>
        </w:rPr>
        <w:t>5</w:t>
      </w:r>
      <w:r w:rsidRPr="005503B4">
        <w:rPr>
          <w:lang w:eastAsia="es-ES"/>
        </w:rPr>
        <w:fldChar w:fldCharType="end"/>
      </w:r>
      <w:r w:rsidRPr="005503B4">
        <w:rPr>
          <w:lang w:eastAsia="es-ES"/>
        </w:rPr>
        <w:t xml:space="preserve"> que se presenta a continuación</w:t>
      </w:r>
      <w:r w:rsidR="00D26E01">
        <w:rPr>
          <w:lang w:eastAsia="es-ES"/>
        </w:rPr>
        <w:t>)</w:t>
      </w:r>
      <w:r w:rsidRPr="005503B4">
        <w:rPr>
          <w:lang w:eastAsia="es-ES"/>
        </w:rPr>
        <w:t>.</w:t>
      </w:r>
    </w:p>
    <w:p w14:paraId="1BFC63D6" w14:textId="341E621E" w:rsidR="002F6BE3" w:rsidRDefault="002F6BE3" w:rsidP="002F6BE3">
      <w:pPr>
        <w:pStyle w:val="TITcuadro"/>
      </w:pPr>
      <w:bookmarkStart w:id="253" w:name="_Ref101693696"/>
      <w:bookmarkStart w:id="254" w:name="_Toc101865461"/>
      <w:bookmarkStart w:id="255" w:name="_Toc104228733"/>
      <w:r w:rsidRPr="005503B4">
        <w:t xml:space="preserve">Gráfica </w:t>
      </w:r>
      <w:r w:rsidRPr="005503B4">
        <w:fldChar w:fldCharType="begin"/>
      </w:r>
      <w:r w:rsidRPr="005503B4">
        <w:instrText>STYLEREF 1 \s</w:instrText>
      </w:r>
      <w:r w:rsidRPr="005503B4">
        <w:fldChar w:fldCharType="separate"/>
      </w:r>
      <w:r w:rsidR="00C57FCA">
        <w:rPr>
          <w:noProof/>
        </w:rPr>
        <w:t>6</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1</w:t>
      </w:r>
      <w:r w:rsidRPr="005503B4">
        <w:fldChar w:fldCharType="end"/>
      </w:r>
      <w:bookmarkEnd w:id="253"/>
      <w:r w:rsidRPr="005503B4">
        <w:t xml:space="preserve"> - </w:t>
      </w:r>
      <w:r w:rsidR="00A81541" w:rsidRPr="00A81541">
        <w:t xml:space="preserve">Servicios Postales de Pago </w:t>
      </w:r>
      <w:r w:rsidR="00A81541">
        <w:t xml:space="preserve">- </w:t>
      </w:r>
      <w:r w:rsidRPr="005503B4">
        <w:t>Mercado de giros de efectivo: Número de transacciones anuales</w:t>
      </w:r>
      <w:bookmarkEnd w:id="254"/>
      <w:bookmarkEnd w:id="255"/>
    </w:p>
    <w:p w14:paraId="3C8ECCDA" w14:textId="77777777" w:rsidR="002F6BE3" w:rsidRPr="005503B4" w:rsidRDefault="002F6BE3" w:rsidP="002F6BE3">
      <w:pPr>
        <w:pStyle w:val="Grfica"/>
      </w:pPr>
      <w:r w:rsidRPr="005503B4">
        <w:rPr>
          <w:noProof/>
          <w:lang w:eastAsia="es-CO"/>
        </w:rPr>
        <w:drawing>
          <wp:inline distT="0" distB="0" distL="0" distR="0" wp14:anchorId="4C9F795A" wp14:editId="63B8E471">
            <wp:extent cx="5358765" cy="1735200"/>
            <wp:effectExtent l="0" t="0" r="13335" b="17780"/>
            <wp:docPr id="48" name="Gráfico 4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55A54E" w14:textId="01F035CE" w:rsidR="002F6BE3" w:rsidRPr="005503B4" w:rsidRDefault="002F6BE3" w:rsidP="002F6BE3">
      <w:pPr>
        <w:pStyle w:val="FuentedeGrfica"/>
        <w:rPr>
          <w:lang w:val="es-ES_tradnl"/>
        </w:rPr>
      </w:pPr>
      <w:r w:rsidRPr="005503B4">
        <w:t xml:space="preserve">FUENTES: Elaboración propia a partir de Giros Postales: MinTIC. Boletín trimestral postal y Subdirección postal. Información al </w:t>
      </w:r>
      <w:r w:rsidR="005E18FC" w:rsidRPr="005503B4">
        <w:t>cuarto</w:t>
      </w:r>
      <w:r w:rsidRPr="005503B4">
        <w:t xml:space="preserve"> trimestre de 2021. Giros</w:t>
      </w:r>
      <w:r w:rsidRPr="005503B4">
        <w:rPr>
          <w:lang w:val="es-ES_tradnl"/>
        </w:rPr>
        <w:t xml:space="preserve"> Fintech: Colombia Fintech. </w:t>
      </w:r>
      <w:hyperlink r:id="rId46" w:history="1">
        <w:r w:rsidRPr="005503B4">
          <w:rPr>
            <w:rStyle w:val="Hipervnculo"/>
            <w:lang w:val="es-ES_tradnl"/>
          </w:rPr>
          <w:t>https://colombiafintech.co/lineaDeTiempo/publicaciones</w:t>
        </w:r>
      </w:hyperlink>
      <w:r w:rsidRPr="005503B4">
        <w:rPr>
          <w:lang w:val="es-ES_tradnl"/>
        </w:rPr>
        <w:t>.</w:t>
      </w:r>
    </w:p>
    <w:p w14:paraId="265835B6" w14:textId="557D3FDE" w:rsidR="002F6BE3" w:rsidRPr="005503B4" w:rsidRDefault="002F6BE3" w:rsidP="000406B9">
      <w:pPr>
        <w:pStyle w:val="Descripcin"/>
        <w:ind w:right="990" w:hanging="284"/>
      </w:pPr>
      <w:bookmarkStart w:id="256" w:name="_Ref101767070"/>
      <w:bookmarkStart w:id="257" w:name="_Toc101865473"/>
      <w:bookmarkStart w:id="258" w:name="_Toc104227934"/>
      <w:r w:rsidRPr="005503B4">
        <w:t xml:space="preserve">Tabla </w:t>
      </w:r>
      <w:r w:rsidRPr="005503B4">
        <w:fldChar w:fldCharType="begin"/>
      </w:r>
      <w:r w:rsidRPr="005503B4">
        <w:instrText>STYLEREF 1 \s</w:instrText>
      </w:r>
      <w:r w:rsidRPr="005503B4">
        <w:fldChar w:fldCharType="separate"/>
      </w:r>
      <w:r w:rsidR="00C57FCA">
        <w:rPr>
          <w:noProof/>
        </w:rPr>
        <w:t>6</w:t>
      </w:r>
      <w:r w:rsidRPr="005503B4">
        <w:fldChar w:fldCharType="end"/>
      </w:r>
      <w:r w:rsidRPr="005503B4">
        <w:noBreakHyphen/>
      </w:r>
      <w:r w:rsidRPr="005503B4">
        <w:fldChar w:fldCharType="begin"/>
      </w:r>
      <w:r w:rsidRPr="005503B4">
        <w:instrText>SEQ Tabla \* ARABIC \s 1</w:instrText>
      </w:r>
      <w:r w:rsidRPr="005503B4">
        <w:fldChar w:fldCharType="separate"/>
      </w:r>
      <w:r w:rsidR="00C57FCA">
        <w:rPr>
          <w:noProof/>
        </w:rPr>
        <w:t>5</w:t>
      </w:r>
      <w:r w:rsidRPr="005503B4">
        <w:fldChar w:fldCharType="end"/>
      </w:r>
      <w:bookmarkEnd w:id="256"/>
      <w:r w:rsidRPr="005503B4">
        <w:t xml:space="preserve"> – Servicios </w:t>
      </w:r>
      <w:r w:rsidRPr="005503B4">
        <w:rPr>
          <w:lang w:val="es-ES_tradnl"/>
        </w:rPr>
        <w:t>FINTECH. Giros electrónicos en el año 2021</w:t>
      </w:r>
      <w:bookmarkEnd w:id="257"/>
      <w:bookmarkEnd w:id="258"/>
    </w:p>
    <w:tbl>
      <w:tblPr>
        <w:tblW w:w="8079" w:type="dxa"/>
        <w:tblInd w:w="421" w:type="dxa"/>
        <w:tblCellMar>
          <w:left w:w="0" w:type="dxa"/>
          <w:right w:w="0" w:type="dxa"/>
        </w:tblCellMar>
        <w:tblLook w:val="0600" w:firstRow="0" w:lastRow="0" w:firstColumn="0" w:lastColumn="0" w:noHBand="1" w:noVBand="1"/>
      </w:tblPr>
      <w:tblGrid>
        <w:gridCol w:w="3118"/>
        <w:gridCol w:w="1418"/>
        <w:gridCol w:w="1842"/>
        <w:gridCol w:w="1701"/>
      </w:tblGrid>
      <w:tr w:rsidR="002F6BE3" w:rsidRPr="00D26E01" w14:paraId="4AA5AAC3" w14:textId="77777777" w:rsidTr="00633090">
        <w:trPr>
          <w:trHeight w:val="631"/>
          <w:tblHeader/>
        </w:trPr>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cMar>
              <w:top w:w="15" w:type="dxa"/>
              <w:left w:w="270" w:type="dxa"/>
              <w:bottom w:w="0" w:type="dxa"/>
              <w:right w:w="15" w:type="dxa"/>
            </w:tcMar>
            <w:vAlign w:val="center"/>
            <w:hideMark/>
          </w:tcPr>
          <w:p w14:paraId="21114456" w14:textId="3B6234AD" w:rsidR="002F6BE3" w:rsidRPr="003A2BB8" w:rsidRDefault="001F1B8E" w:rsidP="00633090">
            <w:pPr>
              <w:spacing w:before="60" w:after="60" w:line="264" w:lineRule="auto"/>
              <w:jc w:val="center"/>
              <w:rPr>
                <w:sz w:val="20"/>
                <w:szCs w:val="22"/>
                <w:lang w:val="es-CO" w:eastAsia="es-ES"/>
              </w:rPr>
            </w:pPr>
            <w:r w:rsidRPr="003A2BB8">
              <w:rPr>
                <w:b/>
                <w:bCs/>
                <w:sz w:val="20"/>
                <w:szCs w:val="22"/>
                <w:lang w:val="es-CO" w:eastAsia="es-ES"/>
              </w:rPr>
              <w:t xml:space="preserve">SERVICIOS </w:t>
            </w:r>
            <w:r w:rsidR="002F6BE3" w:rsidRPr="003A2BB8">
              <w:rPr>
                <w:b/>
                <w:bCs/>
                <w:sz w:val="20"/>
                <w:szCs w:val="22"/>
                <w:lang w:val="es-CO" w:eastAsia="es-ES"/>
              </w:rPr>
              <w:t>FINTECH  2021</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cMar>
              <w:top w:w="15" w:type="dxa"/>
              <w:left w:w="15" w:type="dxa"/>
              <w:bottom w:w="0" w:type="dxa"/>
              <w:right w:w="15" w:type="dxa"/>
            </w:tcMar>
            <w:vAlign w:val="center"/>
            <w:hideMark/>
          </w:tcPr>
          <w:p w14:paraId="2E775A14" w14:textId="77777777" w:rsidR="002F6BE3" w:rsidRPr="003A2BB8" w:rsidRDefault="002F6BE3" w:rsidP="00633090">
            <w:pPr>
              <w:spacing w:before="60" w:after="60" w:line="264" w:lineRule="auto"/>
              <w:jc w:val="center"/>
              <w:rPr>
                <w:sz w:val="20"/>
                <w:szCs w:val="22"/>
                <w:lang w:val="es-CO" w:eastAsia="es-ES"/>
              </w:rPr>
            </w:pPr>
            <w:r w:rsidRPr="003A2BB8">
              <w:rPr>
                <w:b/>
                <w:bCs/>
                <w:sz w:val="20"/>
                <w:szCs w:val="22"/>
                <w:lang w:val="es-CO" w:eastAsia="es-ES"/>
              </w:rPr>
              <w:t>Usuarios (000´s)</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cMar>
              <w:top w:w="15" w:type="dxa"/>
              <w:left w:w="15" w:type="dxa"/>
              <w:bottom w:w="0" w:type="dxa"/>
              <w:right w:w="15" w:type="dxa"/>
            </w:tcMar>
            <w:vAlign w:val="center"/>
            <w:hideMark/>
          </w:tcPr>
          <w:p w14:paraId="33C78C01" w14:textId="77777777" w:rsidR="002F6BE3" w:rsidRPr="003A2BB8" w:rsidRDefault="002F6BE3" w:rsidP="00633090">
            <w:pPr>
              <w:spacing w:before="60" w:after="60" w:line="264" w:lineRule="auto"/>
              <w:jc w:val="center"/>
              <w:rPr>
                <w:sz w:val="20"/>
                <w:szCs w:val="22"/>
                <w:lang w:val="es-CO" w:eastAsia="es-ES"/>
              </w:rPr>
            </w:pPr>
            <w:r w:rsidRPr="003A2BB8">
              <w:rPr>
                <w:b/>
                <w:bCs/>
                <w:sz w:val="20"/>
                <w:szCs w:val="22"/>
                <w:lang w:val="es-CO" w:eastAsia="es-ES"/>
              </w:rPr>
              <w:t>Transacciones (000´s)</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cMar>
              <w:top w:w="15" w:type="dxa"/>
              <w:left w:w="15" w:type="dxa"/>
              <w:bottom w:w="0" w:type="dxa"/>
              <w:right w:w="15" w:type="dxa"/>
            </w:tcMar>
            <w:vAlign w:val="center"/>
            <w:hideMark/>
          </w:tcPr>
          <w:p w14:paraId="0952DAEF" w14:textId="72F2C377" w:rsidR="002F6BE3" w:rsidRPr="003A2BB8" w:rsidRDefault="002F6BE3" w:rsidP="00633090">
            <w:pPr>
              <w:spacing w:before="60" w:after="60" w:line="264" w:lineRule="auto"/>
              <w:jc w:val="center"/>
              <w:rPr>
                <w:sz w:val="20"/>
                <w:szCs w:val="22"/>
                <w:lang w:val="es-CO" w:eastAsia="es-ES"/>
              </w:rPr>
            </w:pPr>
            <w:r w:rsidRPr="003A2BB8">
              <w:rPr>
                <w:b/>
                <w:bCs/>
                <w:sz w:val="20"/>
                <w:szCs w:val="22"/>
                <w:lang w:val="es-CO" w:eastAsia="es-ES"/>
              </w:rPr>
              <w:t>Movilizado (M</w:t>
            </w:r>
            <w:r w:rsidR="002D3349">
              <w:rPr>
                <w:b/>
                <w:bCs/>
                <w:sz w:val="20"/>
                <w:szCs w:val="22"/>
                <w:lang w:val="es-CO" w:eastAsia="es-ES"/>
              </w:rPr>
              <w:t>illones</w:t>
            </w:r>
            <w:r w:rsidRPr="003A2BB8">
              <w:rPr>
                <w:b/>
                <w:bCs/>
                <w:sz w:val="20"/>
                <w:szCs w:val="22"/>
                <w:lang w:val="es-CO" w:eastAsia="es-ES"/>
              </w:rPr>
              <w:t xml:space="preserve"> de $)</w:t>
            </w:r>
          </w:p>
        </w:tc>
      </w:tr>
      <w:tr w:rsidR="002F6BE3" w:rsidRPr="00D26E01" w14:paraId="127DC671" w14:textId="77777777" w:rsidTr="003A2BB8">
        <w:trPr>
          <w:trHeight w:val="162"/>
        </w:trPr>
        <w:tc>
          <w:tcPr>
            <w:tcW w:w="3118" w:type="dxa"/>
            <w:tcBorders>
              <w:top w:val="single" w:sz="4" w:space="0" w:color="A6A6A6" w:themeColor="background1" w:themeShade="A6"/>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5094CD8F" w14:textId="77777777" w:rsidR="002F6BE3" w:rsidRPr="003A2BB8" w:rsidRDefault="002F6BE3" w:rsidP="00E053F2">
            <w:pPr>
              <w:spacing w:before="0" w:after="0"/>
              <w:ind w:hanging="515"/>
              <w:rPr>
                <w:sz w:val="20"/>
                <w:szCs w:val="22"/>
                <w:lang w:val="es-CO" w:eastAsia="es-ES"/>
              </w:rPr>
            </w:pPr>
            <w:proofErr w:type="spellStart"/>
            <w:r w:rsidRPr="003A2BB8">
              <w:rPr>
                <w:sz w:val="20"/>
                <w:szCs w:val="22"/>
                <w:lang w:val="es-CO" w:eastAsia="es-ES"/>
              </w:rPr>
              <w:t>Daviplata</w:t>
            </w:r>
            <w:proofErr w:type="spellEnd"/>
          </w:p>
        </w:tc>
        <w:tc>
          <w:tcPr>
            <w:tcW w:w="1418" w:type="dxa"/>
            <w:tcBorders>
              <w:top w:val="single" w:sz="4" w:space="0" w:color="A6A6A6" w:themeColor="background1" w:themeShade="A6"/>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779ED52A"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13.800</w:t>
            </w:r>
          </w:p>
        </w:tc>
        <w:tc>
          <w:tcPr>
            <w:tcW w:w="1842" w:type="dxa"/>
            <w:tcBorders>
              <w:top w:val="single" w:sz="4" w:space="0" w:color="A6A6A6" w:themeColor="background1" w:themeShade="A6"/>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2364B3E1"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1.300.000</w:t>
            </w:r>
          </w:p>
        </w:tc>
        <w:tc>
          <w:tcPr>
            <w:tcW w:w="1701" w:type="dxa"/>
            <w:tcBorders>
              <w:top w:val="single" w:sz="4" w:space="0" w:color="A6A6A6" w:themeColor="background1" w:themeShade="A6"/>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69558FE2"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34.000.000</w:t>
            </w:r>
          </w:p>
        </w:tc>
      </w:tr>
      <w:tr w:rsidR="002F6BE3" w:rsidRPr="00D26E01" w14:paraId="70A6FCA6" w14:textId="77777777" w:rsidTr="003A2BB8">
        <w:trPr>
          <w:trHeight w:val="280"/>
        </w:trPr>
        <w:tc>
          <w:tcPr>
            <w:tcW w:w="3118" w:type="dxa"/>
            <w:tcBorders>
              <w:top w:val="single" w:sz="4" w:space="0" w:color="D9D9D9"/>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7E32A1C2" w14:textId="77777777" w:rsidR="002F6BE3" w:rsidRPr="003A2BB8" w:rsidRDefault="002F6BE3" w:rsidP="00E053F2">
            <w:pPr>
              <w:spacing w:before="0" w:after="0"/>
              <w:ind w:hanging="515"/>
              <w:rPr>
                <w:sz w:val="20"/>
                <w:szCs w:val="22"/>
                <w:lang w:val="es-CO" w:eastAsia="es-ES"/>
              </w:rPr>
            </w:pPr>
            <w:proofErr w:type="spellStart"/>
            <w:r w:rsidRPr="003A2BB8">
              <w:rPr>
                <w:sz w:val="20"/>
                <w:szCs w:val="22"/>
                <w:lang w:val="es-CO" w:eastAsia="es-ES"/>
              </w:rPr>
              <w:t>Nequi</w:t>
            </w:r>
            <w:proofErr w:type="spellEnd"/>
          </w:p>
        </w:tc>
        <w:tc>
          <w:tcPr>
            <w:tcW w:w="1418"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77747EF8"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10.000</w:t>
            </w:r>
          </w:p>
        </w:tc>
        <w:tc>
          <w:tcPr>
            <w:tcW w:w="1842"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4B37D4B9"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611.000</w:t>
            </w:r>
          </w:p>
        </w:tc>
        <w:tc>
          <w:tcPr>
            <w:tcW w:w="1701" w:type="dxa"/>
            <w:tcBorders>
              <w:top w:val="single" w:sz="4" w:space="0" w:color="D9D9D9"/>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37E894F3"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75.000.000</w:t>
            </w:r>
          </w:p>
        </w:tc>
      </w:tr>
      <w:tr w:rsidR="002F6BE3" w:rsidRPr="00D26E01" w14:paraId="3286D44C" w14:textId="77777777" w:rsidTr="003A2BB8">
        <w:trPr>
          <w:trHeight w:val="256"/>
        </w:trPr>
        <w:tc>
          <w:tcPr>
            <w:tcW w:w="3118" w:type="dxa"/>
            <w:tcBorders>
              <w:top w:val="single" w:sz="4" w:space="0" w:color="D9D9D9"/>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51376C5B" w14:textId="77777777" w:rsidR="002F6BE3" w:rsidRPr="003A2BB8" w:rsidRDefault="002F6BE3" w:rsidP="00E053F2">
            <w:pPr>
              <w:spacing w:before="0" w:after="0"/>
              <w:ind w:hanging="515"/>
              <w:rPr>
                <w:sz w:val="20"/>
                <w:szCs w:val="22"/>
                <w:lang w:val="es-CO" w:eastAsia="es-ES"/>
              </w:rPr>
            </w:pPr>
            <w:proofErr w:type="spellStart"/>
            <w:r w:rsidRPr="003A2BB8">
              <w:rPr>
                <w:sz w:val="20"/>
                <w:szCs w:val="22"/>
                <w:lang w:val="es-CO" w:eastAsia="es-ES"/>
              </w:rPr>
              <w:t>tpaga</w:t>
            </w:r>
            <w:proofErr w:type="spellEnd"/>
          </w:p>
        </w:tc>
        <w:tc>
          <w:tcPr>
            <w:tcW w:w="1418"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5644C93B"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1.000</w:t>
            </w:r>
          </w:p>
        </w:tc>
        <w:tc>
          <w:tcPr>
            <w:tcW w:w="1842"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27E8C509"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2.000</w:t>
            </w:r>
          </w:p>
        </w:tc>
        <w:tc>
          <w:tcPr>
            <w:tcW w:w="1701" w:type="dxa"/>
            <w:tcBorders>
              <w:top w:val="single" w:sz="4" w:space="0" w:color="D9D9D9"/>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27DBB3A0"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162.000</w:t>
            </w:r>
          </w:p>
        </w:tc>
      </w:tr>
      <w:tr w:rsidR="002F6BE3" w:rsidRPr="00D26E01" w14:paraId="0C59ACE0" w14:textId="77777777" w:rsidTr="003A2BB8">
        <w:trPr>
          <w:trHeight w:val="218"/>
        </w:trPr>
        <w:tc>
          <w:tcPr>
            <w:tcW w:w="3118" w:type="dxa"/>
            <w:tcBorders>
              <w:top w:val="single" w:sz="4" w:space="0" w:color="D9D9D9"/>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798B32E9" w14:textId="77777777" w:rsidR="002F6BE3" w:rsidRPr="003A2BB8" w:rsidRDefault="002F6BE3" w:rsidP="00E053F2">
            <w:pPr>
              <w:spacing w:before="0" w:after="0"/>
              <w:ind w:hanging="515"/>
              <w:rPr>
                <w:sz w:val="20"/>
                <w:szCs w:val="22"/>
                <w:lang w:val="es-CO" w:eastAsia="es-ES"/>
              </w:rPr>
            </w:pPr>
            <w:proofErr w:type="spellStart"/>
            <w:r w:rsidRPr="003A2BB8">
              <w:rPr>
                <w:sz w:val="20"/>
                <w:szCs w:val="22"/>
                <w:lang w:val="es-CO" w:eastAsia="es-ES"/>
              </w:rPr>
              <w:t>TuyaPay</w:t>
            </w:r>
            <w:proofErr w:type="spellEnd"/>
          </w:p>
        </w:tc>
        <w:tc>
          <w:tcPr>
            <w:tcW w:w="1418"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6C2D0389"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857</w:t>
            </w:r>
          </w:p>
        </w:tc>
        <w:tc>
          <w:tcPr>
            <w:tcW w:w="1842"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15ED9862"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246</w:t>
            </w:r>
          </w:p>
        </w:tc>
        <w:tc>
          <w:tcPr>
            <w:tcW w:w="1701" w:type="dxa"/>
            <w:tcBorders>
              <w:top w:val="single" w:sz="4" w:space="0" w:color="D9D9D9"/>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56FB9395"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14.677</w:t>
            </w:r>
          </w:p>
        </w:tc>
      </w:tr>
      <w:tr w:rsidR="002F6BE3" w:rsidRPr="00D26E01" w14:paraId="05AE5DC2" w14:textId="77777777" w:rsidTr="003A2BB8">
        <w:trPr>
          <w:trHeight w:val="194"/>
        </w:trPr>
        <w:tc>
          <w:tcPr>
            <w:tcW w:w="3118" w:type="dxa"/>
            <w:tcBorders>
              <w:top w:val="single" w:sz="4" w:space="0" w:color="D9D9D9"/>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6749B682" w14:textId="77777777" w:rsidR="002F6BE3" w:rsidRPr="003A2BB8" w:rsidRDefault="002F6BE3" w:rsidP="00E053F2">
            <w:pPr>
              <w:spacing w:before="0" w:after="0"/>
              <w:ind w:hanging="515"/>
              <w:rPr>
                <w:sz w:val="20"/>
                <w:szCs w:val="22"/>
                <w:lang w:val="es-CO" w:eastAsia="es-ES"/>
              </w:rPr>
            </w:pPr>
            <w:proofErr w:type="spellStart"/>
            <w:r w:rsidRPr="003A2BB8">
              <w:rPr>
                <w:sz w:val="20"/>
                <w:szCs w:val="22"/>
                <w:lang w:val="es-CO" w:eastAsia="es-ES"/>
              </w:rPr>
              <w:t>Payválida</w:t>
            </w:r>
            <w:proofErr w:type="spellEnd"/>
          </w:p>
        </w:tc>
        <w:tc>
          <w:tcPr>
            <w:tcW w:w="1418"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11EB8EB8"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658</w:t>
            </w:r>
          </w:p>
        </w:tc>
        <w:tc>
          <w:tcPr>
            <w:tcW w:w="1842"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14CED521"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7.000</w:t>
            </w:r>
          </w:p>
        </w:tc>
        <w:tc>
          <w:tcPr>
            <w:tcW w:w="1701" w:type="dxa"/>
            <w:tcBorders>
              <w:top w:val="single" w:sz="4" w:space="0" w:color="D9D9D9"/>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5DD313E0"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362.419</w:t>
            </w:r>
          </w:p>
        </w:tc>
      </w:tr>
      <w:tr w:rsidR="002F6BE3" w:rsidRPr="00D26E01" w14:paraId="0A04B598" w14:textId="77777777" w:rsidTr="003A2BB8">
        <w:trPr>
          <w:trHeight w:val="312"/>
        </w:trPr>
        <w:tc>
          <w:tcPr>
            <w:tcW w:w="3118" w:type="dxa"/>
            <w:tcBorders>
              <w:top w:val="single" w:sz="4" w:space="0" w:color="D9D9D9"/>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0D4F85BD" w14:textId="77777777" w:rsidR="002F6BE3" w:rsidRPr="003A2BB8" w:rsidRDefault="002F6BE3" w:rsidP="00E053F2">
            <w:pPr>
              <w:spacing w:before="0" w:after="0"/>
              <w:ind w:hanging="515"/>
              <w:rPr>
                <w:sz w:val="20"/>
                <w:szCs w:val="22"/>
                <w:lang w:val="es-CO" w:eastAsia="es-ES"/>
              </w:rPr>
            </w:pPr>
            <w:proofErr w:type="spellStart"/>
            <w:r w:rsidRPr="003A2BB8">
              <w:rPr>
                <w:sz w:val="20"/>
                <w:szCs w:val="22"/>
                <w:lang w:val="es-CO" w:eastAsia="es-ES"/>
              </w:rPr>
              <w:t>SuRed</w:t>
            </w:r>
            <w:proofErr w:type="spellEnd"/>
            <w:r w:rsidRPr="003A2BB8">
              <w:rPr>
                <w:sz w:val="20"/>
                <w:szCs w:val="22"/>
                <w:lang w:val="es-CO" w:eastAsia="es-ES"/>
              </w:rPr>
              <w:t xml:space="preserve"> App</w:t>
            </w:r>
          </w:p>
        </w:tc>
        <w:tc>
          <w:tcPr>
            <w:tcW w:w="1418"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3ECA6838"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173</w:t>
            </w:r>
          </w:p>
        </w:tc>
        <w:tc>
          <w:tcPr>
            <w:tcW w:w="1842"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760D0DE6"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375</w:t>
            </w:r>
          </w:p>
        </w:tc>
        <w:tc>
          <w:tcPr>
            <w:tcW w:w="1701" w:type="dxa"/>
            <w:tcBorders>
              <w:top w:val="single" w:sz="4" w:space="0" w:color="D9D9D9"/>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6DDB1D6C"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44.507</w:t>
            </w:r>
          </w:p>
        </w:tc>
      </w:tr>
      <w:tr w:rsidR="002F6BE3" w:rsidRPr="00D26E01" w14:paraId="2EBFDDC5" w14:textId="77777777" w:rsidTr="003A2BB8">
        <w:trPr>
          <w:trHeight w:val="246"/>
        </w:trPr>
        <w:tc>
          <w:tcPr>
            <w:tcW w:w="3118" w:type="dxa"/>
            <w:tcBorders>
              <w:top w:val="single" w:sz="4" w:space="0" w:color="D9D9D9"/>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71B73759" w14:textId="77777777" w:rsidR="002F6BE3" w:rsidRPr="003A2BB8" w:rsidRDefault="002F6BE3" w:rsidP="00E053F2">
            <w:pPr>
              <w:spacing w:before="0" w:after="0"/>
              <w:ind w:hanging="515"/>
              <w:rPr>
                <w:sz w:val="20"/>
                <w:szCs w:val="22"/>
                <w:lang w:val="es-CO" w:eastAsia="es-ES"/>
              </w:rPr>
            </w:pPr>
            <w:proofErr w:type="spellStart"/>
            <w:r w:rsidRPr="003A2BB8">
              <w:rPr>
                <w:sz w:val="20"/>
                <w:szCs w:val="22"/>
                <w:lang w:val="es-CO" w:eastAsia="es-ES"/>
              </w:rPr>
              <w:t>Cobru</w:t>
            </w:r>
            <w:proofErr w:type="spellEnd"/>
          </w:p>
        </w:tc>
        <w:tc>
          <w:tcPr>
            <w:tcW w:w="1418"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1CD334D7"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85</w:t>
            </w:r>
          </w:p>
        </w:tc>
        <w:tc>
          <w:tcPr>
            <w:tcW w:w="1842"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6D9ED7F9"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351</w:t>
            </w:r>
          </w:p>
        </w:tc>
        <w:tc>
          <w:tcPr>
            <w:tcW w:w="1701" w:type="dxa"/>
            <w:tcBorders>
              <w:top w:val="single" w:sz="4" w:space="0" w:color="D9D9D9"/>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01D04A52"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48.341</w:t>
            </w:r>
          </w:p>
        </w:tc>
      </w:tr>
      <w:tr w:rsidR="002F6BE3" w:rsidRPr="00D26E01" w14:paraId="5DB56AF3" w14:textId="77777777" w:rsidTr="003A2BB8">
        <w:trPr>
          <w:trHeight w:val="222"/>
        </w:trPr>
        <w:tc>
          <w:tcPr>
            <w:tcW w:w="3118" w:type="dxa"/>
            <w:tcBorders>
              <w:top w:val="single" w:sz="4" w:space="0" w:color="D9D9D9"/>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11AB87F8" w14:textId="77777777" w:rsidR="002F6BE3" w:rsidRPr="003A2BB8" w:rsidRDefault="002F6BE3" w:rsidP="00E053F2">
            <w:pPr>
              <w:spacing w:before="0" w:after="0"/>
              <w:ind w:hanging="515"/>
              <w:rPr>
                <w:sz w:val="20"/>
                <w:szCs w:val="22"/>
                <w:lang w:val="es-CO" w:eastAsia="es-ES"/>
              </w:rPr>
            </w:pPr>
            <w:proofErr w:type="spellStart"/>
            <w:r w:rsidRPr="003A2BB8">
              <w:rPr>
                <w:sz w:val="20"/>
                <w:szCs w:val="22"/>
                <w:lang w:val="es-CO" w:eastAsia="es-ES"/>
              </w:rPr>
              <w:t>Movii</w:t>
            </w:r>
            <w:proofErr w:type="spellEnd"/>
          </w:p>
        </w:tc>
        <w:tc>
          <w:tcPr>
            <w:tcW w:w="1418"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7C8BDE73"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2.000</w:t>
            </w:r>
          </w:p>
        </w:tc>
        <w:tc>
          <w:tcPr>
            <w:tcW w:w="1842"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1CE1EC2C"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19.000</w:t>
            </w:r>
          </w:p>
        </w:tc>
        <w:tc>
          <w:tcPr>
            <w:tcW w:w="1701" w:type="dxa"/>
            <w:tcBorders>
              <w:top w:val="single" w:sz="4" w:space="0" w:color="D9D9D9"/>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222E1A58"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2.000.000</w:t>
            </w:r>
          </w:p>
        </w:tc>
      </w:tr>
      <w:tr w:rsidR="002F6BE3" w:rsidRPr="00D26E01" w14:paraId="791CC9B0" w14:textId="77777777" w:rsidTr="003A2BB8">
        <w:trPr>
          <w:trHeight w:val="198"/>
        </w:trPr>
        <w:tc>
          <w:tcPr>
            <w:tcW w:w="3118" w:type="dxa"/>
            <w:tcBorders>
              <w:top w:val="single" w:sz="4" w:space="0" w:color="D9D9D9"/>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13D4C2F9" w14:textId="77777777" w:rsidR="002F6BE3" w:rsidRPr="003A2BB8" w:rsidRDefault="002F6BE3" w:rsidP="00E053F2">
            <w:pPr>
              <w:spacing w:before="0" w:after="0"/>
              <w:ind w:hanging="515"/>
              <w:rPr>
                <w:sz w:val="20"/>
                <w:szCs w:val="22"/>
                <w:lang w:val="es-CO" w:eastAsia="es-ES"/>
              </w:rPr>
            </w:pPr>
            <w:r w:rsidRPr="003A2BB8">
              <w:rPr>
                <w:sz w:val="20"/>
                <w:szCs w:val="22"/>
                <w:lang w:val="es-CO" w:eastAsia="es-ES"/>
              </w:rPr>
              <w:t>dale!</w:t>
            </w:r>
          </w:p>
        </w:tc>
        <w:tc>
          <w:tcPr>
            <w:tcW w:w="1418"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64488400"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115</w:t>
            </w:r>
          </w:p>
        </w:tc>
        <w:tc>
          <w:tcPr>
            <w:tcW w:w="1842"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4CFCE105"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868</w:t>
            </w:r>
          </w:p>
        </w:tc>
        <w:tc>
          <w:tcPr>
            <w:tcW w:w="1701" w:type="dxa"/>
            <w:tcBorders>
              <w:top w:val="single" w:sz="4" w:space="0" w:color="D9D9D9"/>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1C5161AC"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98.952</w:t>
            </w:r>
          </w:p>
        </w:tc>
      </w:tr>
      <w:tr w:rsidR="002F6BE3" w:rsidRPr="00D26E01" w14:paraId="185F555C" w14:textId="77777777" w:rsidTr="003A2BB8">
        <w:trPr>
          <w:trHeight w:val="160"/>
        </w:trPr>
        <w:tc>
          <w:tcPr>
            <w:tcW w:w="3118" w:type="dxa"/>
            <w:tcBorders>
              <w:top w:val="single" w:sz="4" w:space="0" w:color="D9D9D9"/>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60726CB5" w14:textId="77777777" w:rsidR="002F6BE3" w:rsidRPr="003A2BB8" w:rsidRDefault="002F6BE3" w:rsidP="00E053F2">
            <w:pPr>
              <w:spacing w:before="0" w:after="0"/>
              <w:ind w:hanging="515"/>
              <w:rPr>
                <w:sz w:val="20"/>
                <w:szCs w:val="22"/>
                <w:lang w:val="es-CO" w:eastAsia="es-ES"/>
              </w:rPr>
            </w:pPr>
            <w:proofErr w:type="spellStart"/>
            <w:r w:rsidRPr="003A2BB8">
              <w:rPr>
                <w:sz w:val="20"/>
                <w:szCs w:val="22"/>
                <w:lang w:val="es-CO" w:eastAsia="es-ES"/>
              </w:rPr>
              <w:t>Powwi</w:t>
            </w:r>
            <w:proofErr w:type="spellEnd"/>
          </w:p>
        </w:tc>
        <w:tc>
          <w:tcPr>
            <w:tcW w:w="1418"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20C13AB1"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52</w:t>
            </w:r>
          </w:p>
        </w:tc>
        <w:tc>
          <w:tcPr>
            <w:tcW w:w="1842"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2FF55119"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316</w:t>
            </w:r>
          </w:p>
        </w:tc>
        <w:tc>
          <w:tcPr>
            <w:tcW w:w="1701" w:type="dxa"/>
            <w:tcBorders>
              <w:top w:val="single" w:sz="4" w:space="0" w:color="D9D9D9"/>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7134F9C8"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361.319</w:t>
            </w:r>
          </w:p>
        </w:tc>
      </w:tr>
      <w:tr w:rsidR="002F6BE3" w:rsidRPr="00D26E01" w14:paraId="0F4AC346" w14:textId="77777777" w:rsidTr="003A2BB8">
        <w:trPr>
          <w:trHeight w:val="278"/>
        </w:trPr>
        <w:tc>
          <w:tcPr>
            <w:tcW w:w="3118" w:type="dxa"/>
            <w:tcBorders>
              <w:top w:val="single" w:sz="4" w:space="0" w:color="D9D9D9"/>
              <w:left w:val="single" w:sz="4" w:space="0" w:color="A6A6A6"/>
              <w:bottom w:val="single" w:sz="4" w:space="0" w:color="D9D9D9"/>
              <w:right w:val="single" w:sz="4" w:space="0" w:color="D9D9D9"/>
            </w:tcBorders>
            <w:shd w:val="clear" w:color="auto" w:fill="auto"/>
            <w:tcMar>
              <w:top w:w="15" w:type="dxa"/>
              <w:left w:w="1080" w:type="dxa"/>
              <w:bottom w:w="0" w:type="dxa"/>
              <w:right w:w="15" w:type="dxa"/>
            </w:tcMar>
            <w:vAlign w:val="bottom"/>
            <w:hideMark/>
          </w:tcPr>
          <w:p w14:paraId="1C5A6CE3" w14:textId="77777777" w:rsidR="002F6BE3" w:rsidRPr="003A2BB8" w:rsidRDefault="002F6BE3" w:rsidP="00E053F2">
            <w:pPr>
              <w:spacing w:before="0" w:after="0"/>
              <w:ind w:hanging="515"/>
              <w:rPr>
                <w:sz w:val="20"/>
                <w:szCs w:val="22"/>
                <w:lang w:val="es-CO" w:eastAsia="es-ES"/>
              </w:rPr>
            </w:pPr>
            <w:proofErr w:type="spellStart"/>
            <w:r w:rsidRPr="003A2BB8">
              <w:rPr>
                <w:sz w:val="20"/>
                <w:szCs w:val="22"/>
                <w:lang w:val="es-CO" w:eastAsia="es-ES"/>
              </w:rPr>
              <w:t>Ding</w:t>
            </w:r>
            <w:proofErr w:type="spellEnd"/>
          </w:p>
        </w:tc>
        <w:tc>
          <w:tcPr>
            <w:tcW w:w="1418"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540FF85C"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5</w:t>
            </w:r>
          </w:p>
        </w:tc>
        <w:tc>
          <w:tcPr>
            <w:tcW w:w="1842"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03B7CE99"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1.000</w:t>
            </w:r>
          </w:p>
        </w:tc>
        <w:tc>
          <w:tcPr>
            <w:tcW w:w="1701" w:type="dxa"/>
            <w:tcBorders>
              <w:top w:val="single" w:sz="4" w:space="0" w:color="D9D9D9"/>
              <w:left w:val="single" w:sz="4" w:space="0" w:color="D9D9D9"/>
              <w:bottom w:val="single" w:sz="4" w:space="0" w:color="D9D9D9"/>
              <w:right w:val="single" w:sz="4" w:space="0" w:color="A6A6A6"/>
            </w:tcBorders>
            <w:shd w:val="clear" w:color="auto" w:fill="auto"/>
            <w:tcMar>
              <w:top w:w="15" w:type="dxa"/>
              <w:left w:w="15" w:type="dxa"/>
              <w:bottom w:w="0" w:type="dxa"/>
              <w:right w:w="15" w:type="dxa"/>
            </w:tcMar>
            <w:vAlign w:val="center"/>
            <w:hideMark/>
          </w:tcPr>
          <w:p w14:paraId="3D7D69A5"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13.925</w:t>
            </w:r>
          </w:p>
        </w:tc>
      </w:tr>
      <w:tr w:rsidR="002F6BE3" w:rsidRPr="00D26E01" w14:paraId="5D187D23" w14:textId="77777777" w:rsidTr="003A2BB8">
        <w:trPr>
          <w:trHeight w:val="254"/>
        </w:trPr>
        <w:tc>
          <w:tcPr>
            <w:tcW w:w="3118" w:type="dxa"/>
            <w:tcBorders>
              <w:top w:val="single" w:sz="4" w:space="0" w:color="D9D9D9"/>
              <w:left w:val="single" w:sz="4" w:space="0" w:color="A6A6A6"/>
              <w:bottom w:val="single" w:sz="4" w:space="0" w:color="A6A6A6"/>
              <w:right w:val="single" w:sz="4" w:space="0" w:color="D9D9D9"/>
            </w:tcBorders>
            <w:shd w:val="clear" w:color="auto" w:fill="auto"/>
            <w:tcMar>
              <w:top w:w="15" w:type="dxa"/>
              <w:left w:w="1080" w:type="dxa"/>
              <w:bottom w:w="0" w:type="dxa"/>
              <w:right w:w="15" w:type="dxa"/>
            </w:tcMar>
            <w:vAlign w:val="bottom"/>
            <w:hideMark/>
          </w:tcPr>
          <w:p w14:paraId="42321039" w14:textId="77777777" w:rsidR="002F6BE3" w:rsidRPr="003A2BB8" w:rsidRDefault="002F6BE3" w:rsidP="00E053F2">
            <w:pPr>
              <w:spacing w:before="0" w:after="0"/>
              <w:ind w:hanging="515"/>
              <w:rPr>
                <w:sz w:val="20"/>
                <w:szCs w:val="22"/>
                <w:lang w:val="es-CO" w:eastAsia="es-ES"/>
              </w:rPr>
            </w:pPr>
            <w:r w:rsidRPr="003A2BB8">
              <w:rPr>
                <w:sz w:val="20"/>
                <w:szCs w:val="22"/>
                <w:lang w:val="es-CO" w:eastAsia="es-ES"/>
              </w:rPr>
              <w:t>Global66</w:t>
            </w:r>
          </w:p>
        </w:tc>
        <w:tc>
          <w:tcPr>
            <w:tcW w:w="1418" w:type="dxa"/>
            <w:tcBorders>
              <w:top w:val="single" w:sz="4" w:space="0" w:color="D9D9D9"/>
              <w:left w:val="single" w:sz="4" w:space="0" w:color="D9D9D9"/>
              <w:bottom w:val="single" w:sz="4" w:space="0" w:color="A6A6A6"/>
              <w:right w:val="single" w:sz="4" w:space="0" w:color="D9D9D9"/>
            </w:tcBorders>
            <w:shd w:val="clear" w:color="auto" w:fill="auto"/>
            <w:tcMar>
              <w:top w:w="15" w:type="dxa"/>
              <w:left w:w="15" w:type="dxa"/>
              <w:bottom w:w="0" w:type="dxa"/>
              <w:right w:w="15" w:type="dxa"/>
            </w:tcMar>
            <w:vAlign w:val="center"/>
            <w:hideMark/>
          </w:tcPr>
          <w:p w14:paraId="15A5329A"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1</w:t>
            </w:r>
          </w:p>
        </w:tc>
        <w:tc>
          <w:tcPr>
            <w:tcW w:w="1842" w:type="dxa"/>
            <w:tcBorders>
              <w:top w:val="single" w:sz="4" w:space="0" w:color="D9D9D9"/>
              <w:left w:val="single" w:sz="4" w:space="0" w:color="D9D9D9"/>
              <w:bottom w:val="single" w:sz="4" w:space="0" w:color="A6A6A6"/>
              <w:right w:val="single" w:sz="4" w:space="0" w:color="D9D9D9"/>
            </w:tcBorders>
            <w:shd w:val="clear" w:color="auto" w:fill="auto"/>
            <w:tcMar>
              <w:top w:w="15" w:type="dxa"/>
              <w:left w:w="15" w:type="dxa"/>
              <w:bottom w:w="0" w:type="dxa"/>
              <w:right w:w="15" w:type="dxa"/>
            </w:tcMar>
            <w:vAlign w:val="center"/>
            <w:hideMark/>
          </w:tcPr>
          <w:p w14:paraId="7D92F3E4"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2</w:t>
            </w:r>
          </w:p>
        </w:tc>
        <w:tc>
          <w:tcPr>
            <w:tcW w:w="1701" w:type="dxa"/>
            <w:tcBorders>
              <w:top w:val="single" w:sz="4" w:space="0" w:color="D9D9D9"/>
              <w:left w:val="single" w:sz="4" w:space="0" w:color="D9D9D9"/>
              <w:bottom w:val="single" w:sz="4" w:space="0" w:color="A6A6A6"/>
              <w:right w:val="single" w:sz="4" w:space="0" w:color="A6A6A6"/>
            </w:tcBorders>
            <w:shd w:val="clear" w:color="auto" w:fill="auto"/>
            <w:tcMar>
              <w:top w:w="15" w:type="dxa"/>
              <w:left w:w="15" w:type="dxa"/>
              <w:bottom w:w="0" w:type="dxa"/>
              <w:right w:w="15" w:type="dxa"/>
            </w:tcMar>
            <w:vAlign w:val="center"/>
            <w:hideMark/>
          </w:tcPr>
          <w:p w14:paraId="09A369A4" w14:textId="77777777" w:rsidR="002F6BE3" w:rsidRPr="003A2BB8" w:rsidRDefault="002F6BE3" w:rsidP="00E053F2">
            <w:pPr>
              <w:spacing w:before="0" w:after="0"/>
              <w:jc w:val="center"/>
              <w:rPr>
                <w:sz w:val="20"/>
                <w:szCs w:val="22"/>
                <w:lang w:val="es-CO" w:eastAsia="es-ES"/>
              </w:rPr>
            </w:pPr>
            <w:r w:rsidRPr="003A2BB8">
              <w:rPr>
                <w:sz w:val="20"/>
                <w:szCs w:val="22"/>
                <w:lang w:val="es-CO" w:eastAsia="es-ES"/>
              </w:rPr>
              <w:t>4.000</w:t>
            </w:r>
          </w:p>
        </w:tc>
      </w:tr>
      <w:tr w:rsidR="002F6BE3" w:rsidRPr="00D26E01" w14:paraId="76E9DCA2" w14:textId="77777777" w:rsidTr="00633090">
        <w:trPr>
          <w:trHeight w:val="302"/>
        </w:trPr>
        <w:tc>
          <w:tcPr>
            <w:tcW w:w="3118" w:type="dxa"/>
            <w:tcBorders>
              <w:top w:val="single" w:sz="4" w:space="0" w:color="A6A6A6"/>
              <w:left w:val="single" w:sz="4" w:space="0" w:color="A6A6A6"/>
              <w:bottom w:val="single" w:sz="4" w:space="0" w:color="A6A6A6"/>
              <w:right w:val="single" w:sz="4" w:space="0" w:color="A6A6A6"/>
            </w:tcBorders>
            <w:shd w:val="clear" w:color="auto" w:fill="D9D9D9"/>
            <w:tcMar>
              <w:top w:w="15" w:type="dxa"/>
              <w:left w:w="15" w:type="dxa"/>
              <w:bottom w:w="0" w:type="dxa"/>
              <w:right w:w="15" w:type="dxa"/>
            </w:tcMar>
            <w:vAlign w:val="center"/>
            <w:hideMark/>
          </w:tcPr>
          <w:p w14:paraId="0F858946" w14:textId="77777777" w:rsidR="002F6BE3" w:rsidRPr="003A2BB8" w:rsidRDefault="002F6BE3" w:rsidP="00E053F2">
            <w:pPr>
              <w:spacing w:before="0" w:after="0"/>
              <w:jc w:val="center"/>
              <w:rPr>
                <w:sz w:val="20"/>
                <w:szCs w:val="22"/>
                <w:lang w:val="es-CO" w:eastAsia="es-ES"/>
              </w:rPr>
            </w:pPr>
            <w:r w:rsidRPr="003A2BB8">
              <w:rPr>
                <w:b/>
                <w:bCs/>
                <w:sz w:val="20"/>
                <w:szCs w:val="22"/>
                <w:lang w:val="es-CO" w:eastAsia="es-ES"/>
              </w:rPr>
              <w:t>TOTAL</w:t>
            </w:r>
          </w:p>
        </w:tc>
        <w:tc>
          <w:tcPr>
            <w:tcW w:w="1418" w:type="dxa"/>
            <w:tcBorders>
              <w:top w:val="single" w:sz="4" w:space="0" w:color="A6A6A6"/>
              <w:left w:val="single" w:sz="4" w:space="0" w:color="A6A6A6"/>
              <w:bottom w:val="single" w:sz="4" w:space="0" w:color="A6A6A6"/>
              <w:right w:val="single" w:sz="4" w:space="0" w:color="A6A6A6"/>
            </w:tcBorders>
            <w:shd w:val="clear" w:color="auto" w:fill="D9D9D9"/>
            <w:tcMar>
              <w:top w:w="15" w:type="dxa"/>
              <w:left w:w="15" w:type="dxa"/>
              <w:bottom w:w="0" w:type="dxa"/>
              <w:right w:w="15" w:type="dxa"/>
            </w:tcMar>
            <w:vAlign w:val="center"/>
            <w:hideMark/>
          </w:tcPr>
          <w:p w14:paraId="10F008F1" w14:textId="77777777" w:rsidR="002F6BE3" w:rsidRPr="003A2BB8" w:rsidRDefault="002F6BE3" w:rsidP="00E053F2">
            <w:pPr>
              <w:spacing w:before="0" w:after="0"/>
              <w:jc w:val="center"/>
              <w:rPr>
                <w:sz w:val="20"/>
                <w:szCs w:val="22"/>
                <w:lang w:val="es-CO" w:eastAsia="es-ES"/>
              </w:rPr>
            </w:pPr>
            <w:r w:rsidRPr="003A2BB8">
              <w:rPr>
                <w:b/>
                <w:bCs/>
                <w:sz w:val="20"/>
                <w:szCs w:val="22"/>
                <w:lang w:val="es-CO" w:eastAsia="es-ES"/>
              </w:rPr>
              <w:t>28.746</w:t>
            </w:r>
          </w:p>
        </w:tc>
        <w:tc>
          <w:tcPr>
            <w:tcW w:w="1842" w:type="dxa"/>
            <w:tcBorders>
              <w:top w:val="single" w:sz="4" w:space="0" w:color="A6A6A6"/>
              <w:left w:val="single" w:sz="4" w:space="0" w:color="A6A6A6"/>
              <w:bottom w:val="single" w:sz="4" w:space="0" w:color="A6A6A6"/>
              <w:right w:val="single" w:sz="4" w:space="0" w:color="A6A6A6"/>
            </w:tcBorders>
            <w:shd w:val="clear" w:color="auto" w:fill="D9D9D9"/>
            <w:tcMar>
              <w:top w:w="15" w:type="dxa"/>
              <w:left w:w="15" w:type="dxa"/>
              <w:bottom w:w="0" w:type="dxa"/>
              <w:right w:w="15" w:type="dxa"/>
            </w:tcMar>
            <w:vAlign w:val="center"/>
            <w:hideMark/>
          </w:tcPr>
          <w:p w14:paraId="6393B61A" w14:textId="77777777" w:rsidR="002F6BE3" w:rsidRPr="003A2BB8" w:rsidRDefault="002F6BE3" w:rsidP="00E053F2">
            <w:pPr>
              <w:spacing w:before="0" w:after="0"/>
              <w:jc w:val="center"/>
              <w:rPr>
                <w:sz w:val="20"/>
                <w:szCs w:val="22"/>
                <w:lang w:val="es-CO" w:eastAsia="es-ES"/>
              </w:rPr>
            </w:pPr>
            <w:r w:rsidRPr="003A2BB8">
              <w:rPr>
                <w:b/>
                <w:bCs/>
                <w:sz w:val="20"/>
                <w:szCs w:val="22"/>
                <w:lang w:val="es-CO" w:eastAsia="es-ES"/>
              </w:rPr>
              <w:t>1.942.158</w:t>
            </w:r>
          </w:p>
        </w:tc>
        <w:tc>
          <w:tcPr>
            <w:tcW w:w="1701" w:type="dxa"/>
            <w:tcBorders>
              <w:top w:val="single" w:sz="4" w:space="0" w:color="A6A6A6"/>
              <w:left w:val="single" w:sz="4" w:space="0" w:color="A6A6A6"/>
              <w:bottom w:val="single" w:sz="4" w:space="0" w:color="A6A6A6"/>
              <w:right w:val="single" w:sz="4" w:space="0" w:color="A6A6A6"/>
            </w:tcBorders>
            <w:shd w:val="clear" w:color="auto" w:fill="D9D9D9"/>
            <w:tcMar>
              <w:top w:w="15" w:type="dxa"/>
              <w:left w:w="15" w:type="dxa"/>
              <w:bottom w:w="0" w:type="dxa"/>
              <w:right w:w="15" w:type="dxa"/>
            </w:tcMar>
            <w:vAlign w:val="center"/>
            <w:hideMark/>
          </w:tcPr>
          <w:p w14:paraId="34BDF842" w14:textId="77777777" w:rsidR="002F6BE3" w:rsidRPr="003A2BB8" w:rsidRDefault="002F6BE3" w:rsidP="00E053F2">
            <w:pPr>
              <w:spacing w:before="0" w:after="0"/>
              <w:jc w:val="center"/>
              <w:rPr>
                <w:sz w:val="20"/>
                <w:szCs w:val="22"/>
                <w:lang w:val="es-CO" w:eastAsia="es-ES"/>
              </w:rPr>
            </w:pPr>
            <w:r w:rsidRPr="003A2BB8">
              <w:rPr>
                <w:b/>
                <w:bCs/>
                <w:sz w:val="20"/>
                <w:szCs w:val="22"/>
                <w:lang w:val="es-CO" w:eastAsia="es-ES"/>
              </w:rPr>
              <w:t>112.110.140</w:t>
            </w:r>
          </w:p>
        </w:tc>
      </w:tr>
    </w:tbl>
    <w:p w14:paraId="04C218D5" w14:textId="418BB421" w:rsidR="002F6BE3" w:rsidRPr="003A2BB8" w:rsidRDefault="002F6BE3" w:rsidP="002F6BE3">
      <w:pPr>
        <w:pStyle w:val="FuentedeGrfica"/>
        <w:rPr>
          <w:sz w:val="16"/>
          <w:szCs w:val="16"/>
        </w:rPr>
      </w:pPr>
      <w:r w:rsidRPr="003A2BB8">
        <w:rPr>
          <w:sz w:val="16"/>
          <w:szCs w:val="16"/>
        </w:rPr>
        <w:t xml:space="preserve">FUENTE: Elaboración propia a partir de </w:t>
      </w:r>
      <w:r w:rsidR="001F1B8E" w:rsidRPr="003A2BB8">
        <w:rPr>
          <w:sz w:val="16"/>
          <w:szCs w:val="16"/>
        </w:rPr>
        <w:t xml:space="preserve">Servicios </w:t>
      </w:r>
      <w:r w:rsidRPr="003A2BB8">
        <w:rPr>
          <w:sz w:val="16"/>
          <w:szCs w:val="16"/>
        </w:rPr>
        <w:t>Fintech: Colombia Fintech. https://colombiafintech.co/lineaDeTiempo/publicaciones. “¿Cuáles son y cómo están las billeteras digitales en Colombia?” Marzo 11 de 2022</w:t>
      </w:r>
    </w:p>
    <w:p w14:paraId="253F5F19" w14:textId="794DDC58" w:rsidR="002F6BE3" w:rsidRPr="005503B4" w:rsidRDefault="002F6BE3" w:rsidP="002F6BE3">
      <w:pPr>
        <w:pStyle w:val="Ttulo2"/>
      </w:pPr>
      <w:bookmarkStart w:id="259" w:name="_Ref101686961"/>
      <w:bookmarkStart w:id="260" w:name="_Toc101727646"/>
      <w:bookmarkStart w:id="261" w:name="_Toc101865401"/>
      <w:bookmarkStart w:id="262" w:name="_Toc102393297"/>
      <w:bookmarkStart w:id="263" w:name="_Toc104272156"/>
      <w:r w:rsidRPr="005503B4">
        <w:lastRenderedPageBreak/>
        <w:t xml:space="preserve">Proyecciones del mercado de </w:t>
      </w:r>
      <w:r w:rsidR="00E15AF1" w:rsidRPr="005503B4">
        <w:t xml:space="preserve">servicios </w:t>
      </w:r>
      <w:r w:rsidRPr="005503B4">
        <w:t xml:space="preserve">postales </w:t>
      </w:r>
      <w:r w:rsidR="00E15AF1" w:rsidRPr="005503B4">
        <w:t xml:space="preserve">de pago </w:t>
      </w:r>
      <w:r w:rsidRPr="005503B4">
        <w:t xml:space="preserve">en Colombia: </w:t>
      </w:r>
      <w:r w:rsidR="000406B9" w:rsidRPr="005503B4">
        <w:t>N</w:t>
      </w:r>
      <w:r w:rsidRPr="005503B4">
        <w:t>úmero de giros y volúmenes de ingresos.</w:t>
      </w:r>
      <w:bookmarkEnd w:id="259"/>
      <w:bookmarkEnd w:id="260"/>
      <w:bookmarkEnd w:id="261"/>
      <w:bookmarkEnd w:id="262"/>
      <w:bookmarkEnd w:id="263"/>
    </w:p>
    <w:p w14:paraId="455185D9" w14:textId="4C068AF0" w:rsidR="00491569" w:rsidRPr="005503B4" w:rsidRDefault="60E114F9" w:rsidP="00491569">
      <w:r w:rsidRPr="005503B4">
        <w:t xml:space="preserve">Con base en el análisis antes realizado, y considerando las tendencias y hallazgos del mercado, la </w:t>
      </w:r>
      <w:r w:rsidR="00491569" w:rsidRPr="005503B4">
        <w:fldChar w:fldCharType="begin"/>
      </w:r>
      <w:r w:rsidR="00491569" w:rsidRPr="005503B4">
        <w:instrText xml:space="preserve"> REF _Ref101779482 \h </w:instrText>
      </w:r>
      <w:r w:rsidR="005503B4">
        <w:instrText xml:space="preserve"> \* MERGEFORMAT </w:instrText>
      </w:r>
      <w:r w:rsidR="00491569" w:rsidRPr="005503B4">
        <w:fldChar w:fldCharType="separate"/>
      </w:r>
      <w:r w:rsidR="00C57FCA" w:rsidRPr="005503B4">
        <w:t xml:space="preserve">Gráfica </w:t>
      </w:r>
      <w:r w:rsidR="00C57FCA">
        <w:rPr>
          <w:noProof/>
        </w:rPr>
        <w:t>5</w:t>
      </w:r>
      <w:r w:rsidR="00C57FCA" w:rsidRPr="005503B4">
        <w:rPr>
          <w:noProof/>
        </w:rPr>
        <w:noBreakHyphen/>
      </w:r>
      <w:r w:rsidR="00C57FCA">
        <w:rPr>
          <w:noProof/>
        </w:rPr>
        <w:t>10</w:t>
      </w:r>
      <w:r w:rsidR="00491569" w:rsidRPr="005503B4">
        <w:fldChar w:fldCharType="end"/>
      </w:r>
      <w:r w:rsidRPr="005503B4">
        <w:t xml:space="preserve"> presenta la proyección del número de envíos para el período 2022 – 202</w:t>
      </w:r>
      <w:r w:rsidR="000F0708">
        <w:t>4</w:t>
      </w:r>
      <w:r w:rsidRPr="005503B4">
        <w:t>. Como se aprecia a continuación, se espera que los envíos decrezcan a una tasa del 1,1% promedio anual.</w:t>
      </w:r>
    </w:p>
    <w:p w14:paraId="6388B3A4" w14:textId="1EFF4E02" w:rsidR="00491569" w:rsidRPr="005503B4" w:rsidRDefault="00491569" w:rsidP="00491569">
      <w:pPr>
        <w:pStyle w:val="TITcuadro"/>
        <w:rPr>
          <w:noProof/>
        </w:rPr>
      </w:pPr>
      <w:bookmarkStart w:id="264" w:name="_Toc101865462"/>
      <w:bookmarkStart w:id="265" w:name="_Toc104228734"/>
      <w:r w:rsidRPr="005503B4">
        <w:t xml:space="preserve">Gráfica </w:t>
      </w:r>
      <w:r w:rsidRPr="005503B4">
        <w:fldChar w:fldCharType="begin"/>
      </w:r>
      <w:r w:rsidRPr="005503B4">
        <w:instrText>STYLEREF 1 \s</w:instrText>
      </w:r>
      <w:r w:rsidRPr="005503B4">
        <w:fldChar w:fldCharType="separate"/>
      </w:r>
      <w:r w:rsidR="00C57FCA">
        <w:rPr>
          <w:noProof/>
        </w:rPr>
        <w:t>6</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2</w:t>
      </w:r>
      <w:r w:rsidRPr="005503B4">
        <w:fldChar w:fldCharType="end"/>
      </w:r>
      <w:r w:rsidRPr="005503B4">
        <w:t xml:space="preserve"> – </w:t>
      </w:r>
      <w:r w:rsidR="001F1B8E" w:rsidRPr="005503B4">
        <w:rPr>
          <w:noProof/>
        </w:rPr>
        <w:t xml:space="preserve">Servicios </w:t>
      </w:r>
      <w:r w:rsidR="00696F1A">
        <w:rPr>
          <w:noProof/>
        </w:rPr>
        <w:t>P</w:t>
      </w:r>
      <w:r w:rsidRPr="005503B4">
        <w:rPr>
          <w:noProof/>
        </w:rPr>
        <w:t>ostales</w:t>
      </w:r>
      <w:r w:rsidR="001F1B8E" w:rsidRPr="005503B4">
        <w:rPr>
          <w:noProof/>
        </w:rPr>
        <w:t xml:space="preserve"> de </w:t>
      </w:r>
      <w:r w:rsidR="00696F1A">
        <w:rPr>
          <w:noProof/>
        </w:rPr>
        <w:t>P</w:t>
      </w:r>
      <w:r w:rsidR="001F1B8E" w:rsidRPr="005503B4">
        <w:rPr>
          <w:noProof/>
        </w:rPr>
        <w:t>ago</w:t>
      </w:r>
      <w:r w:rsidRPr="005503B4">
        <w:rPr>
          <w:noProof/>
        </w:rPr>
        <w:t xml:space="preserve">: Número de </w:t>
      </w:r>
      <w:r w:rsidRPr="005503B4">
        <w:rPr>
          <w:noProof/>
          <w:sz w:val="22"/>
          <w:szCs w:val="22"/>
        </w:rPr>
        <w:t>giros</w:t>
      </w:r>
      <w:bookmarkEnd w:id="264"/>
      <w:bookmarkEnd w:id="265"/>
    </w:p>
    <w:p w14:paraId="0E60844E" w14:textId="41E76855" w:rsidR="00491569" w:rsidRPr="005503B4" w:rsidRDefault="00F10309" w:rsidP="00491569">
      <w:r>
        <w:rPr>
          <w:noProof/>
          <w:lang w:val="es-CO" w:eastAsia="es-CO"/>
        </w:rPr>
        <w:drawing>
          <wp:inline distT="0" distB="0" distL="0" distR="0" wp14:anchorId="659A5BB8" wp14:editId="4720BCCF">
            <wp:extent cx="5849620" cy="1839372"/>
            <wp:effectExtent l="0" t="0" r="17780" b="889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00A161C" w14:textId="2ED9FC54" w:rsidR="007C1428" w:rsidRPr="005503B4" w:rsidRDefault="00491569" w:rsidP="007C1428">
      <w:pPr>
        <w:pStyle w:val="FuentedeGrfica"/>
      </w:pPr>
      <w:r w:rsidRPr="005503B4">
        <w:t xml:space="preserve">FUENTE: </w:t>
      </w:r>
      <w:r w:rsidRPr="005503B4">
        <w:tab/>
      </w:r>
      <w:r w:rsidR="007C1428" w:rsidRPr="005503B4">
        <w:t>2014 – 2021: MinTIC - Subdirección Postal. FUTIC. Proyección del 2022 – 202</w:t>
      </w:r>
      <w:r w:rsidR="000F0708">
        <w:t>4</w:t>
      </w:r>
      <w:r w:rsidR="007C1428" w:rsidRPr="005503B4">
        <w:t>: Modelo postal del MinTIC.</w:t>
      </w:r>
    </w:p>
    <w:p w14:paraId="1AA7A4B5" w14:textId="7D6E8A69" w:rsidR="00491569" w:rsidRPr="00633090" w:rsidRDefault="00491569" w:rsidP="00696F1A">
      <w:pPr>
        <w:pStyle w:val="TITcuadro"/>
        <w:ind w:right="565" w:hanging="142"/>
        <w:rPr>
          <w:sz w:val="18"/>
          <w:szCs w:val="16"/>
        </w:rPr>
      </w:pPr>
      <w:r w:rsidRPr="005503B4">
        <w:tab/>
      </w:r>
      <w:bookmarkStart w:id="266" w:name="_Toc101865463"/>
      <w:bookmarkStart w:id="267" w:name="_Toc104228735"/>
      <w:r w:rsidRPr="005503B4">
        <w:t xml:space="preserve">Gráfica </w:t>
      </w:r>
      <w:r w:rsidRPr="005503B4">
        <w:fldChar w:fldCharType="begin"/>
      </w:r>
      <w:r w:rsidRPr="005503B4">
        <w:instrText>STYLEREF 1 \s</w:instrText>
      </w:r>
      <w:r w:rsidRPr="005503B4">
        <w:fldChar w:fldCharType="separate"/>
      </w:r>
      <w:r w:rsidR="00C57FCA">
        <w:rPr>
          <w:noProof/>
        </w:rPr>
        <w:t>6</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3</w:t>
      </w:r>
      <w:r w:rsidRPr="005503B4">
        <w:fldChar w:fldCharType="end"/>
      </w:r>
      <w:r w:rsidRPr="005503B4">
        <w:t xml:space="preserve"> – </w:t>
      </w:r>
      <w:r w:rsidR="001F1B8E" w:rsidRPr="005503B4">
        <w:t>Servicios</w:t>
      </w:r>
      <w:r w:rsidRPr="005503B4">
        <w:t xml:space="preserve"> </w:t>
      </w:r>
      <w:r w:rsidR="00696F1A">
        <w:t>P</w:t>
      </w:r>
      <w:r w:rsidRPr="005503B4">
        <w:t>ostales</w:t>
      </w:r>
      <w:r w:rsidR="00452005" w:rsidRPr="005503B4">
        <w:t xml:space="preserve"> de </w:t>
      </w:r>
      <w:r w:rsidR="00696F1A">
        <w:t>P</w:t>
      </w:r>
      <w:r w:rsidR="00452005" w:rsidRPr="005503B4">
        <w:t>ago</w:t>
      </w:r>
      <w:r w:rsidRPr="005503B4">
        <w:t>: Ingresos totales</w:t>
      </w:r>
      <w:r w:rsidR="00633090">
        <w:t>.</w:t>
      </w:r>
      <w:r w:rsidRPr="005503B4">
        <w:t xml:space="preserve"> </w:t>
      </w:r>
      <w:r w:rsidRPr="00633090">
        <w:rPr>
          <w:sz w:val="18"/>
          <w:szCs w:val="16"/>
        </w:rPr>
        <w:t xml:space="preserve">(Millones de </w:t>
      </w:r>
      <w:r w:rsidR="00696F1A">
        <w:rPr>
          <w:sz w:val="18"/>
          <w:szCs w:val="16"/>
        </w:rPr>
        <w:t>pesos</w:t>
      </w:r>
      <w:r w:rsidRPr="00633090">
        <w:rPr>
          <w:sz w:val="18"/>
          <w:szCs w:val="16"/>
        </w:rPr>
        <w:t xml:space="preserve"> reales 2021 = 100)</w:t>
      </w:r>
      <w:bookmarkEnd w:id="266"/>
      <w:bookmarkEnd w:id="267"/>
    </w:p>
    <w:p w14:paraId="2C6684AE" w14:textId="77777777" w:rsidR="00491569" w:rsidRPr="005503B4" w:rsidRDefault="00491569" w:rsidP="00491569">
      <w:pPr>
        <w:pStyle w:val="Grfica"/>
      </w:pPr>
      <w:r w:rsidRPr="005503B4">
        <w:rPr>
          <w:noProof/>
          <w:lang w:eastAsia="es-CO"/>
        </w:rPr>
        <w:drawing>
          <wp:inline distT="0" distB="0" distL="0" distR="0" wp14:anchorId="03EE24F2" wp14:editId="4DF83168">
            <wp:extent cx="5849620" cy="2124791"/>
            <wp:effectExtent l="0" t="0" r="17780" b="8890"/>
            <wp:docPr id="464" name="Gráfico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4F30E2" w14:textId="7F1B6A66" w:rsidR="007C1428" w:rsidRPr="005503B4" w:rsidRDefault="00491569" w:rsidP="007C1428">
      <w:pPr>
        <w:pStyle w:val="FuentedeGrfica"/>
      </w:pPr>
      <w:r w:rsidRPr="005503B4">
        <w:t xml:space="preserve">FUENTE: </w:t>
      </w:r>
      <w:r w:rsidRPr="005503B4">
        <w:tab/>
      </w:r>
      <w:r w:rsidR="007C1428" w:rsidRPr="005503B4">
        <w:t>2014 – 2021: MinTIC - Subdirección Postal. FUTIC. Proyección del 2022 – 202</w:t>
      </w:r>
      <w:r w:rsidR="000F0708">
        <w:t>4</w:t>
      </w:r>
      <w:r w:rsidR="007C1428" w:rsidRPr="005503B4">
        <w:t>: Modelo postal del MinTIC.</w:t>
      </w:r>
    </w:p>
    <w:p w14:paraId="428FB83B" w14:textId="53F03CEE" w:rsidR="00491569" w:rsidRPr="005503B4" w:rsidRDefault="00491569" w:rsidP="00491569">
      <w:pPr>
        <w:pStyle w:val="Ttulo2"/>
      </w:pPr>
      <w:bookmarkStart w:id="268" w:name="_Toc101727647"/>
      <w:bookmarkStart w:id="269" w:name="_Toc101865402"/>
      <w:bookmarkStart w:id="270" w:name="_Toc102170034"/>
      <w:bookmarkStart w:id="271" w:name="_Toc102393298"/>
      <w:bookmarkStart w:id="272" w:name="_Toc104272157"/>
      <w:r w:rsidRPr="00633090">
        <w:lastRenderedPageBreak/>
        <w:t xml:space="preserve">Proyecciones de las contribuciones de los operadores de </w:t>
      </w:r>
      <w:r w:rsidR="00452005" w:rsidRPr="00633090">
        <w:t xml:space="preserve">servicios </w:t>
      </w:r>
      <w:r w:rsidRPr="00633090">
        <w:t xml:space="preserve">postales </w:t>
      </w:r>
      <w:r w:rsidR="00452005" w:rsidRPr="00633090">
        <w:t xml:space="preserve">de pago </w:t>
      </w:r>
      <w:r w:rsidRPr="00633090">
        <w:t>al FUTIC</w:t>
      </w:r>
      <w:r w:rsidRPr="005503B4">
        <w:t>.</w:t>
      </w:r>
      <w:bookmarkEnd w:id="268"/>
      <w:bookmarkEnd w:id="269"/>
      <w:bookmarkEnd w:id="270"/>
      <w:bookmarkEnd w:id="271"/>
      <w:bookmarkEnd w:id="272"/>
    </w:p>
    <w:p w14:paraId="1E9B7798" w14:textId="3B8C2CF0" w:rsidR="00491569" w:rsidRPr="005503B4" w:rsidRDefault="60E114F9" w:rsidP="353D2129">
      <w:r w:rsidRPr="005503B4">
        <w:t>Con base en los anteriores niveles de envíos y teniendo en cuenta los supuestos y previsiones de corto y mediano plazo, a continuación</w:t>
      </w:r>
      <w:r w:rsidR="00701D95" w:rsidRPr="005503B4">
        <w:t>,</w:t>
      </w:r>
      <w:r w:rsidR="353D2129" w:rsidRPr="005503B4">
        <w:t xml:space="preserve"> </w:t>
      </w:r>
      <w:r w:rsidRPr="005503B4">
        <w:t xml:space="preserve">se </w:t>
      </w:r>
      <w:r w:rsidR="00C7346D" w:rsidRPr="005503B4">
        <w:t>calculan los</w:t>
      </w:r>
      <w:r w:rsidRPr="005503B4">
        <w:t xml:space="preserve"> ingresos y las contribuciones asociadas al caso del mercado de giros postales en Colombia, ante diferentes escenarios </w:t>
      </w:r>
      <w:r w:rsidR="00682BCD">
        <w:t xml:space="preserve">hipotéticos </w:t>
      </w:r>
      <w:r w:rsidRPr="005503B4">
        <w:t xml:space="preserve">de </w:t>
      </w:r>
      <w:r w:rsidR="00D3465B">
        <w:t>niveles</w:t>
      </w:r>
      <w:r w:rsidRPr="005503B4">
        <w:t xml:space="preserve"> de contraprestación. Una vez se defina </w:t>
      </w:r>
      <w:r w:rsidR="00D3465B">
        <w:t>el porcentaje</w:t>
      </w:r>
      <w:r w:rsidRPr="005503B4">
        <w:t xml:space="preserve"> de contraprestación que equilibra las finanzas postales del FUTIC, se definirán las contribuciones que ingresarán al ejercicio por parte de los operadores de este mercado.</w:t>
      </w:r>
    </w:p>
    <w:p w14:paraId="529C64A3" w14:textId="4A94BB3F" w:rsidR="00491569" w:rsidRDefault="00491569" w:rsidP="00491569">
      <w:pPr>
        <w:pStyle w:val="TITcuadro"/>
        <w:rPr>
          <w:sz w:val="16"/>
          <w:szCs w:val="14"/>
        </w:rPr>
      </w:pPr>
      <w:bookmarkStart w:id="273" w:name="_Toc101865464"/>
      <w:bookmarkStart w:id="274" w:name="_Toc104228736"/>
      <w:r w:rsidRPr="005503B4">
        <w:t xml:space="preserve">Gráfica </w:t>
      </w:r>
      <w:r w:rsidRPr="005503B4">
        <w:fldChar w:fldCharType="begin"/>
      </w:r>
      <w:r w:rsidRPr="005503B4">
        <w:instrText>STYLEREF 1 \s</w:instrText>
      </w:r>
      <w:r w:rsidRPr="005503B4">
        <w:fldChar w:fldCharType="separate"/>
      </w:r>
      <w:r w:rsidR="00C57FCA">
        <w:rPr>
          <w:noProof/>
        </w:rPr>
        <w:t>6</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4</w:t>
      </w:r>
      <w:r w:rsidRPr="005503B4">
        <w:fldChar w:fldCharType="end"/>
      </w:r>
      <w:r w:rsidRPr="005503B4">
        <w:t xml:space="preserve"> – </w:t>
      </w:r>
      <w:r w:rsidR="00696F1A" w:rsidRPr="00696F1A">
        <w:t>Servicios postales de pago</w:t>
      </w:r>
      <w:r w:rsidR="00696F1A">
        <w:t>.</w:t>
      </w:r>
      <w:r w:rsidR="00696F1A" w:rsidRPr="00696F1A">
        <w:t xml:space="preserve"> </w:t>
      </w:r>
      <w:r w:rsidRPr="005503B4">
        <w:t xml:space="preserve">Contribuciones al FUTIC a diferentes tasas de contribución </w:t>
      </w:r>
      <w:r w:rsidRPr="005503B4">
        <w:rPr>
          <w:sz w:val="16"/>
          <w:szCs w:val="14"/>
        </w:rPr>
        <w:t>(Millones de</w:t>
      </w:r>
      <w:r w:rsidR="00696F1A">
        <w:rPr>
          <w:sz w:val="16"/>
          <w:szCs w:val="14"/>
        </w:rPr>
        <w:t xml:space="preserve"> pesos</w:t>
      </w:r>
      <w:r w:rsidRPr="005503B4">
        <w:rPr>
          <w:sz w:val="16"/>
          <w:szCs w:val="14"/>
        </w:rPr>
        <w:t xml:space="preserve"> reales 2021 = 100)</w:t>
      </w:r>
      <w:bookmarkEnd w:id="273"/>
      <w:bookmarkEnd w:id="274"/>
    </w:p>
    <w:p w14:paraId="54CDAA1D" w14:textId="77777777" w:rsidR="00491569" w:rsidRPr="005503B4" w:rsidRDefault="00491569" w:rsidP="007C1428">
      <w:pPr>
        <w:pStyle w:val="Grfica"/>
      </w:pPr>
      <w:r w:rsidRPr="005503B4">
        <w:rPr>
          <w:noProof/>
          <w:lang w:eastAsia="es-CO"/>
        </w:rPr>
        <w:drawing>
          <wp:inline distT="0" distB="0" distL="0" distR="0" wp14:anchorId="0337C2D5" wp14:editId="458C4550">
            <wp:extent cx="5353050" cy="1897513"/>
            <wp:effectExtent l="0" t="0" r="0" b="7620"/>
            <wp:docPr id="465" name="Gráfico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03FFC3" w14:textId="1286B909" w:rsidR="00610F4B" w:rsidRDefault="00491569" w:rsidP="00491569">
      <w:pPr>
        <w:pStyle w:val="FuentedeGrfica"/>
      </w:pPr>
      <w:r w:rsidRPr="005503B4">
        <w:t xml:space="preserve">FUENTE: </w:t>
      </w:r>
      <w:r w:rsidRPr="005503B4">
        <w:tab/>
        <w:t>2014</w:t>
      </w:r>
      <w:r w:rsidR="007C1428" w:rsidRPr="005503B4">
        <w:t xml:space="preserve"> – </w:t>
      </w:r>
      <w:r w:rsidRPr="005503B4">
        <w:t>2021</w:t>
      </w:r>
      <w:r w:rsidR="007C1428" w:rsidRPr="005503B4">
        <w:t xml:space="preserve">: MinTIC - </w:t>
      </w:r>
      <w:r w:rsidRPr="005503B4">
        <w:t xml:space="preserve">Subdirección </w:t>
      </w:r>
      <w:r w:rsidR="007C1428" w:rsidRPr="005503B4">
        <w:t>P</w:t>
      </w:r>
      <w:r w:rsidRPr="005503B4">
        <w:t>ostal</w:t>
      </w:r>
      <w:r w:rsidR="007C1428" w:rsidRPr="005503B4">
        <w:t>. FUTIC</w:t>
      </w:r>
      <w:r w:rsidRPr="005503B4">
        <w:t xml:space="preserve">. </w:t>
      </w:r>
      <w:r w:rsidR="007C1428" w:rsidRPr="005503B4">
        <w:t>P</w:t>
      </w:r>
      <w:r w:rsidRPr="005503B4">
        <w:t xml:space="preserve">royección del 2022 </w:t>
      </w:r>
      <w:r w:rsidR="007C1428" w:rsidRPr="005503B4">
        <w:t>–</w:t>
      </w:r>
      <w:r w:rsidRPr="005503B4">
        <w:t xml:space="preserve"> 202</w:t>
      </w:r>
      <w:r w:rsidR="000F0708">
        <w:t>4</w:t>
      </w:r>
      <w:r w:rsidR="007C1428" w:rsidRPr="005503B4">
        <w:t>: Modelo postal del MinTIC</w:t>
      </w:r>
      <w:r w:rsidRPr="005503B4">
        <w:t>.</w:t>
      </w:r>
    </w:p>
    <w:p w14:paraId="19BF58E8" w14:textId="726BDB04" w:rsidR="001565BC" w:rsidRDefault="001565BC">
      <w:pPr>
        <w:spacing w:before="0" w:after="120" w:line="276" w:lineRule="auto"/>
        <w:rPr>
          <w:lang w:val="es-CO" w:eastAsia="es-ES"/>
        </w:rPr>
      </w:pPr>
      <w:r>
        <w:rPr>
          <w:lang w:val="es-CO" w:eastAsia="es-ES"/>
        </w:rPr>
        <w:br w:type="page"/>
      </w:r>
    </w:p>
    <w:p w14:paraId="7A624FAA" w14:textId="77777777" w:rsidR="0014252C" w:rsidRPr="005503B4" w:rsidRDefault="0014252C" w:rsidP="0014252C">
      <w:pPr>
        <w:pStyle w:val="Ttulo1"/>
        <w:rPr>
          <w:rFonts w:ascii="Arial Narrow" w:hAnsi="Arial Narrow"/>
        </w:rPr>
      </w:pPr>
      <w:bookmarkStart w:id="275" w:name="_Toc102393299"/>
      <w:bookmarkStart w:id="276" w:name="_Toc104272158"/>
      <w:bookmarkStart w:id="277" w:name="_Ref101548022"/>
      <w:bookmarkStart w:id="278" w:name="_Hlk103962718"/>
      <w:bookmarkStart w:id="279" w:name="_Hlk103962438"/>
      <w:bookmarkEnd w:id="275"/>
      <w:bookmarkEnd w:id="276"/>
    </w:p>
    <w:p w14:paraId="28973847" w14:textId="6DE4DFE9" w:rsidR="0014252C" w:rsidRPr="005503B4" w:rsidRDefault="0014252C" w:rsidP="0014252C">
      <w:pPr>
        <w:pStyle w:val="Titulodescripcin"/>
        <w:rPr>
          <w:rFonts w:ascii="Arial Narrow" w:hAnsi="Arial Narrow"/>
        </w:rPr>
      </w:pPr>
      <w:bookmarkStart w:id="280" w:name="_Toc104272159"/>
      <w:bookmarkStart w:id="281" w:name="_Toc102057825"/>
      <w:bookmarkStart w:id="282" w:name="_Toc102393300"/>
      <w:bookmarkEnd w:id="277"/>
      <w:r w:rsidRPr="005503B4">
        <w:rPr>
          <w:rFonts w:ascii="Arial Narrow" w:hAnsi="Arial Narrow"/>
        </w:rPr>
        <w:t>Proyección de las fuentes y usos de recursos postales del FUTIC: Período 202</w:t>
      </w:r>
      <w:r w:rsidR="00F07F59" w:rsidRPr="005503B4">
        <w:rPr>
          <w:rFonts w:ascii="Arial Narrow" w:hAnsi="Arial Narrow"/>
        </w:rPr>
        <w:t>2</w:t>
      </w:r>
      <w:r w:rsidRPr="005503B4">
        <w:rPr>
          <w:rFonts w:ascii="Arial Narrow" w:hAnsi="Arial Narrow"/>
        </w:rPr>
        <w:t xml:space="preserve"> – 202</w:t>
      </w:r>
      <w:r w:rsidR="001F3819">
        <w:rPr>
          <w:rFonts w:ascii="Arial Narrow" w:hAnsi="Arial Narrow"/>
        </w:rPr>
        <w:t>4</w:t>
      </w:r>
      <w:r w:rsidRPr="005503B4">
        <w:rPr>
          <w:rFonts w:ascii="Arial Narrow" w:hAnsi="Arial Narrow"/>
        </w:rPr>
        <w:t>.</w:t>
      </w:r>
      <w:bookmarkEnd w:id="280"/>
      <w:r w:rsidRPr="005503B4">
        <w:rPr>
          <w:rFonts w:ascii="Arial Narrow" w:hAnsi="Arial Narrow"/>
        </w:rPr>
        <w:t xml:space="preserve"> </w:t>
      </w:r>
      <w:bookmarkEnd w:id="281"/>
      <w:bookmarkEnd w:id="282"/>
    </w:p>
    <w:p w14:paraId="79A41F98" w14:textId="77777777" w:rsidR="00DE5E62" w:rsidRPr="005503B4" w:rsidRDefault="00DE5E62" w:rsidP="00DE5E62">
      <w:pPr>
        <w:pStyle w:val="Ttulo2"/>
      </w:pPr>
      <w:bookmarkStart w:id="283" w:name="_Toc102170037"/>
      <w:bookmarkStart w:id="284" w:name="_Toc102393301"/>
      <w:bookmarkStart w:id="285" w:name="_Toc104272160"/>
      <w:r w:rsidRPr="005503B4">
        <w:t>Introducción</w:t>
      </w:r>
      <w:bookmarkEnd w:id="283"/>
      <w:bookmarkEnd w:id="284"/>
      <w:bookmarkEnd w:id="285"/>
    </w:p>
    <w:p w14:paraId="285CFC1D" w14:textId="2418FA7A" w:rsidR="00DE5E62" w:rsidRPr="005503B4" w:rsidRDefault="7A2FD137" w:rsidP="00DE5E62">
      <w:r w:rsidRPr="005503B4">
        <w:t>Este capítulo está dirigido a presentar la proyección del flujo de caja del FUTIC para el período 2022 – 202</w:t>
      </w:r>
      <w:r w:rsidR="001565BC">
        <w:t>4</w:t>
      </w:r>
      <w:r w:rsidRPr="005503B4">
        <w:t xml:space="preserve">, el cual servirá de línea inicial para generar </w:t>
      </w:r>
      <w:r w:rsidR="00537BB1">
        <w:t xml:space="preserve">los escenarios y sensibilidades que se desarrollarán en el Capítulo </w:t>
      </w:r>
      <w:r w:rsidR="00537BB1">
        <w:fldChar w:fldCharType="begin"/>
      </w:r>
      <w:r w:rsidR="00537BB1">
        <w:instrText xml:space="preserve"> REF _Ref41479518 \r \h </w:instrText>
      </w:r>
      <w:r w:rsidR="00537BB1">
        <w:fldChar w:fldCharType="separate"/>
      </w:r>
      <w:r w:rsidR="00C57FCA">
        <w:t>8</w:t>
      </w:r>
      <w:r w:rsidR="00537BB1">
        <w:fldChar w:fldCharType="end"/>
      </w:r>
      <w:r w:rsidRPr="005503B4">
        <w:t>, a partir de</w:t>
      </w:r>
      <w:r w:rsidR="00537BB1">
        <w:t xml:space="preserve"> </w:t>
      </w:r>
      <w:r w:rsidRPr="005503B4">
        <w:t>l</w:t>
      </w:r>
      <w:r w:rsidR="00537BB1">
        <w:t>os</w:t>
      </w:r>
      <w:r w:rsidRPr="005503B4">
        <w:t xml:space="preserve"> cual</w:t>
      </w:r>
      <w:r w:rsidR="00537BB1">
        <w:t>es</w:t>
      </w:r>
      <w:r w:rsidRPr="005503B4">
        <w:t xml:space="preserve"> se determinará la propuesta de tasa de contraprestación postal que formulará el Ministerio, para el período comprendido entre los años 2022 y 2024. </w:t>
      </w:r>
    </w:p>
    <w:p w14:paraId="12409B9C" w14:textId="3EF5D32D" w:rsidR="00DE5E62" w:rsidRPr="005503B4" w:rsidRDefault="7A2FD137" w:rsidP="00DE5E62">
      <w:r w:rsidRPr="005503B4">
        <w:t xml:space="preserve">Inicialmente, en el capítulo se estima el déficit del SPU para el período 2022 – 2024, calculando, en primer lugar, los ingresos de los productos </w:t>
      </w:r>
      <w:r w:rsidR="00537BB1">
        <w:t>que lo conforman</w:t>
      </w:r>
      <w:r w:rsidRPr="005503B4">
        <w:t>, estimando a continuación los costos de SPN y aplicando la metodología de costos ABC que ha sometido esa empresa a la consideración del Ministerio en años anteriores, para realizar la imputación de ingresos, costos y gastos al SPU.</w:t>
      </w:r>
    </w:p>
    <w:p w14:paraId="7F1FB3B6" w14:textId="63796C5F" w:rsidR="00DE5E62" w:rsidRPr="005503B4" w:rsidRDefault="7A2FD137" w:rsidP="00DE5E62">
      <w:r w:rsidRPr="005503B4">
        <w:t xml:space="preserve">A continuación, </w:t>
      </w:r>
      <w:r w:rsidR="50C24133" w:rsidRPr="005503B4">
        <w:t xml:space="preserve">el capítulo presenta un resumen de la proyección de las contraprestaciones derivadas del servicio postal, pagadas </w:t>
      </w:r>
      <w:r w:rsidR="00C7346D" w:rsidRPr="005503B4">
        <w:t>al FUTIC</w:t>
      </w:r>
      <w:r w:rsidR="50C24133" w:rsidRPr="005503B4">
        <w:t xml:space="preserve"> por los operadores postales y que se presentaron en los capítulos anteriores. Adicionalmente, se</w:t>
      </w:r>
      <w:r w:rsidRPr="005503B4">
        <w:t xml:space="preserve"> presenta la estimación de los envíos de la franquicia postal, bajo el supuesto inicial de que la</w:t>
      </w:r>
      <w:r w:rsidR="00701D95" w:rsidRPr="005503B4">
        <w:t>s</w:t>
      </w:r>
      <w:r w:rsidRPr="005503B4">
        <w:t xml:space="preserve"> medidas adoptadas tanto en el Decreto Legislativo 806 de 2020, como en el Decreto 491 del mismo año, que le exigen a las entidades del Estado adelantar por medios digitales los trámites, notificación o comunicación de actos administrativos o judiciales, en el marco de las normas de salud pública adoptadas por el Gobierno Nacional, hasta tanto permanezca vigente la Emergencia Sanitaria declarada por el Ministerio de Salud y Protección Social. </w:t>
      </w:r>
    </w:p>
    <w:p w14:paraId="539E768E" w14:textId="2CFFA3C9" w:rsidR="00DE5E62" w:rsidRPr="005503B4" w:rsidRDefault="635696CA" w:rsidP="00DE5E62">
      <w:r w:rsidRPr="005503B4">
        <w:t xml:space="preserve">Este es uno de los temas que genera incertidumbre en los resultados del proyecto. El Decreto está en discusión en diferentes niveles del sector público del país, presentando las decisiones un impacto fundamental sobre el proyecto. </w:t>
      </w:r>
      <w:r w:rsidR="7A2FD137" w:rsidRPr="005503B4">
        <w:t>En</w:t>
      </w:r>
      <w:r w:rsidRPr="005503B4">
        <w:t xml:space="preserve"> efecto,</w:t>
      </w:r>
      <w:r w:rsidR="7A2FD137" w:rsidRPr="005503B4">
        <w:t xml:space="preserve"> en el capítulo siguiente se generarán escenarios en los cuales se simula el impacto de diferentes alternativas sobre los envíos de la Franquicia Postal, producto de un eventual levantamiento de las medidas de Emergencia Sanitaria.</w:t>
      </w:r>
    </w:p>
    <w:bookmarkEnd w:id="278"/>
    <w:p w14:paraId="0136F8FC" w14:textId="1A537193" w:rsidR="00DE5E62" w:rsidRPr="005503B4" w:rsidRDefault="00537BB1" w:rsidP="00DE5E62">
      <w:r>
        <w:lastRenderedPageBreak/>
        <w:t>Finalmente</w:t>
      </w:r>
      <w:r w:rsidR="00DE5E62" w:rsidRPr="005503B4">
        <w:t xml:space="preserve">, el capítulo proyecta los costos, gastos e inversiones que se prevé tenga el Fondo en materia de costos de vigilancia y control del sector, así como los pagos a organismos internacionales como la UPU y la UPAEP en los próximos años. </w:t>
      </w:r>
    </w:p>
    <w:p w14:paraId="11160520" w14:textId="77777777" w:rsidR="00DE5E62" w:rsidRPr="005503B4" w:rsidRDefault="00DE5E62" w:rsidP="00DE5E62">
      <w:pPr>
        <w:pStyle w:val="Ttulo2"/>
      </w:pPr>
      <w:bookmarkStart w:id="286" w:name="_Toc102057828"/>
      <w:bookmarkStart w:id="287" w:name="_Toc102170039"/>
      <w:bookmarkStart w:id="288" w:name="_Toc102393302"/>
      <w:bookmarkStart w:id="289" w:name="_Toc104272161"/>
      <w:r w:rsidRPr="005503B4">
        <w:t>Estimación del déficit del SPU.</w:t>
      </w:r>
      <w:bookmarkEnd w:id="286"/>
      <w:bookmarkEnd w:id="287"/>
      <w:bookmarkEnd w:id="288"/>
      <w:bookmarkEnd w:id="289"/>
    </w:p>
    <w:p w14:paraId="14CF537A" w14:textId="0F851139" w:rsidR="00DE5E62" w:rsidRPr="005503B4" w:rsidRDefault="00DE5E62" w:rsidP="00DE5E62">
      <w:r w:rsidRPr="005503B4">
        <w:t>Esta sección del documento está dirigida a estimar el déficit</w:t>
      </w:r>
      <w:r w:rsidR="00D26E01">
        <w:t xml:space="preserve"> generado por la prestación</w:t>
      </w:r>
      <w:r w:rsidRPr="005503B4">
        <w:t xml:space="preserve"> del SPU para el período 2022 – 2024, </w:t>
      </w:r>
      <w:r w:rsidR="00D26E01">
        <w:t>analizando</w:t>
      </w:r>
      <w:r w:rsidRPr="005503B4">
        <w:t xml:space="preserve">, en primer lugar, los ingresos de los productos del SPU, calculando los costos de </w:t>
      </w:r>
      <w:r w:rsidR="00D26E01">
        <w:t>la</w:t>
      </w:r>
      <w:r w:rsidRPr="005503B4">
        <w:t xml:space="preserve"> empresa, aplicando la metodología de costos ABC </w:t>
      </w:r>
      <w:r w:rsidR="00D26E01">
        <w:t>propuesta por</w:t>
      </w:r>
      <w:r w:rsidRPr="005503B4">
        <w:t xml:space="preserve"> SPN </w:t>
      </w:r>
      <w:r w:rsidR="00D26E01">
        <w:t>y aprobada por</w:t>
      </w:r>
      <w:r w:rsidRPr="005503B4">
        <w:t xml:space="preserve"> el Ministerio </w:t>
      </w:r>
      <w:r w:rsidR="00D26E01">
        <w:t xml:space="preserve">con la finalidad de </w:t>
      </w:r>
      <w:r w:rsidRPr="005503B4">
        <w:t>realizar la imputación de ingresos, costos y gastos</w:t>
      </w:r>
      <w:r w:rsidR="00D26E01">
        <w:t xml:space="preserve"> asociados</w:t>
      </w:r>
      <w:r w:rsidRPr="005503B4">
        <w:t xml:space="preserve"> al SPU.</w:t>
      </w:r>
    </w:p>
    <w:p w14:paraId="70C2214B" w14:textId="454F543F" w:rsidR="00DE5E62" w:rsidRDefault="00DE5E62" w:rsidP="00DE5E62">
      <w:pPr>
        <w:pStyle w:val="Ttulo3"/>
      </w:pPr>
      <w:bookmarkStart w:id="290" w:name="_Toc102057829"/>
      <w:bookmarkStart w:id="291" w:name="_Toc102170040"/>
      <w:bookmarkStart w:id="292" w:name="_Toc102393303"/>
      <w:bookmarkStart w:id="293" w:name="_Toc104272162"/>
      <w:r w:rsidRPr="005503B4">
        <w:t>Estimación de los ingresos</w:t>
      </w:r>
      <w:r w:rsidR="004310C6">
        <w:t xml:space="preserve"> de</w:t>
      </w:r>
      <w:r w:rsidRPr="005503B4">
        <w:t xml:space="preserve"> los productos del SPU</w:t>
      </w:r>
      <w:r w:rsidR="005D4B2E">
        <w:t>.</w:t>
      </w:r>
      <w:bookmarkEnd w:id="290"/>
      <w:bookmarkEnd w:id="291"/>
      <w:bookmarkEnd w:id="292"/>
      <w:bookmarkEnd w:id="293"/>
    </w:p>
    <w:p w14:paraId="6284405E" w14:textId="77777777" w:rsidR="00DE5E62" w:rsidRPr="005503B4" w:rsidRDefault="00DE5E62" w:rsidP="00DE5E62">
      <w:pPr>
        <w:pStyle w:val="Ttulo4"/>
      </w:pPr>
      <w:bookmarkStart w:id="294" w:name="_Toc104272163"/>
      <w:r w:rsidRPr="005503B4">
        <w:t>Encomiendas.</w:t>
      </w:r>
      <w:bookmarkEnd w:id="294"/>
    </w:p>
    <w:p w14:paraId="315AC546" w14:textId="0C427B78" w:rsidR="00DE5E62" w:rsidRDefault="00DE5E62" w:rsidP="00DE5E62">
      <w:r w:rsidRPr="005503B4">
        <w:t xml:space="preserve">Como se comentó en el capítulo introductorio del documento, </w:t>
      </w:r>
      <w:r w:rsidR="005D4B2E">
        <w:t xml:space="preserve">el servicio de </w:t>
      </w:r>
      <w:r w:rsidRPr="005503B4">
        <w:t>encomiendas posee un</w:t>
      </w:r>
      <w:r w:rsidR="005D4B2E">
        <w:t xml:space="preserve">as características especiales, </w:t>
      </w:r>
      <w:r w:rsidR="7A2FD137" w:rsidRPr="005503B4">
        <w:t xml:space="preserve">A este respecto, la </w:t>
      </w:r>
      <w:r w:rsidRPr="005503B4">
        <w:fldChar w:fldCharType="begin"/>
      </w:r>
      <w:r w:rsidRPr="005503B4">
        <w:instrText xml:space="preserve"> REF _Ref102108136 \h </w:instrText>
      </w:r>
      <w:r w:rsidR="005503B4">
        <w:instrText xml:space="preserve"> \* MERGEFORMAT </w:instrText>
      </w:r>
      <w:r w:rsidRPr="005503B4">
        <w:fldChar w:fldCharType="separate"/>
      </w:r>
      <w:r w:rsidR="00C57FCA" w:rsidRPr="005503B4">
        <w:t xml:space="preserve">Gráfica </w:t>
      </w:r>
      <w:r w:rsidR="00C57FCA">
        <w:rPr>
          <w:noProof/>
        </w:rPr>
        <w:t>7</w:t>
      </w:r>
      <w:r w:rsidR="00C57FCA" w:rsidRPr="005503B4">
        <w:rPr>
          <w:noProof/>
        </w:rPr>
        <w:noBreakHyphen/>
      </w:r>
      <w:r w:rsidR="00C57FCA">
        <w:rPr>
          <w:noProof/>
        </w:rPr>
        <w:t>1</w:t>
      </w:r>
      <w:r w:rsidRPr="005503B4">
        <w:fldChar w:fldCharType="end"/>
      </w:r>
      <w:r w:rsidR="7A2FD137" w:rsidRPr="005503B4">
        <w:t xml:space="preserve"> presenta tanto la evolución del número de envíos de encomiendas hasta el mes de diciembre de </w:t>
      </w:r>
      <w:r w:rsidR="00C7346D" w:rsidRPr="005503B4">
        <w:t>2021, como</w:t>
      </w:r>
      <w:r w:rsidR="7A2FD137" w:rsidRPr="005503B4">
        <w:t xml:space="preserve"> su proyección hasta el año de 202</w:t>
      </w:r>
      <w:r w:rsidR="005D4B2E">
        <w:t>4</w:t>
      </w:r>
      <w:r w:rsidR="7A2FD137" w:rsidRPr="005503B4">
        <w:t>. Como se muestra en la gráfica</w:t>
      </w:r>
      <w:r w:rsidR="001D7D11">
        <w:t>,</w:t>
      </w:r>
      <w:r w:rsidR="005D4B2E">
        <w:t xml:space="preserve"> el servicio presentó para el año 2021 </w:t>
      </w:r>
      <w:r w:rsidR="7A2FD137" w:rsidRPr="005503B4">
        <w:t>1,2 millones</w:t>
      </w:r>
      <w:r w:rsidR="005D4B2E">
        <w:t xml:space="preserve"> de envíos y se espera que para 2024 </w:t>
      </w:r>
      <w:r w:rsidR="7A2FD137" w:rsidRPr="005503B4">
        <w:t>alcancen los</w:t>
      </w:r>
      <w:r w:rsidR="005D4B2E">
        <w:t xml:space="preserve"> </w:t>
      </w:r>
      <w:r w:rsidR="7A2FD137" w:rsidRPr="005503B4">
        <w:t xml:space="preserve">2,1 millones </w:t>
      </w:r>
      <w:r w:rsidR="005D4B2E">
        <w:t>de envíos</w:t>
      </w:r>
      <w:r w:rsidR="7A2FD137" w:rsidRPr="005503B4">
        <w:t>.</w:t>
      </w:r>
    </w:p>
    <w:p w14:paraId="2A3D7DE9" w14:textId="77777777" w:rsidR="001D7D11" w:rsidRPr="005503B4" w:rsidRDefault="001D7D11" w:rsidP="001D7D11">
      <w:r w:rsidRPr="005503B4">
        <w:t>Este crecimiento se fundamenta en las necesidades básicas del sector, originadas en la demanda generada por el comercio electrónico y las compras por Internet, hecho que crea una demanda derivada por servicios postales para la entrega de paquetes de diferente tamaño, producto de dichas compras.</w:t>
      </w:r>
    </w:p>
    <w:p w14:paraId="14142086" w14:textId="671DE167" w:rsidR="001D7D11" w:rsidRPr="005503B4" w:rsidRDefault="001D7D11" w:rsidP="001D7D11">
      <w:r w:rsidRPr="005503B4">
        <w:t xml:space="preserve">De otro lado, la </w:t>
      </w:r>
      <w:r w:rsidRPr="005503B4">
        <w:fldChar w:fldCharType="begin"/>
      </w:r>
      <w:r w:rsidRPr="005503B4">
        <w:instrText xml:space="preserve"> REF _Ref102112644 \h </w:instrText>
      </w:r>
      <w:r>
        <w:instrText xml:space="preserve"> \* MERGEFORMAT </w:instrText>
      </w:r>
      <w:r w:rsidRPr="005503B4">
        <w:fldChar w:fldCharType="separate"/>
      </w:r>
      <w:r w:rsidR="00C57FCA" w:rsidRPr="005503B4">
        <w:t xml:space="preserve">Gráfica </w:t>
      </w:r>
      <w:r w:rsidR="00C57FCA">
        <w:rPr>
          <w:noProof/>
        </w:rPr>
        <w:t>7</w:t>
      </w:r>
      <w:r w:rsidR="00C57FCA" w:rsidRPr="005503B4">
        <w:rPr>
          <w:noProof/>
        </w:rPr>
        <w:noBreakHyphen/>
      </w:r>
      <w:r w:rsidR="00C57FCA">
        <w:rPr>
          <w:noProof/>
        </w:rPr>
        <w:t>2</w:t>
      </w:r>
      <w:r w:rsidRPr="005503B4">
        <w:fldChar w:fldCharType="end"/>
      </w:r>
      <w:r w:rsidRPr="005503B4">
        <w:t xml:space="preserve"> presenta los ingresos reales de SPN por concepto de envíos de encomiendas a lo largo del período comprendido entre 2018 y 202</w:t>
      </w:r>
      <w:r w:rsidR="000F0708">
        <w:t>4</w:t>
      </w:r>
      <w:r w:rsidRPr="005503B4">
        <w:t>.</w:t>
      </w:r>
    </w:p>
    <w:p w14:paraId="63307617" w14:textId="1080157E" w:rsidR="001D7D11" w:rsidRDefault="001D7D11" w:rsidP="001D7D11">
      <w:r w:rsidRPr="005503B4">
        <w:t xml:space="preserve">Como es </w:t>
      </w:r>
      <w:r>
        <w:t>evidente</w:t>
      </w:r>
      <w:r w:rsidRPr="005503B4">
        <w:t>, la evolución de</w:t>
      </w:r>
      <w:r>
        <w:t xml:space="preserve">l servicio de </w:t>
      </w:r>
      <w:r w:rsidRPr="005503B4">
        <w:t xml:space="preserve">encomienda depende, en buena medida, de la gestión comercial y </w:t>
      </w:r>
      <w:r>
        <w:t>de la capacidad</w:t>
      </w:r>
      <w:r w:rsidRPr="005503B4">
        <w:t xml:space="preserve"> de tomar provecho de las ventajas comparativas de</w:t>
      </w:r>
      <w:r>
        <w:t>l producto, especialmente en lo referido al</w:t>
      </w:r>
      <w:r w:rsidRPr="005503B4">
        <w:t xml:space="preserve"> precio final </w:t>
      </w:r>
      <w:r>
        <w:t>del</w:t>
      </w:r>
      <w:r w:rsidRPr="005503B4">
        <w:t xml:space="preserve"> producto, pero </w:t>
      </w:r>
      <w:r>
        <w:t xml:space="preserve">en todo caso </w:t>
      </w:r>
      <w:r w:rsidRPr="005503B4">
        <w:t xml:space="preserve">dependiendo de </w:t>
      </w:r>
      <w:r>
        <w:t>la</w:t>
      </w:r>
      <w:r w:rsidRPr="005503B4">
        <w:t xml:space="preserve"> capacidad de generar seguridad y calidad en la entrega </w:t>
      </w:r>
      <w:proofErr w:type="gramStart"/>
      <w:r w:rsidRPr="005503B4">
        <w:t>del mismo</w:t>
      </w:r>
      <w:proofErr w:type="gramEnd"/>
      <w:r w:rsidRPr="005503B4">
        <w:t>.</w:t>
      </w:r>
    </w:p>
    <w:p w14:paraId="2BF9ECAB" w14:textId="0E108859" w:rsidR="001D7D11" w:rsidRPr="005503B4" w:rsidRDefault="001D7D11" w:rsidP="001D7D11">
      <w:r w:rsidRPr="005503B4">
        <w:t xml:space="preserve">Como se muestra en la </w:t>
      </w:r>
      <w:r w:rsidRPr="005503B4">
        <w:fldChar w:fldCharType="begin"/>
      </w:r>
      <w:r w:rsidRPr="005503B4">
        <w:instrText xml:space="preserve"> REF _Ref102110296 \h </w:instrText>
      </w:r>
      <w:r>
        <w:instrText xml:space="preserve"> \* MERGEFORMAT </w:instrText>
      </w:r>
      <w:r w:rsidRPr="005503B4">
        <w:fldChar w:fldCharType="separate"/>
      </w:r>
      <w:r w:rsidR="00C57FCA" w:rsidRPr="005503B4">
        <w:t xml:space="preserve">Tabla </w:t>
      </w:r>
      <w:r w:rsidR="00C57FCA">
        <w:rPr>
          <w:noProof/>
        </w:rPr>
        <w:t>7</w:t>
      </w:r>
      <w:r w:rsidR="00C57FCA" w:rsidRPr="005503B4">
        <w:rPr>
          <w:noProof/>
        </w:rPr>
        <w:noBreakHyphen/>
      </w:r>
      <w:r w:rsidR="00C57FCA">
        <w:rPr>
          <w:noProof/>
        </w:rPr>
        <w:t>1</w:t>
      </w:r>
      <w:r w:rsidRPr="005503B4">
        <w:fldChar w:fldCharType="end"/>
      </w:r>
      <w:r w:rsidRPr="005503B4">
        <w:t xml:space="preserve"> en el proceso de asignación e imputación de ingresos, para </w:t>
      </w:r>
      <w:r>
        <w:t>los</w:t>
      </w:r>
      <w:r w:rsidRPr="005503B4">
        <w:t xml:space="preserve"> productos internacional saliente, la empresa asigna la totalidad de la encomienda al correo del SPU, mientras que para el servicio nacional el 32,45% lo imputa al servicio del SPU y el 67,6% lo asigna a servicios de correo </w:t>
      </w:r>
      <w:r w:rsidRPr="005503B4">
        <w:lastRenderedPageBreak/>
        <w:t>NO SPU</w:t>
      </w:r>
      <w:r>
        <w:t>, es decir que e</w:t>
      </w:r>
      <w:r w:rsidRPr="005503B4">
        <w:t xml:space="preserve">l correo internacional entrante de encomiendas </w:t>
      </w:r>
      <w:r>
        <w:t>es</w:t>
      </w:r>
      <w:r w:rsidRPr="005503B4">
        <w:t xml:space="preserve"> asigna</w:t>
      </w:r>
      <w:r>
        <w:t>do</w:t>
      </w:r>
      <w:r w:rsidRPr="005503B4">
        <w:t xml:space="preserve"> a productos de correo pero que no hacen parte del SPU.</w:t>
      </w:r>
    </w:p>
    <w:p w14:paraId="024ECBA6" w14:textId="7FCF26DF" w:rsidR="00DE5E62" w:rsidRPr="005503B4" w:rsidRDefault="00DE5E62" w:rsidP="00DE5E62">
      <w:pPr>
        <w:pStyle w:val="TITcuadro"/>
      </w:pPr>
      <w:bookmarkStart w:id="295" w:name="_Ref102108136"/>
      <w:bookmarkStart w:id="296" w:name="_Toc104228737"/>
      <w:r w:rsidRPr="005503B4">
        <w:t xml:space="preserve">Gráfica </w:t>
      </w:r>
      <w:r w:rsidRPr="005503B4">
        <w:fldChar w:fldCharType="begin"/>
      </w:r>
      <w:r w:rsidRPr="005503B4">
        <w:instrText>STYLEREF 1 \s</w:instrText>
      </w:r>
      <w:r w:rsidRPr="005503B4">
        <w:fldChar w:fldCharType="separate"/>
      </w:r>
      <w:r w:rsidR="00C57FCA">
        <w:rPr>
          <w:noProof/>
        </w:rPr>
        <w:t>7</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1</w:t>
      </w:r>
      <w:r w:rsidRPr="005503B4">
        <w:fldChar w:fldCharType="end"/>
      </w:r>
      <w:bookmarkEnd w:id="295"/>
      <w:r w:rsidRPr="005503B4">
        <w:t xml:space="preserve"> -</w:t>
      </w:r>
      <w:r w:rsidR="00696F1A">
        <w:t xml:space="preserve"> </w:t>
      </w:r>
      <w:r w:rsidRPr="005503B4">
        <w:t>Evolución de los envíos de encomiendas – 2018 - 202</w:t>
      </w:r>
      <w:r w:rsidR="000F0708">
        <w:t>4</w:t>
      </w:r>
      <w:r w:rsidRPr="005503B4">
        <w:t xml:space="preserve"> </w:t>
      </w:r>
      <w:r w:rsidRPr="005503B4">
        <w:rPr>
          <w:sz w:val="16"/>
          <w:szCs w:val="16"/>
        </w:rPr>
        <w:t>(Miles de envíos)</w:t>
      </w:r>
      <w:bookmarkEnd w:id="296"/>
    </w:p>
    <w:p w14:paraId="23E76225" w14:textId="38B671F8" w:rsidR="00DE5E62" w:rsidRPr="005503B4" w:rsidRDefault="00321438" w:rsidP="00DE5E62">
      <w:pPr>
        <w:pStyle w:val="Grfica"/>
      </w:pPr>
      <w:r>
        <w:rPr>
          <w:noProof/>
          <w:lang w:eastAsia="es-CO"/>
        </w:rPr>
        <mc:AlternateContent>
          <mc:Choice Requires="wps">
            <w:drawing>
              <wp:anchor distT="0" distB="0" distL="114300" distR="114300" simplePos="0" relativeHeight="251735552" behindDoc="0" locked="0" layoutInCell="1" allowOverlap="1" wp14:anchorId="2C1CC268" wp14:editId="2CF7D296">
                <wp:simplePos x="0" y="0"/>
                <wp:positionH relativeFrom="column">
                  <wp:posOffset>3301585</wp:posOffset>
                </wp:positionH>
                <wp:positionV relativeFrom="paragraph">
                  <wp:posOffset>78451</wp:posOffset>
                </wp:positionV>
                <wp:extent cx="8890" cy="2107492"/>
                <wp:effectExtent l="0" t="0" r="29210" b="26670"/>
                <wp:wrapNone/>
                <wp:docPr id="6" name="Conector recto 59"/>
                <wp:cNvGraphicFramePr/>
                <a:graphic xmlns:a="http://schemas.openxmlformats.org/drawingml/2006/main">
                  <a:graphicData uri="http://schemas.microsoft.com/office/word/2010/wordprocessingShape">
                    <wps:wsp>
                      <wps:cNvCnPr/>
                      <wps:spPr>
                        <a:xfrm>
                          <a:off x="0" y="0"/>
                          <a:ext cx="8890" cy="2107492"/>
                        </a:xfrm>
                        <a:prstGeom prst="line">
                          <a:avLst/>
                        </a:prstGeom>
                        <a:ln w="15875">
                          <a:solidFill>
                            <a:schemeClr val="bg1">
                              <a:lumMod val="6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sdtdh="http://schemas.microsoft.com/office/word/2020/wordml/sdtdatahash">
            <w:pict>
              <v:line w14:anchorId="73B2B31E" id="Conector recto 59" o:spid="_x0000_s1026" style="position:absolute;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95pt,6.2pt" to="260.65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" strokecolor="#a5a5a5 [2092]" strokeweight="1.25pt">
                <v:stroke dashstyle="longDash" joinstyle="miter"/>
              </v:line>
            </w:pict>
          </mc:Fallback>
        </mc:AlternateContent>
      </w:r>
      <w:r>
        <w:rPr>
          <w:noProof/>
          <w:lang w:eastAsia="es-CO"/>
        </w:rPr>
        <w:drawing>
          <wp:inline distT="0" distB="0" distL="0" distR="0" wp14:anchorId="274A246B" wp14:editId="7A2BAD4A">
            <wp:extent cx="5429250" cy="255270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EACD9D1" w14:textId="6726EAF4" w:rsidR="00DE5E62" w:rsidRPr="005503B4" w:rsidRDefault="00DE5E62" w:rsidP="00DE5E62">
      <w:pPr>
        <w:pStyle w:val="FuentedeGrfica"/>
      </w:pPr>
      <w:r w:rsidRPr="005503B4">
        <w:t>FUENTE: Información estadística de SPN. Matrices de tráfico de esa entidad proporcionadas al Ministerio. Información reservada y confidencial. Para la proyección para el período 2022 – 202</w:t>
      </w:r>
      <w:r w:rsidR="000F0708">
        <w:t>4</w:t>
      </w:r>
      <w:r w:rsidRPr="005503B4">
        <w:t xml:space="preserve"> se utilizó el modelo de proyección postal de SPN.</w:t>
      </w:r>
    </w:p>
    <w:p w14:paraId="0CBDAEEE" w14:textId="25E8D4D7" w:rsidR="00DE5E62" w:rsidRPr="005503B4" w:rsidRDefault="00DE5E62" w:rsidP="00DE5E62">
      <w:pPr>
        <w:pStyle w:val="TITcuadro"/>
      </w:pPr>
      <w:bookmarkStart w:id="297" w:name="_Ref102112644"/>
      <w:bookmarkStart w:id="298" w:name="_Toc104228738"/>
      <w:r w:rsidRPr="005503B4">
        <w:t xml:space="preserve">Gráfica </w:t>
      </w:r>
      <w:r w:rsidRPr="005503B4">
        <w:fldChar w:fldCharType="begin"/>
      </w:r>
      <w:r w:rsidRPr="005503B4">
        <w:instrText>STYLEREF 1 \s</w:instrText>
      </w:r>
      <w:r w:rsidRPr="005503B4">
        <w:fldChar w:fldCharType="separate"/>
      </w:r>
      <w:r w:rsidR="00C57FCA">
        <w:rPr>
          <w:noProof/>
        </w:rPr>
        <w:t>7</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2</w:t>
      </w:r>
      <w:r w:rsidRPr="005503B4">
        <w:fldChar w:fldCharType="end"/>
      </w:r>
      <w:bookmarkEnd w:id="297"/>
      <w:r w:rsidRPr="005503B4">
        <w:t xml:space="preserve"> - Evolución de los ingresos de encomiendas – 201</w:t>
      </w:r>
      <w:r w:rsidR="000F0708">
        <w:t>6</w:t>
      </w:r>
      <w:r w:rsidRPr="005503B4">
        <w:t xml:space="preserve"> </w:t>
      </w:r>
      <w:r w:rsidRPr="00B03AB6">
        <w:t>- 202</w:t>
      </w:r>
      <w:r w:rsidR="000F0708">
        <w:t>4</w:t>
      </w:r>
      <w:r w:rsidRPr="005503B4">
        <w:t xml:space="preserve"> </w:t>
      </w:r>
      <w:r w:rsidRPr="005503B4">
        <w:rPr>
          <w:sz w:val="16"/>
          <w:szCs w:val="16"/>
        </w:rPr>
        <w:t>(Millones de pesos reales. Diciembre de 2021 = 100)</w:t>
      </w:r>
      <w:bookmarkEnd w:id="298"/>
    </w:p>
    <w:p w14:paraId="63ECA41F" w14:textId="77777777" w:rsidR="00DE5E62" w:rsidRPr="005503B4" w:rsidRDefault="00DE5E62" w:rsidP="00DE5E62">
      <w:pPr>
        <w:pStyle w:val="Grfica"/>
      </w:pPr>
      <w:r w:rsidRPr="005503B4">
        <w:rPr>
          <w:noProof/>
          <w:lang w:eastAsia="es-CO"/>
        </w:rPr>
        <w:drawing>
          <wp:inline distT="0" distB="0" distL="0" distR="0" wp14:anchorId="475F1FBD" wp14:editId="473A8408">
            <wp:extent cx="5393802" cy="2089231"/>
            <wp:effectExtent l="0" t="0" r="16510" b="63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6113EE" w14:textId="11FB32BF" w:rsidR="00DE5E62" w:rsidRPr="005503B4" w:rsidRDefault="00DE5E62" w:rsidP="00DE5E62">
      <w:pPr>
        <w:pStyle w:val="FuentedeGrfica"/>
      </w:pPr>
      <w:r w:rsidRPr="005503B4">
        <w:t>FUENTE: Estados financieros de SPN en el período 2016 - 2021. Para la proyección para el período 2022 – 202</w:t>
      </w:r>
      <w:r w:rsidR="000F0708">
        <w:t>4</w:t>
      </w:r>
      <w:r w:rsidRPr="005503B4">
        <w:t xml:space="preserve"> se utilizó el modelo de proyección postal de SPN.</w:t>
      </w:r>
    </w:p>
    <w:p w14:paraId="71B45D56" w14:textId="4B1FBCAC" w:rsidR="00DE5E62" w:rsidRPr="005503B4" w:rsidRDefault="00DE5E62" w:rsidP="002779B1">
      <w:pPr>
        <w:pStyle w:val="TITcuadro"/>
      </w:pPr>
      <w:bookmarkStart w:id="299" w:name="_Ref102110296"/>
      <w:bookmarkStart w:id="300" w:name="_Toc104227935"/>
      <w:bookmarkStart w:id="301" w:name="_Ref39831819"/>
      <w:r w:rsidRPr="005503B4">
        <w:lastRenderedPageBreak/>
        <w:t xml:space="preserve">Tabla </w:t>
      </w:r>
      <w:r w:rsidRPr="005503B4">
        <w:fldChar w:fldCharType="begin"/>
      </w:r>
      <w:r w:rsidRPr="005503B4">
        <w:instrText>STYLEREF 1 \s</w:instrText>
      </w:r>
      <w:r w:rsidRPr="005503B4">
        <w:fldChar w:fldCharType="separate"/>
      </w:r>
      <w:r w:rsidR="00C57FCA">
        <w:rPr>
          <w:noProof/>
        </w:rPr>
        <w:t>7</w:t>
      </w:r>
      <w:r w:rsidRPr="005503B4">
        <w:fldChar w:fldCharType="end"/>
      </w:r>
      <w:r w:rsidRPr="005503B4">
        <w:noBreakHyphen/>
      </w:r>
      <w:r w:rsidRPr="005503B4">
        <w:fldChar w:fldCharType="begin"/>
      </w:r>
      <w:r w:rsidRPr="005503B4">
        <w:instrText>SEQ Tabla \* ARABIC \s 1</w:instrText>
      </w:r>
      <w:r w:rsidRPr="005503B4">
        <w:fldChar w:fldCharType="separate"/>
      </w:r>
      <w:r w:rsidR="00C57FCA">
        <w:rPr>
          <w:noProof/>
        </w:rPr>
        <w:t>1</w:t>
      </w:r>
      <w:r w:rsidRPr="005503B4">
        <w:fldChar w:fldCharType="end"/>
      </w:r>
      <w:bookmarkEnd w:id="299"/>
      <w:r w:rsidRPr="005503B4">
        <w:t xml:space="preserve"> – Modelo de costos ABC de SPN– Ponderadores de ingresos, costos y gastos para productos de correo del SPU y del no SPU</w:t>
      </w:r>
      <w:bookmarkEnd w:id="300"/>
    </w:p>
    <w:tbl>
      <w:tblPr>
        <w:tblW w:w="6662" w:type="dxa"/>
        <w:tblInd w:w="1346" w:type="dxa"/>
        <w:tblCellMar>
          <w:left w:w="70" w:type="dxa"/>
          <w:right w:w="70" w:type="dxa"/>
        </w:tblCellMar>
        <w:tblLook w:val="04A0" w:firstRow="1" w:lastRow="0" w:firstColumn="1" w:lastColumn="0" w:noHBand="0" w:noVBand="1"/>
      </w:tblPr>
      <w:tblGrid>
        <w:gridCol w:w="4111"/>
        <w:gridCol w:w="1276"/>
        <w:gridCol w:w="1275"/>
      </w:tblGrid>
      <w:tr w:rsidR="00DE5E62" w:rsidRPr="005503B4" w14:paraId="1B529C33" w14:textId="77777777" w:rsidTr="003841A8">
        <w:trPr>
          <w:trHeight w:val="435"/>
          <w:tblHeader/>
        </w:trPr>
        <w:tc>
          <w:tcPr>
            <w:tcW w:w="6662" w:type="dxa"/>
            <w:gridSpan w:val="3"/>
            <w:tcBorders>
              <w:top w:val="single" w:sz="4" w:space="0" w:color="D9D9D9"/>
              <w:left w:val="single" w:sz="4" w:space="0" w:color="D9D9D9"/>
              <w:bottom w:val="single" w:sz="4" w:space="0" w:color="D9D9D9"/>
              <w:right w:val="single" w:sz="4" w:space="0" w:color="D9D9D9"/>
            </w:tcBorders>
            <w:shd w:val="clear" w:color="000000" w:fill="D9D9D9"/>
            <w:noWrap/>
            <w:vAlign w:val="center"/>
            <w:hideMark/>
          </w:tcPr>
          <w:p w14:paraId="2F6D9DFC" w14:textId="77777777" w:rsidR="00DE5E62" w:rsidRPr="005503B4" w:rsidRDefault="00DE5E62" w:rsidP="00DF66C8">
            <w:pPr>
              <w:spacing w:before="0" w:after="0" w:line="240" w:lineRule="auto"/>
              <w:jc w:val="center"/>
              <w:rPr>
                <w:rFonts w:eastAsia="Times New Roman" w:cs="Calibri"/>
                <w:b/>
                <w:bCs/>
                <w:color w:val="000000"/>
                <w:sz w:val="22"/>
                <w:szCs w:val="22"/>
                <w:lang w:val="es-CO" w:eastAsia="es-CO"/>
              </w:rPr>
            </w:pPr>
            <w:r w:rsidRPr="005503B4">
              <w:rPr>
                <w:rFonts w:eastAsia="Times New Roman" w:cs="Calibri"/>
                <w:b/>
                <w:bCs/>
                <w:color w:val="000000"/>
                <w:sz w:val="22"/>
                <w:szCs w:val="22"/>
                <w:lang w:val="es-CO" w:eastAsia="es-CO"/>
              </w:rPr>
              <w:t>PONDERADORES DE SPN 2021 SPU - NO SPU - %</w:t>
            </w:r>
          </w:p>
        </w:tc>
      </w:tr>
      <w:tr w:rsidR="00DE5E62" w:rsidRPr="005503B4" w14:paraId="702D9056" w14:textId="77777777" w:rsidTr="00DF66C8">
        <w:trPr>
          <w:trHeight w:val="300"/>
        </w:trPr>
        <w:tc>
          <w:tcPr>
            <w:tcW w:w="4111" w:type="dxa"/>
            <w:tcBorders>
              <w:top w:val="nil"/>
              <w:left w:val="single" w:sz="4" w:space="0" w:color="D9D9D9"/>
              <w:bottom w:val="nil"/>
              <w:right w:val="single" w:sz="4" w:space="0" w:color="D9D9D9"/>
            </w:tcBorders>
            <w:shd w:val="clear" w:color="000000" w:fill="F2F2F2"/>
            <w:noWrap/>
            <w:vAlign w:val="center"/>
            <w:hideMark/>
          </w:tcPr>
          <w:p w14:paraId="4B3F073A" w14:textId="77777777" w:rsidR="00DE5E62" w:rsidRPr="005503B4" w:rsidRDefault="00DE5E62" w:rsidP="00DF66C8">
            <w:pPr>
              <w:spacing w:before="0" w:after="0" w:line="240" w:lineRule="auto"/>
              <w:jc w:val="center"/>
              <w:rPr>
                <w:rFonts w:eastAsia="Times New Roman" w:cs="Calibri"/>
                <w:b/>
                <w:bCs/>
                <w:color w:val="000000"/>
                <w:sz w:val="22"/>
                <w:szCs w:val="22"/>
                <w:lang w:val="es-CO" w:eastAsia="es-CO"/>
              </w:rPr>
            </w:pPr>
            <w:r w:rsidRPr="005503B4">
              <w:rPr>
                <w:rFonts w:eastAsia="Times New Roman" w:cs="Calibri"/>
                <w:b/>
                <w:bCs/>
                <w:color w:val="000000"/>
                <w:sz w:val="22"/>
                <w:szCs w:val="22"/>
                <w:lang w:val="es-CO" w:eastAsia="es-CO"/>
              </w:rPr>
              <w:t>INGRESOS</w:t>
            </w:r>
          </w:p>
        </w:tc>
        <w:tc>
          <w:tcPr>
            <w:tcW w:w="1276" w:type="dxa"/>
            <w:tcBorders>
              <w:top w:val="nil"/>
              <w:left w:val="nil"/>
              <w:bottom w:val="single" w:sz="4" w:space="0" w:color="D9D9D9"/>
              <w:right w:val="single" w:sz="4" w:space="0" w:color="D9D9D9"/>
            </w:tcBorders>
            <w:shd w:val="clear" w:color="000000" w:fill="F2F2F2"/>
            <w:noWrap/>
            <w:vAlign w:val="center"/>
            <w:hideMark/>
          </w:tcPr>
          <w:p w14:paraId="4C050679" w14:textId="77777777" w:rsidR="00DE5E62" w:rsidRPr="005503B4" w:rsidRDefault="00DE5E62" w:rsidP="00DF66C8">
            <w:pPr>
              <w:spacing w:before="0" w:after="0" w:line="240" w:lineRule="auto"/>
              <w:jc w:val="center"/>
              <w:rPr>
                <w:rFonts w:eastAsia="Times New Roman" w:cs="Calibri"/>
                <w:b/>
                <w:bCs/>
                <w:color w:val="000000"/>
                <w:sz w:val="22"/>
                <w:szCs w:val="22"/>
                <w:lang w:val="es-CO" w:eastAsia="es-CO"/>
              </w:rPr>
            </w:pPr>
            <w:r w:rsidRPr="005503B4">
              <w:rPr>
                <w:rFonts w:eastAsia="Times New Roman" w:cs="Calibri"/>
                <w:b/>
                <w:bCs/>
                <w:color w:val="000000"/>
                <w:sz w:val="22"/>
                <w:szCs w:val="22"/>
                <w:lang w:val="es-CO" w:eastAsia="es-CO"/>
              </w:rPr>
              <w:t>SPU</w:t>
            </w:r>
          </w:p>
        </w:tc>
        <w:tc>
          <w:tcPr>
            <w:tcW w:w="1275" w:type="dxa"/>
            <w:tcBorders>
              <w:top w:val="nil"/>
              <w:left w:val="nil"/>
              <w:bottom w:val="single" w:sz="4" w:space="0" w:color="D9D9D9"/>
              <w:right w:val="single" w:sz="4" w:space="0" w:color="D9D9D9"/>
            </w:tcBorders>
            <w:shd w:val="clear" w:color="000000" w:fill="F2F2F2"/>
            <w:noWrap/>
            <w:vAlign w:val="center"/>
            <w:hideMark/>
          </w:tcPr>
          <w:p w14:paraId="77D637F4" w14:textId="77777777" w:rsidR="00DE5E62" w:rsidRPr="005503B4" w:rsidRDefault="00DE5E62" w:rsidP="00DF66C8">
            <w:pPr>
              <w:spacing w:before="0" w:after="0" w:line="240" w:lineRule="auto"/>
              <w:jc w:val="center"/>
              <w:rPr>
                <w:rFonts w:eastAsia="Times New Roman" w:cs="Calibri"/>
                <w:b/>
                <w:bCs/>
                <w:color w:val="000000"/>
                <w:sz w:val="22"/>
                <w:szCs w:val="22"/>
                <w:lang w:val="es-CO" w:eastAsia="es-CO"/>
              </w:rPr>
            </w:pPr>
            <w:r w:rsidRPr="005503B4">
              <w:rPr>
                <w:rFonts w:eastAsia="Times New Roman" w:cs="Calibri"/>
                <w:b/>
                <w:bCs/>
                <w:color w:val="000000"/>
                <w:sz w:val="22"/>
                <w:szCs w:val="22"/>
                <w:lang w:val="es-CO" w:eastAsia="es-CO"/>
              </w:rPr>
              <w:t>NO SPU</w:t>
            </w:r>
          </w:p>
        </w:tc>
      </w:tr>
      <w:tr w:rsidR="00DE5E62" w:rsidRPr="005503B4" w14:paraId="2F0C966D"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F072775" w14:textId="77777777" w:rsidR="00DE5E62" w:rsidRPr="005503B4" w:rsidRDefault="00DE5E62" w:rsidP="00DF66C8">
            <w:pPr>
              <w:spacing w:before="0" w:after="0" w:line="240" w:lineRule="auto"/>
              <w:ind w:firstLineChars="100" w:firstLine="221"/>
              <w:jc w:val="left"/>
              <w:rPr>
                <w:rFonts w:eastAsia="Times New Roman" w:cs="Calibri"/>
                <w:b/>
                <w:bCs/>
                <w:color w:val="000000"/>
                <w:sz w:val="22"/>
                <w:szCs w:val="22"/>
                <w:lang w:val="es-CO" w:eastAsia="es-CO"/>
              </w:rPr>
            </w:pPr>
            <w:r w:rsidRPr="005503B4">
              <w:rPr>
                <w:rFonts w:eastAsia="Times New Roman" w:cs="Calibri"/>
                <w:b/>
                <w:bCs/>
                <w:color w:val="000000"/>
                <w:sz w:val="22"/>
                <w:szCs w:val="22"/>
                <w:lang w:val="es-CO" w:eastAsia="es-CO"/>
              </w:rPr>
              <w:t>Individual</w:t>
            </w:r>
          </w:p>
        </w:tc>
        <w:tc>
          <w:tcPr>
            <w:tcW w:w="1276" w:type="dxa"/>
            <w:tcBorders>
              <w:top w:val="nil"/>
              <w:left w:val="nil"/>
              <w:bottom w:val="nil"/>
              <w:right w:val="nil"/>
            </w:tcBorders>
            <w:shd w:val="clear" w:color="000000" w:fill="FFFFFF"/>
            <w:noWrap/>
            <w:vAlign w:val="bottom"/>
            <w:hideMark/>
          </w:tcPr>
          <w:p w14:paraId="708182DA" w14:textId="77777777" w:rsidR="00DE5E62" w:rsidRPr="005503B4" w:rsidRDefault="00DE5E62" w:rsidP="00DF66C8">
            <w:pPr>
              <w:spacing w:before="0" w:after="0" w:line="240" w:lineRule="auto"/>
              <w:jc w:val="left"/>
              <w:rPr>
                <w:rFonts w:eastAsia="Times New Roman" w:cs="Calibri"/>
                <w:b/>
                <w:bCs/>
                <w:color w:val="000000"/>
                <w:sz w:val="22"/>
                <w:szCs w:val="22"/>
                <w:lang w:val="es-CO" w:eastAsia="es-CO"/>
              </w:rPr>
            </w:pPr>
            <w:r w:rsidRPr="005503B4">
              <w:rPr>
                <w:rFonts w:eastAsia="Times New Roman" w:cs="Calibri"/>
                <w:b/>
                <w:bCs/>
                <w:color w:val="000000"/>
                <w:sz w:val="22"/>
                <w:szCs w:val="22"/>
                <w:lang w:val="es-CO" w:eastAsia="es-CO"/>
              </w:rPr>
              <w:t> </w:t>
            </w:r>
          </w:p>
        </w:tc>
        <w:tc>
          <w:tcPr>
            <w:tcW w:w="1275" w:type="dxa"/>
            <w:tcBorders>
              <w:top w:val="nil"/>
              <w:left w:val="nil"/>
              <w:bottom w:val="nil"/>
              <w:right w:val="single" w:sz="4" w:space="0" w:color="D9D9D9"/>
            </w:tcBorders>
            <w:shd w:val="clear" w:color="000000" w:fill="FFFFFF"/>
            <w:noWrap/>
            <w:vAlign w:val="bottom"/>
            <w:hideMark/>
          </w:tcPr>
          <w:p w14:paraId="3385CCBF" w14:textId="77777777" w:rsidR="00DE5E62" w:rsidRPr="005503B4" w:rsidRDefault="00DE5E62" w:rsidP="00DF66C8">
            <w:pPr>
              <w:spacing w:before="0" w:after="0" w:line="240" w:lineRule="auto"/>
              <w:jc w:val="left"/>
              <w:rPr>
                <w:rFonts w:eastAsia="Times New Roman" w:cs="Calibri"/>
                <w:b/>
                <w:bCs/>
                <w:color w:val="000000"/>
                <w:sz w:val="22"/>
                <w:szCs w:val="22"/>
                <w:lang w:val="es-CO" w:eastAsia="es-CO"/>
              </w:rPr>
            </w:pPr>
            <w:r w:rsidRPr="005503B4">
              <w:rPr>
                <w:rFonts w:eastAsia="Times New Roman" w:cs="Calibri"/>
                <w:b/>
                <w:bCs/>
                <w:color w:val="000000"/>
                <w:sz w:val="22"/>
                <w:szCs w:val="22"/>
                <w:lang w:val="es-CO" w:eastAsia="es-CO"/>
              </w:rPr>
              <w:t> </w:t>
            </w:r>
          </w:p>
        </w:tc>
      </w:tr>
      <w:tr w:rsidR="00DE5E62" w:rsidRPr="005503B4" w14:paraId="37F1EEF4"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0F3A1AD" w14:textId="77777777" w:rsidR="00DE5E62" w:rsidRPr="005503B4" w:rsidRDefault="00DE5E62" w:rsidP="00DF66C8">
            <w:pPr>
              <w:spacing w:before="0" w:after="0" w:line="240" w:lineRule="auto"/>
              <w:ind w:firstLineChars="200" w:firstLine="400"/>
              <w:jc w:val="left"/>
              <w:rPr>
                <w:rFonts w:eastAsia="Times New Roman" w:cs="Calibri"/>
                <w:color w:val="000000"/>
                <w:sz w:val="20"/>
                <w:szCs w:val="20"/>
                <w:lang w:val="es-CO" w:eastAsia="es-CO"/>
              </w:rPr>
            </w:pPr>
            <w:r w:rsidRPr="005503B4">
              <w:rPr>
                <w:rFonts w:eastAsia="Times New Roman" w:cs="Calibri"/>
                <w:color w:val="000000"/>
                <w:sz w:val="20"/>
                <w:szCs w:val="20"/>
                <w:lang w:val="es-CO" w:eastAsia="es-CO"/>
              </w:rPr>
              <w:t>Internacional Entrante</w:t>
            </w:r>
          </w:p>
        </w:tc>
        <w:tc>
          <w:tcPr>
            <w:tcW w:w="1276" w:type="dxa"/>
            <w:tcBorders>
              <w:top w:val="single" w:sz="4" w:space="0" w:color="D9D9D9"/>
              <w:left w:val="nil"/>
              <w:bottom w:val="single" w:sz="4" w:space="0" w:color="D9D9D9"/>
              <w:right w:val="single" w:sz="4" w:space="0" w:color="D9D9D9"/>
            </w:tcBorders>
            <w:shd w:val="clear" w:color="000000" w:fill="FFFFFF"/>
            <w:noWrap/>
            <w:vAlign w:val="bottom"/>
            <w:hideMark/>
          </w:tcPr>
          <w:p w14:paraId="6D8E27A9"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0,65%</w:t>
            </w:r>
          </w:p>
        </w:tc>
        <w:tc>
          <w:tcPr>
            <w:tcW w:w="1275" w:type="dxa"/>
            <w:tcBorders>
              <w:top w:val="single" w:sz="4" w:space="0" w:color="D9D9D9"/>
              <w:left w:val="nil"/>
              <w:bottom w:val="single" w:sz="4" w:space="0" w:color="D9D9D9"/>
              <w:right w:val="single" w:sz="4" w:space="0" w:color="D9D9D9"/>
            </w:tcBorders>
            <w:shd w:val="clear" w:color="000000" w:fill="FFFFFF"/>
            <w:noWrap/>
            <w:vAlign w:val="bottom"/>
            <w:hideMark/>
          </w:tcPr>
          <w:p w14:paraId="019478FB"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99,35%</w:t>
            </w:r>
          </w:p>
        </w:tc>
      </w:tr>
      <w:tr w:rsidR="00DE5E62" w:rsidRPr="005503B4" w14:paraId="77EB3402"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768E234" w14:textId="77777777" w:rsidR="00DE5E62" w:rsidRPr="005503B4" w:rsidRDefault="00DE5E62" w:rsidP="00DF66C8">
            <w:pPr>
              <w:spacing w:before="0" w:after="0" w:line="240" w:lineRule="auto"/>
              <w:ind w:firstLineChars="200" w:firstLine="400"/>
              <w:jc w:val="left"/>
              <w:rPr>
                <w:rFonts w:eastAsia="Times New Roman" w:cs="Calibri"/>
                <w:color w:val="000000"/>
                <w:sz w:val="20"/>
                <w:szCs w:val="20"/>
                <w:lang w:val="es-CO" w:eastAsia="es-CO"/>
              </w:rPr>
            </w:pPr>
            <w:r w:rsidRPr="005503B4">
              <w:rPr>
                <w:rFonts w:eastAsia="Times New Roman" w:cs="Calibri"/>
                <w:color w:val="000000"/>
                <w:sz w:val="20"/>
                <w:szCs w:val="20"/>
                <w:lang w:val="es-CO" w:eastAsia="es-CO"/>
              </w:rPr>
              <w:t>Internacional Entrante - Encomiendas</w:t>
            </w:r>
          </w:p>
        </w:tc>
        <w:tc>
          <w:tcPr>
            <w:tcW w:w="1276" w:type="dxa"/>
            <w:tcBorders>
              <w:top w:val="nil"/>
              <w:left w:val="nil"/>
              <w:bottom w:val="single" w:sz="4" w:space="0" w:color="D9D9D9"/>
              <w:right w:val="single" w:sz="4" w:space="0" w:color="D9D9D9"/>
            </w:tcBorders>
            <w:shd w:val="clear" w:color="000000" w:fill="FFFFFF"/>
            <w:noWrap/>
            <w:vAlign w:val="bottom"/>
            <w:hideMark/>
          </w:tcPr>
          <w:p w14:paraId="6DBAC8D8"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p>
        </w:tc>
        <w:tc>
          <w:tcPr>
            <w:tcW w:w="1275" w:type="dxa"/>
            <w:tcBorders>
              <w:top w:val="nil"/>
              <w:left w:val="nil"/>
              <w:bottom w:val="single" w:sz="4" w:space="0" w:color="D9D9D9"/>
              <w:right w:val="single" w:sz="4" w:space="0" w:color="D9D9D9"/>
            </w:tcBorders>
            <w:shd w:val="clear" w:color="000000" w:fill="FFFFFF"/>
            <w:noWrap/>
            <w:vAlign w:val="bottom"/>
            <w:hideMark/>
          </w:tcPr>
          <w:p w14:paraId="31B7EC26"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100,0% </w:t>
            </w:r>
          </w:p>
        </w:tc>
      </w:tr>
      <w:tr w:rsidR="00DE5E62" w:rsidRPr="005503B4" w14:paraId="27C0C4BB"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5373880" w14:textId="77777777" w:rsidR="00DE5E62" w:rsidRPr="005503B4" w:rsidRDefault="00DE5E62" w:rsidP="00DF66C8">
            <w:pPr>
              <w:spacing w:before="0" w:after="0" w:line="240" w:lineRule="auto"/>
              <w:ind w:firstLineChars="200" w:firstLine="400"/>
              <w:jc w:val="left"/>
              <w:rPr>
                <w:rFonts w:eastAsia="Times New Roman" w:cs="Calibri"/>
                <w:color w:val="000000"/>
                <w:sz w:val="20"/>
                <w:szCs w:val="20"/>
                <w:lang w:val="es-CO" w:eastAsia="es-CO"/>
              </w:rPr>
            </w:pPr>
            <w:r w:rsidRPr="005503B4">
              <w:rPr>
                <w:rFonts w:eastAsia="Times New Roman" w:cs="Calibri"/>
                <w:color w:val="000000"/>
                <w:sz w:val="20"/>
                <w:szCs w:val="20"/>
                <w:lang w:val="es-CO" w:eastAsia="es-CO"/>
              </w:rPr>
              <w:t>Internacional Saliente</w:t>
            </w:r>
          </w:p>
        </w:tc>
        <w:tc>
          <w:tcPr>
            <w:tcW w:w="1276" w:type="dxa"/>
            <w:tcBorders>
              <w:top w:val="nil"/>
              <w:left w:val="nil"/>
              <w:bottom w:val="single" w:sz="4" w:space="0" w:color="D9D9D9"/>
              <w:right w:val="single" w:sz="4" w:space="0" w:color="D9D9D9"/>
            </w:tcBorders>
            <w:shd w:val="clear" w:color="000000" w:fill="FFFFFF"/>
            <w:noWrap/>
            <w:vAlign w:val="bottom"/>
            <w:hideMark/>
          </w:tcPr>
          <w:p w14:paraId="027F3F13"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73,37%</w:t>
            </w:r>
          </w:p>
        </w:tc>
        <w:tc>
          <w:tcPr>
            <w:tcW w:w="1275" w:type="dxa"/>
            <w:tcBorders>
              <w:top w:val="nil"/>
              <w:left w:val="nil"/>
              <w:bottom w:val="single" w:sz="4" w:space="0" w:color="D9D9D9"/>
              <w:right w:val="single" w:sz="4" w:space="0" w:color="D9D9D9"/>
            </w:tcBorders>
            <w:shd w:val="clear" w:color="000000" w:fill="FFFFFF"/>
            <w:noWrap/>
            <w:vAlign w:val="bottom"/>
            <w:hideMark/>
          </w:tcPr>
          <w:p w14:paraId="66A374B2"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26,63%</w:t>
            </w:r>
          </w:p>
        </w:tc>
      </w:tr>
      <w:tr w:rsidR="00DE5E62" w:rsidRPr="005503B4" w14:paraId="46440A69"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9481247" w14:textId="77777777" w:rsidR="00DE5E62" w:rsidRPr="005503B4" w:rsidRDefault="00DE5E62" w:rsidP="00DF66C8">
            <w:pPr>
              <w:spacing w:before="0" w:after="0" w:line="240" w:lineRule="auto"/>
              <w:ind w:firstLineChars="200" w:firstLine="400"/>
              <w:jc w:val="left"/>
              <w:rPr>
                <w:rFonts w:eastAsia="Times New Roman" w:cs="Calibri"/>
                <w:color w:val="000000"/>
                <w:sz w:val="20"/>
                <w:szCs w:val="20"/>
                <w:lang w:val="es-CO" w:eastAsia="es-CO"/>
              </w:rPr>
            </w:pPr>
            <w:r w:rsidRPr="005503B4">
              <w:rPr>
                <w:rFonts w:eastAsia="Times New Roman" w:cs="Calibri"/>
                <w:color w:val="000000"/>
                <w:sz w:val="20"/>
                <w:szCs w:val="20"/>
                <w:lang w:val="es-CO" w:eastAsia="es-CO"/>
              </w:rPr>
              <w:t>Internacional Saliente - Encomiendas</w:t>
            </w:r>
          </w:p>
        </w:tc>
        <w:tc>
          <w:tcPr>
            <w:tcW w:w="1276" w:type="dxa"/>
            <w:tcBorders>
              <w:top w:val="nil"/>
              <w:left w:val="nil"/>
              <w:bottom w:val="single" w:sz="4" w:space="0" w:color="D9D9D9"/>
              <w:right w:val="single" w:sz="4" w:space="0" w:color="D9D9D9"/>
            </w:tcBorders>
            <w:shd w:val="clear" w:color="000000" w:fill="FFFFFF"/>
            <w:noWrap/>
            <w:vAlign w:val="bottom"/>
            <w:hideMark/>
          </w:tcPr>
          <w:p w14:paraId="4CF1E730"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100,00%</w:t>
            </w:r>
          </w:p>
        </w:tc>
        <w:tc>
          <w:tcPr>
            <w:tcW w:w="1275" w:type="dxa"/>
            <w:tcBorders>
              <w:top w:val="nil"/>
              <w:left w:val="nil"/>
              <w:bottom w:val="single" w:sz="4" w:space="0" w:color="D9D9D9"/>
              <w:right w:val="single" w:sz="4" w:space="0" w:color="D9D9D9"/>
            </w:tcBorders>
            <w:shd w:val="clear" w:color="000000" w:fill="FFFFFF"/>
            <w:noWrap/>
            <w:vAlign w:val="bottom"/>
            <w:hideMark/>
          </w:tcPr>
          <w:p w14:paraId="773EFB85"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 </w:t>
            </w:r>
          </w:p>
        </w:tc>
      </w:tr>
      <w:tr w:rsidR="00DE5E62" w:rsidRPr="005503B4" w14:paraId="36BA6430"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B5049F8" w14:textId="77777777" w:rsidR="00DE5E62" w:rsidRPr="005503B4" w:rsidRDefault="00DE5E62" w:rsidP="00DF66C8">
            <w:pPr>
              <w:spacing w:before="0" w:after="0" w:line="240" w:lineRule="auto"/>
              <w:ind w:firstLineChars="200" w:firstLine="400"/>
              <w:jc w:val="left"/>
              <w:rPr>
                <w:rFonts w:eastAsia="Times New Roman" w:cs="Calibri"/>
                <w:color w:val="000000"/>
                <w:sz w:val="20"/>
                <w:szCs w:val="20"/>
                <w:lang w:val="es-CO" w:eastAsia="es-CO"/>
              </w:rPr>
            </w:pPr>
            <w:r w:rsidRPr="005503B4">
              <w:rPr>
                <w:rFonts w:eastAsia="Times New Roman" w:cs="Calibri"/>
                <w:color w:val="000000"/>
                <w:sz w:val="20"/>
                <w:szCs w:val="20"/>
                <w:lang w:val="es-CO" w:eastAsia="es-CO"/>
              </w:rPr>
              <w:t>Nacional</w:t>
            </w:r>
          </w:p>
        </w:tc>
        <w:tc>
          <w:tcPr>
            <w:tcW w:w="1276" w:type="dxa"/>
            <w:tcBorders>
              <w:top w:val="nil"/>
              <w:left w:val="nil"/>
              <w:bottom w:val="single" w:sz="4" w:space="0" w:color="D9D9D9"/>
              <w:right w:val="single" w:sz="4" w:space="0" w:color="D9D9D9"/>
            </w:tcBorders>
            <w:shd w:val="clear" w:color="000000" w:fill="FFFFFF"/>
            <w:noWrap/>
            <w:vAlign w:val="bottom"/>
            <w:hideMark/>
          </w:tcPr>
          <w:p w14:paraId="1232712F"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32,45%</w:t>
            </w:r>
          </w:p>
        </w:tc>
        <w:tc>
          <w:tcPr>
            <w:tcW w:w="1275" w:type="dxa"/>
            <w:tcBorders>
              <w:top w:val="nil"/>
              <w:left w:val="nil"/>
              <w:bottom w:val="single" w:sz="4" w:space="0" w:color="D9D9D9"/>
              <w:right w:val="single" w:sz="4" w:space="0" w:color="D9D9D9"/>
            </w:tcBorders>
            <w:shd w:val="clear" w:color="000000" w:fill="FFFFFF"/>
            <w:noWrap/>
            <w:vAlign w:val="bottom"/>
            <w:hideMark/>
          </w:tcPr>
          <w:p w14:paraId="342CD37E"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67,55%</w:t>
            </w:r>
          </w:p>
        </w:tc>
      </w:tr>
      <w:tr w:rsidR="00DE5E62" w:rsidRPr="005503B4" w14:paraId="317DA6A0"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7A24FFE" w14:textId="77777777" w:rsidR="00DE5E62" w:rsidRPr="005503B4" w:rsidRDefault="00DE5E62" w:rsidP="00DF66C8">
            <w:pPr>
              <w:spacing w:before="0" w:after="0" w:line="240" w:lineRule="auto"/>
              <w:ind w:firstLineChars="200" w:firstLine="400"/>
              <w:jc w:val="left"/>
              <w:rPr>
                <w:rFonts w:eastAsia="Times New Roman" w:cs="Calibri"/>
                <w:color w:val="000000"/>
                <w:sz w:val="20"/>
                <w:szCs w:val="20"/>
                <w:lang w:val="es-CO" w:eastAsia="es-CO"/>
              </w:rPr>
            </w:pPr>
            <w:r w:rsidRPr="005503B4">
              <w:rPr>
                <w:rFonts w:eastAsia="Times New Roman" w:cs="Calibri"/>
                <w:color w:val="000000"/>
                <w:sz w:val="20"/>
                <w:szCs w:val="20"/>
                <w:lang w:val="es-CO" w:eastAsia="es-CO"/>
              </w:rPr>
              <w:t>Nacional - Encomiendas</w:t>
            </w:r>
          </w:p>
        </w:tc>
        <w:tc>
          <w:tcPr>
            <w:tcW w:w="1276" w:type="dxa"/>
            <w:tcBorders>
              <w:top w:val="nil"/>
              <w:left w:val="nil"/>
              <w:bottom w:val="single" w:sz="4" w:space="0" w:color="D9D9D9"/>
              <w:right w:val="single" w:sz="4" w:space="0" w:color="D9D9D9"/>
            </w:tcBorders>
            <w:shd w:val="clear" w:color="000000" w:fill="FFFFFF"/>
            <w:noWrap/>
            <w:vAlign w:val="bottom"/>
            <w:hideMark/>
          </w:tcPr>
          <w:p w14:paraId="18E392DA"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32,00%</w:t>
            </w:r>
          </w:p>
        </w:tc>
        <w:tc>
          <w:tcPr>
            <w:tcW w:w="1275" w:type="dxa"/>
            <w:tcBorders>
              <w:top w:val="nil"/>
              <w:left w:val="nil"/>
              <w:bottom w:val="single" w:sz="4" w:space="0" w:color="D9D9D9"/>
              <w:right w:val="single" w:sz="4" w:space="0" w:color="D9D9D9"/>
            </w:tcBorders>
            <w:shd w:val="clear" w:color="000000" w:fill="FFFFFF"/>
            <w:noWrap/>
            <w:vAlign w:val="bottom"/>
            <w:hideMark/>
          </w:tcPr>
          <w:p w14:paraId="6D8564EC"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68,00%</w:t>
            </w:r>
          </w:p>
        </w:tc>
      </w:tr>
      <w:tr w:rsidR="00DE5E62" w:rsidRPr="005503B4" w14:paraId="67AB1AEA"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C6E0963" w14:textId="77777777" w:rsidR="00DE5E62" w:rsidRPr="005503B4" w:rsidRDefault="00DE5E62" w:rsidP="00DF66C8">
            <w:pPr>
              <w:spacing w:before="0" w:after="0" w:line="240" w:lineRule="auto"/>
              <w:ind w:firstLineChars="100" w:firstLine="221"/>
              <w:jc w:val="left"/>
              <w:rPr>
                <w:rFonts w:eastAsia="Times New Roman" w:cs="Calibri"/>
                <w:b/>
                <w:bCs/>
                <w:color w:val="000000"/>
                <w:sz w:val="22"/>
                <w:szCs w:val="22"/>
                <w:lang w:val="es-CO" w:eastAsia="es-CO"/>
              </w:rPr>
            </w:pPr>
            <w:r w:rsidRPr="005503B4">
              <w:rPr>
                <w:rFonts w:eastAsia="Times New Roman" w:cs="Calibri"/>
                <w:b/>
                <w:bCs/>
                <w:color w:val="000000"/>
                <w:sz w:val="22"/>
                <w:szCs w:val="22"/>
                <w:lang w:val="es-CO" w:eastAsia="es-CO"/>
              </w:rPr>
              <w:t>Masivos</w:t>
            </w:r>
          </w:p>
        </w:tc>
        <w:tc>
          <w:tcPr>
            <w:tcW w:w="1276" w:type="dxa"/>
            <w:tcBorders>
              <w:top w:val="nil"/>
              <w:left w:val="nil"/>
              <w:bottom w:val="nil"/>
              <w:right w:val="nil"/>
            </w:tcBorders>
            <w:shd w:val="clear" w:color="000000" w:fill="FFFFFF"/>
            <w:noWrap/>
            <w:vAlign w:val="bottom"/>
            <w:hideMark/>
          </w:tcPr>
          <w:p w14:paraId="646AFCD2" w14:textId="77777777" w:rsidR="00DE5E62" w:rsidRPr="005503B4" w:rsidRDefault="00DE5E62" w:rsidP="00DF66C8">
            <w:pPr>
              <w:spacing w:before="0" w:after="0" w:line="240" w:lineRule="auto"/>
              <w:jc w:val="center"/>
              <w:rPr>
                <w:rFonts w:eastAsia="Times New Roman" w:cs="Calibri"/>
                <w:b/>
                <w:bCs/>
                <w:color w:val="000000"/>
                <w:sz w:val="22"/>
                <w:szCs w:val="22"/>
                <w:lang w:val="es-CO" w:eastAsia="es-CO"/>
              </w:rPr>
            </w:pPr>
            <w:r w:rsidRPr="005503B4">
              <w:rPr>
                <w:rFonts w:eastAsia="Times New Roman" w:cs="Calibri"/>
                <w:b/>
                <w:bCs/>
                <w:color w:val="000000"/>
                <w:sz w:val="22"/>
                <w:szCs w:val="22"/>
                <w:lang w:val="es-CO" w:eastAsia="es-CO"/>
              </w:rPr>
              <w:t> </w:t>
            </w:r>
          </w:p>
        </w:tc>
        <w:tc>
          <w:tcPr>
            <w:tcW w:w="1275" w:type="dxa"/>
            <w:tcBorders>
              <w:top w:val="nil"/>
              <w:left w:val="single" w:sz="4" w:space="0" w:color="D9D9D9"/>
              <w:bottom w:val="single" w:sz="4" w:space="0" w:color="D9D9D9"/>
              <w:right w:val="single" w:sz="4" w:space="0" w:color="D9D9D9"/>
            </w:tcBorders>
            <w:shd w:val="clear" w:color="000000" w:fill="FFFFFF"/>
            <w:noWrap/>
            <w:vAlign w:val="bottom"/>
            <w:hideMark/>
          </w:tcPr>
          <w:p w14:paraId="7771E6AB"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 </w:t>
            </w:r>
          </w:p>
        </w:tc>
      </w:tr>
      <w:tr w:rsidR="00DE5E62" w:rsidRPr="005503B4" w14:paraId="29DEA0E4"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A347952" w14:textId="77777777" w:rsidR="00DE5E62" w:rsidRPr="005503B4" w:rsidRDefault="00DE5E62" w:rsidP="00DF66C8">
            <w:pPr>
              <w:spacing w:before="0" w:after="0" w:line="240" w:lineRule="auto"/>
              <w:ind w:firstLineChars="200" w:firstLine="400"/>
              <w:jc w:val="left"/>
              <w:rPr>
                <w:rFonts w:eastAsia="Times New Roman" w:cs="Calibri"/>
                <w:color w:val="000000"/>
                <w:sz w:val="20"/>
                <w:szCs w:val="20"/>
                <w:lang w:val="es-CO" w:eastAsia="es-CO"/>
              </w:rPr>
            </w:pPr>
            <w:r w:rsidRPr="005503B4">
              <w:rPr>
                <w:rFonts w:eastAsia="Times New Roman" w:cs="Calibri"/>
                <w:color w:val="000000"/>
                <w:sz w:val="20"/>
                <w:szCs w:val="20"/>
                <w:lang w:val="es-CO" w:eastAsia="es-CO"/>
              </w:rPr>
              <w:t>Local</w:t>
            </w:r>
          </w:p>
        </w:tc>
        <w:tc>
          <w:tcPr>
            <w:tcW w:w="1276" w:type="dxa"/>
            <w:tcBorders>
              <w:top w:val="single" w:sz="4" w:space="0" w:color="D9D9D9"/>
              <w:left w:val="nil"/>
              <w:bottom w:val="single" w:sz="4" w:space="0" w:color="D9D9D9"/>
              <w:right w:val="single" w:sz="4" w:space="0" w:color="D9D9D9"/>
            </w:tcBorders>
            <w:shd w:val="clear" w:color="000000" w:fill="FFFFFF"/>
            <w:noWrap/>
            <w:vAlign w:val="bottom"/>
            <w:hideMark/>
          </w:tcPr>
          <w:p w14:paraId="3A1F115C"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 </w:t>
            </w:r>
          </w:p>
        </w:tc>
        <w:tc>
          <w:tcPr>
            <w:tcW w:w="1275" w:type="dxa"/>
            <w:tcBorders>
              <w:top w:val="nil"/>
              <w:left w:val="nil"/>
              <w:bottom w:val="single" w:sz="4" w:space="0" w:color="D9D9D9"/>
              <w:right w:val="single" w:sz="4" w:space="0" w:color="D9D9D9"/>
            </w:tcBorders>
            <w:shd w:val="clear" w:color="000000" w:fill="FFFFFF"/>
            <w:noWrap/>
            <w:vAlign w:val="bottom"/>
            <w:hideMark/>
          </w:tcPr>
          <w:p w14:paraId="54E9D6B4"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100,00%</w:t>
            </w:r>
          </w:p>
        </w:tc>
      </w:tr>
      <w:tr w:rsidR="00DE5E62" w:rsidRPr="005503B4" w14:paraId="11A770FD"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CCF1B13" w14:textId="77777777" w:rsidR="00DE5E62" w:rsidRPr="005503B4" w:rsidRDefault="00DE5E62" w:rsidP="00DF66C8">
            <w:pPr>
              <w:spacing w:before="0" w:after="0" w:line="240" w:lineRule="auto"/>
              <w:ind w:firstLineChars="200" w:firstLine="400"/>
              <w:jc w:val="left"/>
              <w:rPr>
                <w:rFonts w:eastAsia="Times New Roman" w:cs="Calibri"/>
                <w:color w:val="000000"/>
                <w:sz w:val="20"/>
                <w:szCs w:val="20"/>
                <w:lang w:val="es-CO" w:eastAsia="es-CO"/>
              </w:rPr>
            </w:pPr>
            <w:r w:rsidRPr="005503B4">
              <w:rPr>
                <w:rFonts w:eastAsia="Times New Roman" w:cs="Calibri"/>
                <w:color w:val="000000"/>
                <w:sz w:val="20"/>
                <w:szCs w:val="20"/>
                <w:lang w:val="es-CO" w:eastAsia="es-CO"/>
              </w:rPr>
              <w:t>Nacional</w:t>
            </w:r>
          </w:p>
        </w:tc>
        <w:tc>
          <w:tcPr>
            <w:tcW w:w="1276" w:type="dxa"/>
            <w:tcBorders>
              <w:top w:val="nil"/>
              <w:left w:val="nil"/>
              <w:bottom w:val="single" w:sz="4" w:space="0" w:color="D9D9D9"/>
              <w:right w:val="single" w:sz="4" w:space="0" w:color="D9D9D9"/>
            </w:tcBorders>
            <w:shd w:val="clear" w:color="000000" w:fill="FFFFFF"/>
            <w:noWrap/>
            <w:vAlign w:val="bottom"/>
            <w:hideMark/>
          </w:tcPr>
          <w:p w14:paraId="104E965A"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 </w:t>
            </w:r>
          </w:p>
        </w:tc>
        <w:tc>
          <w:tcPr>
            <w:tcW w:w="1275" w:type="dxa"/>
            <w:tcBorders>
              <w:top w:val="nil"/>
              <w:left w:val="nil"/>
              <w:bottom w:val="single" w:sz="4" w:space="0" w:color="D9D9D9"/>
              <w:right w:val="single" w:sz="4" w:space="0" w:color="D9D9D9"/>
            </w:tcBorders>
            <w:shd w:val="clear" w:color="000000" w:fill="FFFFFF"/>
            <w:noWrap/>
            <w:vAlign w:val="bottom"/>
            <w:hideMark/>
          </w:tcPr>
          <w:p w14:paraId="31EAA422"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100,00%</w:t>
            </w:r>
          </w:p>
        </w:tc>
      </w:tr>
      <w:tr w:rsidR="00DE5E62" w:rsidRPr="005503B4" w14:paraId="13E87E47" w14:textId="77777777" w:rsidTr="00DF66C8">
        <w:trPr>
          <w:trHeight w:val="300"/>
        </w:trPr>
        <w:tc>
          <w:tcPr>
            <w:tcW w:w="4111" w:type="dxa"/>
            <w:tcBorders>
              <w:top w:val="nil"/>
              <w:left w:val="single" w:sz="4" w:space="0" w:color="D9D9D9"/>
              <w:bottom w:val="nil"/>
              <w:right w:val="single" w:sz="4" w:space="0" w:color="D9D9D9"/>
            </w:tcBorders>
            <w:shd w:val="clear" w:color="000000" w:fill="F2F2F2"/>
            <w:noWrap/>
            <w:vAlign w:val="bottom"/>
            <w:hideMark/>
          </w:tcPr>
          <w:p w14:paraId="5FA65C12" w14:textId="77777777" w:rsidR="00DE5E62" w:rsidRPr="005503B4" w:rsidRDefault="00DE5E62" w:rsidP="00DF66C8">
            <w:pPr>
              <w:spacing w:before="0" w:after="0" w:line="240" w:lineRule="auto"/>
              <w:jc w:val="center"/>
              <w:rPr>
                <w:rFonts w:eastAsia="Times New Roman" w:cs="Calibri"/>
                <w:b/>
                <w:bCs/>
                <w:color w:val="000000"/>
                <w:sz w:val="22"/>
                <w:szCs w:val="22"/>
                <w:lang w:val="es-CO" w:eastAsia="es-CO"/>
              </w:rPr>
            </w:pPr>
            <w:r w:rsidRPr="005503B4">
              <w:rPr>
                <w:rFonts w:eastAsia="Times New Roman" w:cs="Calibri"/>
                <w:b/>
                <w:bCs/>
                <w:color w:val="000000"/>
                <w:sz w:val="22"/>
                <w:szCs w:val="22"/>
                <w:lang w:val="es-CO" w:eastAsia="es-CO"/>
              </w:rPr>
              <w:t>EGRESOS</w:t>
            </w:r>
          </w:p>
        </w:tc>
        <w:tc>
          <w:tcPr>
            <w:tcW w:w="1276" w:type="dxa"/>
            <w:tcBorders>
              <w:top w:val="nil"/>
              <w:left w:val="nil"/>
              <w:bottom w:val="nil"/>
              <w:right w:val="nil"/>
            </w:tcBorders>
            <w:shd w:val="clear" w:color="000000" w:fill="FFFFFF"/>
            <w:noWrap/>
            <w:vAlign w:val="bottom"/>
            <w:hideMark/>
          </w:tcPr>
          <w:p w14:paraId="0C27074B" w14:textId="77777777" w:rsidR="00DE5E62" w:rsidRPr="005503B4" w:rsidRDefault="00DE5E62" w:rsidP="00DF66C8">
            <w:pPr>
              <w:spacing w:before="0" w:after="0" w:line="240" w:lineRule="auto"/>
              <w:jc w:val="left"/>
              <w:rPr>
                <w:rFonts w:eastAsia="Times New Roman" w:cs="Calibri"/>
                <w:color w:val="000000"/>
                <w:sz w:val="22"/>
                <w:szCs w:val="22"/>
                <w:lang w:val="es-CO" w:eastAsia="es-CO"/>
              </w:rPr>
            </w:pPr>
            <w:r w:rsidRPr="005503B4">
              <w:rPr>
                <w:rFonts w:eastAsia="Times New Roman" w:cs="Calibri"/>
                <w:color w:val="000000"/>
                <w:sz w:val="22"/>
                <w:szCs w:val="22"/>
                <w:lang w:val="es-CO" w:eastAsia="es-CO"/>
              </w:rPr>
              <w:t> </w:t>
            </w:r>
          </w:p>
        </w:tc>
        <w:tc>
          <w:tcPr>
            <w:tcW w:w="1275" w:type="dxa"/>
            <w:tcBorders>
              <w:top w:val="nil"/>
              <w:left w:val="nil"/>
              <w:bottom w:val="nil"/>
              <w:right w:val="single" w:sz="4" w:space="0" w:color="D9D9D9"/>
            </w:tcBorders>
            <w:shd w:val="clear" w:color="000000" w:fill="FFFFFF"/>
            <w:noWrap/>
            <w:vAlign w:val="bottom"/>
            <w:hideMark/>
          </w:tcPr>
          <w:p w14:paraId="504F792C" w14:textId="77777777" w:rsidR="00DE5E62" w:rsidRPr="005503B4" w:rsidRDefault="00DE5E62" w:rsidP="00DF66C8">
            <w:pPr>
              <w:spacing w:before="0" w:after="0" w:line="240" w:lineRule="auto"/>
              <w:jc w:val="left"/>
              <w:rPr>
                <w:rFonts w:eastAsia="Times New Roman" w:cs="Calibri"/>
                <w:color w:val="000000"/>
                <w:sz w:val="22"/>
                <w:szCs w:val="22"/>
                <w:lang w:val="es-CO" w:eastAsia="es-CO"/>
              </w:rPr>
            </w:pPr>
            <w:r w:rsidRPr="005503B4">
              <w:rPr>
                <w:rFonts w:eastAsia="Times New Roman" w:cs="Calibri"/>
                <w:color w:val="000000"/>
                <w:sz w:val="22"/>
                <w:szCs w:val="22"/>
                <w:lang w:val="es-CO" w:eastAsia="es-CO"/>
              </w:rPr>
              <w:t> </w:t>
            </w:r>
          </w:p>
        </w:tc>
      </w:tr>
      <w:tr w:rsidR="00DE5E62" w:rsidRPr="005503B4" w14:paraId="08F67875"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94135D8" w14:textId="77777777" w:rsidR="00DE5E62" w:rsidRPr="005503B4" w:rsidRDefault="00DE5E62" w:rsidP="00DF66C8">
            <w:pPr>
              <w:spacing w:before="0" w:after="0" w:line="240" w:lineRule="auto"/>
              <w:ind w:firstLineChars="100" w:firstLine="200"/>
              <w:jc w:val="left"/>
              <w:rPr>
                <w:rFonts w:eastAsia="Times New Roman" w:cs="Calibri"/>
                <w:color w:val="000000"/>
                <w:sz w:val="20"/>
                <w:szCs w:val="20"/>
                <w:lang w:val="es-CO" w:eastAsia="es-CO"/>
              </w:rPr>
            </w:pPr>
            <w:r w:rsidRPr="005503B4">
              <w:rPr>
                <w:rFonts w:eastAsia="Times New Roman" w:cs="Calibri"/>
                <w:color w:val="000000"/>
                <w:sz w:val="20"/>
                <w:szCs w:val="20"/>
                <w:lang w:val="es-CO" w:eastAsia="es-CO"/>
              </w:rPr>
              <w:t>Costos</w:t>
            </w:r>
          </w:p>
        </w:tc>
        <w:tc>
          <w:tcPr>
            <w:tcW w:w="1276" w:type="dxa"/>
            <w:tcBorders>
              <w:top w:val="single" w:sz="4" w:space="0" w:color="D9D9D9"/>
              <w:left w:val="nil"/>
              <w:bottom w:val="single" w:sz="4" w:space="0" w:color="D9D9D9"/>
              <w:right w:val="single" w:sz="4" w:space="0" w:color="D9D9D9"/>
            </w:tcBorders>
            <w:shd w:val="clear" w:color="000000" w:fill="FFFFFF"/>
            <w:noWrap/>
            <w:vAlign w:val="bottom"/>
            <w:hideMark/>
          </w:tcPr>
          <w:p w14:paraId="35BB8752"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7,90%</w:t>
            </w:r>
          </w:p>
        </w:tc>
        <w:tc>
          <w:tcPr>
            <w:tcW w:w="1275" w:type="dxa"/>
            <w:tcBorders>
              <w:top w:val="single" w:sz="4" w:space="0" w:color="D9D9D9"/>
              <w:left w:val="nil"/>
              <w:bottom w:val="single" w:sz="4" w:space="0" w:color="D9D9D9"/>
              <w:right w:val="single" w:sz="4" w:space="0" w:color="D9D9D9"/>
            </w:tcBorders>
            <w:shd w:val="clear" w:color="000000" w:fill="FFFFFF"/>
            <w:noWrap/>
            <w:vAlign w:val="bottom"/>
            <w:hideMark/>
          </w:tcPr>
          <w:p w14:paraId="7643252F"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92,10%</w:t>
            </w:r>
          </w:p>
        </w:tc>
      </w:tr>
      <w:tr w:rsidR="00DE5E62" w:rsidRPr="005503B4" w14:paraId="1FEB2DAA" w14:textId="77777777" w:rsidTr="00DF66C8">
        <w:trPr>
          <w:trHeight w:val="300"/>
        </w:trPr>
        <w:tc>
          <w:tcPr>
            <w:tcW w:w="4111"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277E80F" w14:textId="77777777" w:rsidR="00DE5E62" w:rsidRPr="005503B4" w:rsidRDefault="00DE5E62" w:rsidP="00DF66C8">
            <w:pPr>
              <w:spacing w:before="0" w:after="0" w:line="240" w:lineRule="auto"/>
              <w:ind w:firstLineChars="100" w:firstLine="200"/>
              <w:jc w:val="left"/>
              <w:rPr>
                <w:rFonts w:eastAsia="Times New Roman" w:cs="Calibri"/>
                <w:color w:val="000000"/>
                <w:sz w:val="20"/>
                <w:szCs w:val="20"/>
                <w:lang w:val="es-CO" w:eastAsia="es-CO"/>
              </w:rPr>
            </w:pPr>
            <w:r w:rsidRPr="005503B4">
              <w:rPr>
                <w:rFonts w:eastAsia="Times New Roman" w:cs="Calibri"/>
                <w:color w:val="000000"/>
                <w:sz w:val="20"/>
                <w:szCs w:val="20"/>
                <w:lang w:val="es-CO" w:eastAsia="es-CO"/>
              </w:rPr>
              <w:t>Gastos</w:t>
            </w:r>
          </w:p>
        </w:tc>
        <w:tc>
          <w:tcPr>
            <w:tcW w:w="1276" w:type="dxa"/>
            <w:tcBorders>
              <w:top w:val="nil"/>
              <w:left w:val="nil"/>
              <w:bottom w:val="single" w:sz="4" w:space="0" w:color="D9D9D9"/>
              <w:right w:val="single" w:sz="4" w:space="0" w:color="D9D9D9"/>
            </w:tcBorders>
            <w:shd w:val="clear" w:color="000000" w:fill="FFFFFF"/>
            <w:noWrap/>
            <w:vAlign w:val="bottom"/>
            <w:hideMark/>
          </w:tcPr>
          <w:p w14:paraId="7D0E7331"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9,08%</w:t>
            </w:r>
          </w:p>
        </w:tc>
        <w:tc>
          <w:tcPr>
            <w:tcW w:w="1275" w:type="dxa"/>
            <w:tcBorders>
              <w:top w:val="nil"/>
              <w:left w:val="nil"/>
              <w:bottom w:val="single" w:sz="4" w:space="0" w:color="D9D9D9"/>
              <w:right w:val="single" w:sz="4" w:space="0" w:color="D9D9D9"/>
            </w:tcBorders>
            <w:shd w:val="clear" w:color="000000" w:fill="FFFFFF"/>
            <w:noWrap/>
            <w:vAlign w:val="bottom"/>
            <w:hideMark/>
          </w:tcPr>
          <w:p w14:paraId="2E6626CC" w14:textId="77777777" w:rsidR="00DE5E62" w:rsidRPr="005503B4" w:rsidRDefault="00DE5E62" w:rsidP="00DF66C8">
            <w:pPr>
              <w:spacing w:before="0" w:after="0" w:line="240" w:lineRule="auto"/>
              <w:jc w:val="center"/>
              <w:rPr>
                <w:rFonts w:eastAsia="Times New Roman" w:cs="Calibri"/>
                <w:color w:val="000000"/>
                <w:sz w:val="20"/>
                <w:szCs w:val="20"/>
                <w:lang w:val="es-CO" w:eastAsia="es-CO"/>
              </w:rPr>
            </w:pPr>
            <w:r w:rsidRPr="005503B4">
              <w:rPr>
                <w:rFonts w:eastAsia="Times New Roman" w:cs="Calibri"/>
                <w:color w:val="000000"/>
                <w:sz w:val="20"/>
                <w:szCs w:val="20"/>
                <w:lang w:val="es-CO" w:eastAsia="es-CO"/>
              </w:rPr>
              <w:t>90,92%</w:t>
            </w:r>
          </w:p>
        </w:tc>
      </w:tr>
    </w:tbl>
    <w:p w14:paraId="1C438629" w14:textId="77777777" w:rsidR="00DE5E62" w:rsidRPr="005503B4" w:rsidRDefault="00DE5E62" w:rsidP="00DE5E62">
      <w:pPr>
        <w:pStyle w:val="FuentedeGrfica"/>
        <w:ind w:left="1701" w:right="1132" w:hanging="708"/>
      </w:pPr>
      <w:r w:rsidRPr="005503B4">
        <w:t>Fuente: Modelo de costos ABC de SPN. Hojas en EXCEL e informe entregado al Ministerio por parte de esa empresa.</w:t>
      </w:r>
    </w:p>
    <w:p w14:paraId="657E9D99" w14:textId="6D78D963" w:rsidR="00DE5E62" w:rsidRDefault="00DE5E62" w:rsidP="00DE5E62">
      <w:pPr>
        <w:pStyle w:val="Ttulo4"/>
      </w:pPr>
      <w:bookmarkStart w:id="302" w:name="_Toc104272164"/>
      <w:r w:rsidRPr="005503B4">
        <w:t>Otros recursos del SPU.</w:t>
      </w:r>
      <w:bookmarkEnd w:id="302"/>
    </w:p>
    <w:p w14:paraId="4570D418" w14:textId="3FD06311" w:rsidR="00DE5E62" w:rsidRPr="005503B4" w:rsidRDefault="7A2FD137" w:rsidP="00DE5E62">
      <w:r w:rsidRPr="005503B4">
        <w:t>Con base en los ponderadores que se observan en la Tabla 7-1 anterior, del total de los ingresos operacionales por servicios de SPN, se determinan los ingresos del SPU. Tomando como base la estimación de ingresos de SPN, el valor estimado de los ingresos atribuibles al SPU oscilarán entre $21.965 millones en 2021 y $</w:t>
      </w:r>
      <w:r w:rsidR="0013260D">
        <w:t>25.005</w:t>
      </w:r>
      <w:r w:rsidRPr="005503B4">
        <w:t xml:space="preserve"> millones en 202</w:t>
      </w:r>
      <w:r w:rsidR="0013260D">
        <w:t>4</w:t>
      </w:r>
      <w:r w:rsidRPr="005503B4">
        <w:t>. En la gráfica que se ilustra a continuación se puede apreciar su evolución.</w:t>
      </w:r>
    </w:p>
    <w:p w14:paraId="5487AFC8" w14:textId="271575AC" w:rsidR="0056034C" w:rsidRPr="005503B4" w:rsidRDefault="0056034C" w:rsidP="0056034C">
      <w:pPr>
        <w:pStyle w:val="TITcuadro"/>
      </w:pPr>
      <w:bookmarkStart w:id="303" w:name="_Toc104228739"/>
      <w:r w:rsidRPr="005503B4">
        <w:lastRenderedPageBreak/>
        <w:t xml:space="preserve">Gráfica </w:t>
      </w:r>
      <w:r w:rsidRPr="005503B4">
        <w:fldChar w:fldCharType="begin"/>
      </w:r>
      <w:r w:rsidRPr="005503B4">
        <w:instrText>STYLEREF 1 \s</w:instrText>
      </w:r>
      <w:r w:rsidRPr="005503B4">
        <w:fldChar w:fldCharType="separate"/>
      </w:r>
      <w:r w:rsidR="00C57FCA">
        <w:rPr>
          <w:noProof/>
        </w:rPr>
        <w:t>7</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3</w:t>
      </w:r>
      <w:r w:rsidRPr="005503B4">
        <w:fldChar w:fldCharType="end"/>
      </w:r>
      <w:r w:rsidRPr="005503B4">
        <w:t xml:space="preserve"> – Ingresos de S</w:t>
      </w:r>
      <w:r w:rsidR="00696F1A">
        <w:t xml:space="preserve">ervicios </w:t>
      </w:r>
      <w:r w:rsidRPr="005503B4">
        <w:t>P</w:t>
      </w:r>
      <w:r w:rsidR="00696F1A">
        <w:t xml:space="preserve">ostales </w:t>
      </w:r>
      <w:r w:rsidRPr="005503B4">
        <w:t>N</w:t>
      </w:r>
      <w:r w:rsidR="00696F1A">
        <w:t>a</w:t>
      </w:r>
      <w:r w:rsidR="006168CD">
        <w:t>cionales</w:t>
      </w:r>
      <w:r w:rsidRPr="005503B4">
        <w:t xml:space="preserve"> e ingresos imputados al S</w:t>
      </w:r>
      <w:r w:rsidR="006168CD">
        <w:t xml:space="preserve">ervicio </w:t>
      </w:r>
      <w:r w:rsidRPr="005503B4">
        <w:t>P</w:t>
      </w:r>
      <w:r w:rsidR="006168CD">
        <w:t xml:space="preserve">ostal Universal </w:t>
      </w:r>
      <w:r w:rsidRPr="005503B4">
        <w:rPr>
          <w:sz w:val="18"/>
        </w:rPr>
        <w:t xml:space="preserve">(Millones de </w:t>
      </w:r>
      <w:r w:rsidR="006168CD">
        <w:rPr>
          <w:sz w:val="18"/>
        </w:rPr>
        <w:t>pesos</w:t>
      </w:r>
      <w:r w:rsidRPr="005503B4">
        <w:rPr>
          <w:sz w:val="18"/>
        </w:rPr>
        <w:t xml:space="preserve"> reales de 2021)</w:t>
      </w:r>
      <w:bookmarkEnd w:id="303"/>
    </w:p>
    <w:p w14:paraId="14856A92" w14:textId="3B101DD8" w:rsidR="00DE5E62" w:rsidRPr="005503B4" w:rsidRDefault="00DE5E62" w:rsidP="00ED58CF">
      <w:pPr>
        <w:pStyle w:val="Grfica"/>
      </w:pPr>
      <w:r w:rsidRPr="005503B4">
        <w:rPr>
          <w:noProof/>
          <w:lang w:eastAsia="es-CO"/>
        </w:rPr>
        <w:drawing>
          <wp:inline distT="0" distB="0" distL="0" distR="0" wp14:anchorId="779FF0A8" wp14:editId="2AE7FA3A">
            <wp:extent cx="5362575" cy="2913797"/>
            <wp:effectExtent l="0" t="0" r="9525" b="1270"/>
            <wp:docPr id="469" name="Gráfico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455CDBE" w14:textId="51E788AC" w:rsidR="00ED58CF" w:rsidRDefault="00ED58CF" w:rsidP="00ED58CF">
      <w:pPr>
        <w:pStyle w:val="FuentedeGrfica"/>
      </w:pPr>
      <w:r w:rsidRPr="005503B4">
        <w:t>Fuente: Modelo de costos ABC de SPN. Hojas en EXCEL e informe entregado al Ministerio por parte de esa empresa.</w:t>
      </w:r>
    </w:p>
    <w:p w14:paraId="4ED507A5" w14:textId="6863EF40" w:rsidR="00DE5E62" w:rsidRDefault="00DE5E62" w:rsidP="00DE5E62">
      <w:pPr>
        <w:pStyle w:val="Ttulo3"/>
        <w:rPr>
          <w:rStyle w:val="Ttulo2Car"/>
          <w:smallCaps w:val="0"/>
          <w:color w:val="404040" w:themeColor="text1" w:themeTint="BF"/>
          <w:sz w:val="24"/>
          <w:szCs w:val="24"/>
        </w:rPr>
      </w:pPr>
      <w:bookmarkStart w:id="304" w:name="_Toc102170041"/>
      <w:bookmarkStart w:id="305" w:name="_Toc102393304"/>
      <w:bookmarkStart w:id="306" w:name="_Toc104272165"/>
      <w:bookmarkStart w:id="307" w:name="_Toc102057831"/>
      <w:r w:rsidRPr="005503B4">
        <w:rPr>
          <w:smallCaps/>
        </w:rPr>
        <w:t>Estimación de los costos y gastos de SP</w:t>
      </w:r>
      <w:bookmarkStart w:id="308" w:name="_Toc102057833"/>
      <w:r w:rsidRPr="005503B4">
        <w:rPr>
          <w:smallCaps/>
        </w:rPr>
        <w:t>N y asignación al SPU en el período 2022 – 202</w:t>
      </w:r>
      <w:r w:rsidR="00A3158C">
        <w:rPr>
          <w:smallCaps/>
        </w:rPr>
        <w:t>4</w:t>
      </w:r>
      <w:r w:rsidRPr="005503B4">
        <w:rPr>
          <w:smallCaps/>
        </w:rPr>
        <w:t>.</w:t>
      </w:r>
      <w:bookmarkEnd w:id="304"/>
      <w:bookmarkEnd w:id="305"/>
      <w:bookmarkEnd w:id="306"/>
      <w:bookmarkEnd w:id="308"/>
      <w:r w:rsidRPr="005503B4">
        <w:rPr>
          <w:rStyle w:val="Ttulo2Car"/>
          <w:smallCaps w:val="0"/>
          <w:color w:val="404040" w:themeColor="text1" w:themeTint="BF"/>
          <w:sz w:val="24"/>
          <w:szCs w:val="24"/>
        </w:rPr>
        <w:t xml:space="preserve"> </w:t>
      </w:r>
    </w:p>
    <w:p w14:paraId="5D9323F3" w14:textId="5E091E73" w:rsidR="00DE5E62" w:rsidRPr="005503B4" w:rsidRDefault="7A2FD137" w:rsidP="00DE5E62">
      <w:r w:rsidRPr="005503B4">
        <w:t xml:space="preserve">Siguiendo los ponderadores descritos en la Tabla 7-1, el 7,9% del total de los costos de operación de SPN, se asignan a los envíos del SPU y el 9,08% </w:t>
      </w:r>
      <w:r w:rsidR="001A3E5A" w:rsidRPr="005503B4">
        <w:t>a</w:t>
      </w:r>
      <w:r w:rsidRPr="005503B4">
        <w:t xml:space="preserve"> los gastos de administración y ventas. Tomando como base la estimación de envíos del SPU, el valor estimado de los costos y gastos atribuibles al SPU </w:t>
      </w:r>
      <w:r w:rsidR="00C7346D" w:rsidRPr="005503B4">
        <w:t>oscilarán entre</w:t>
      </w:r>
      <w:r w:rsidRPr="005503B4">
        <w:t xml:space="preserve"> $24.714 millones en 2021 y $</w:t>
      </w:r>
      <w:r w:rsidR="0013260D">
        <w:t>24.176</w:t>
      </w:r>
      <w:r w:rsidRPr="005503B4">
        <w:t xml:space="preserve"> millones en 202</w:t>
      </w:r>
      <w:r w:rsidR="0013260D">
        <w:t>4</w:t>
      </w:r>
      <w:r w:rsidRPr="005503B4">
        <w:t>. En la siguiente gráfica se puede observar la evolución de los costos y gastos.</w:t>
      </w:r>
    </w:p>
    <w:p w14:paraId="34DAD13F" w14:textId="456CC4FB" w:rsidR="00DB51EA" w:rsidRDefault="00DB51EA" w:rsidP="00DB51EA">
      <w:pPr>
        <w:pStyle w:val="TITcuadro"/>
      </w:pPr>
      <w:bookmarkStart w:id="309" w:name="_Toc104228740"/>
      <w:r w:rsidRPr="005503B4">
        <w:lastRenderedPageBreak/>
        <w:t xml:space="preserve">Gráfica </w:t>
      </w:r>
      <w:r w:rsidRPr="005503B4">
        <w:fldChar w:fldCharType="begin"/>
      </w:r>
      <w:r w:rsidRPr="005503B4">
        <w:instrText>STYLEREF 1 \s</w:instrText>
      </w:r>
      <w:r w:rsidRPr="005503B4">
        <w:fldChar w:fldCharType="separate"/>
      </w:r>
      <w:r w:rsidR="00C57FCA">
        <w:rPr>
          <w:noProof/>
        </w:rPr>
        <w:t>7</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4</w:t>
      </w:r>
      <w:r w:rsidRPr="005503B4">
        <w:fldChar w:fldCharType="end"/>
      </w:r>
      <w:r w:rsidRPr="005503B4">
        <w:t xml:space="preserve"> – Costos y gastos de SPN imputados al </w:t>
      </w:r>
      <w:r w:rsidR="006168CD">
        <w:t>SPU</w:t>
      </w:r>
      <w:r w:rsidRPr="005503B4">
        <w:t xml:space="preserve"> (Millones de </w:t>
      </w:r>
      <w:r w:rsidR="006168CD">
        <w:t>pesos</w:t>
      </w:r>
      <w:r w:rsidRPr="005503B4">
        <w:t xml:space="preserve"> reales</w:t>
      </w:r>
      <w:r w:rsidR="006168CD">
        <w:t xml:space="preserve"> de 2021</w:t>
      </w:r>
      <w:r w:rsidRPr="005503B4">
        <w:t>)</w:t>
      </w:r>
      <w:bookmarkEnd w:id="309"/>
    </w:p>
    <w:p w14:paraId="0443EA5D" w14:textId="301ACA23" w:rsidR="00DE5E62" w:rsidRPr="005503B4" w:rsidRDefault="00DE5E62" w:rsidP="00DE5E62">
      <w:r w:rsidRPr="005503B4">
        <w:rPr>
          <w:noProof/>
          <w:lang w:val="es-CO" w:eastAsia="es-CO"/>
        </w:rPr>
        <w:drawing>
          <wp:inline distT="0" distB="0" distL="0" distR="0" wp14:anchorId="3068FAF2" wp14:editId="20775C50">
            <wp:extent cx="5638800" cy="3200400"/>
            <wp:effectExtent l="0" t="0" r="0" b="0"/>
            <wp:docPr id="468" name="Gráfico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EF0C271" w14:textId="77777777" w:rsidR="00DB51EA" w:rsidRPr="005503B4" w:rsidRDefault="00DB51EA" w:rsidP="00DB51EA">
      <w:pPr>
        <w:pStyle w:val="FuentedeGrfica"/>
      </w:pPr>
      <w:r w:rsidRPr="005503B4">
        <w:t>Fuente: Modelo de costos ABC de SPN. Hojas en EXCEL e informe entregado al Ministerio por parte de esa empresa.</w:t>
      </w:r>
    </w:p>
    <w:p w14:paraId="7D32B42D" w14:textId="2F4099AC" w:rsidR="00DE5E62" w:rsidRPr="001D7D11" w:rsidRDefault="00DE5E62" w:rsidP="00DE5E62">
      <w:pPr>
        <w:pStyle w:val="Ttulo3"/>
      </w:pPr>
      <w:bookmarkStart w:id="310" w:name="_Toc102057834"/>
      <w:bookmarkStart w:id="311" w:name="_Toc102170042"/>
      <w:bookmarkStart w:id="312" w:name="_Toc102393305"/>
      <w:bookmarkStart w:id="313" w:name="_Toc104272166"/>
      <w:bookmarkEnd w:id="307"/>
      <w:r w:rsidRPr="005503B4">
        <w:rPr>
          <w:rStyle w:val="Ttulo2Car"/>
        </w:rPr>
        <w:t>Estimación</w:t>
      </w:r>
      <w:r w:rsidRPr="005503B4">
        <w:t xml:space="preserve"> </w:t>
      </w:r>
      <w:r w:rsidRPr="005503B4">
        <w:rPr>
          <w:rStyle w:val="Ttulo2Car"/>
        </w:rPr>
        <w:t xml:space="preserve">del déficit </w:t>
      </w:r>
      <w:r w:rsidRPr="001D7D11">
        <w:rPr>
          <w:rStyle w:val="Ttulo2Car"/>
        </w:rPr>
        <w:t>del SPU para el período 202</w:t>
      </w:r>
      <w:r w:rsidR="00A3158C" w:rsidRPr="001D7D11">
        <w:rPr>
          <w:rStyle w:val="Ttulo2Car"/>
        </w:rPr>
        <w:t>2</w:t>
      </w:r>
      <w:r w:rsidRPr="001D7D11">
        <w:rPr>
          <w:rStyle w:val="Ttulo2Car"/>
        </w:rPr>
        <w:t xml:space="preserve"> – 202</w:t>
      </w:r>
      <w:r w:rsidR="00A3158C" w:rsidRPr="001D7D11">
        <w:rPr>
          <w:rStyle w:val="Ttulo2Car"/>
        </w:rPr>
        <w:t>4</w:t>
      </w:r>
      <w:r w:rsidRPr="001D7D11">
        <w:t>.</w:t>
      </w:r>
      <w:bookmarkEnd w:id="310"/>
      <w:bookmarkEnd w:id="311"/>
      <w:bookmarkEnd w:id="312"/>
      <w:bookmarkEnd w:id="313"/>
    </w:p>
    <w:p w14:paraId="1D37307D" w14:textId="71763C68" w:rsidR="00DE5E62" w:rsidRPr="005503B4" w:rsidRDefault="7A2FD137" w:rsidP="00DE5E62">
      <w:r w:rsidRPr="005503B4">
        <w:t xml:space="preserve">Con base en </w:t>
      </w:r>
      <w:r w:rsidR="005D4B2E">
        <w:t xml:space="preserve">la información de </w:t>
      </w:r>
      <w:r w:rsidRPr="005503B4">
        <w:t>las anteriores secciones, el modelo</w:t>
      </w:r>
      <w:r w:rsidR="3FBBF3BE" w:rsidRPr="005503B4">
        <w:t xml:space="preserve"> de proyección del sector postal, desarrollado por el MinTIC,</w:t>
      </w:r>
      <w:r w:rsidRPr="005503B4">
        <w:t xml:space="preserve"> </w:t>
      </w:r>
      <w:r w:rsidR="005D4B2E">
        <w:t xml:space="preserve">estima el </w:t>
      </w:r>
      <w:r w:rsidRPr="005503B4">
        <w:t>cálculo de</w:t>
      </w:r>
      <w:r w:rsidR="005D4B2E">
        <w:t xml:space="preserve"> la prestación del SPU y su posible déficit,</w:t>
      </w:r>
      <w:r w:rsidRPr="005503B4">
        <w:t xml:space="preserve"> de acuerdo </w:t>
      </w:r>
      <w:r w:rsidRPr="005503B4">
        <w:rPr>
          <w:lang w:val="es-CO"/>
        </w:rPr>
        <w:t xml:space="preserve">con la </w:t>
      </w:r>
      <w:r w:rsidR="00DE5E62" w:rsidRPr="005503B4">
        <w:rPr>
          <w:lang w:val="es-CO"/>
        </w:rPr>
        <w:fldChar w:fldCharType="begin"/>
      </w:r>
      <w:r w:rsidR="00DE5E62" w:rsidRPr="005503B4">
        <w:rPr>
          <w:lang w:val="es-CO"/>
        </w:rPr>
        <w:instrText xml:space="preserve"> REF _Ref101171619 \h </w:instrText>
      </w:r>
      <w:r w:rsidR="005503B4">
        <w:rPr>
          <w:lang w:val="es-CO"/>
        </w:rPr>
        <w:instrText xml:space="preserve"> \* MERGEFORMAT </w:instrText>
      </w:r>
      <w:r w:rsidR="00DE5E62" w:rsidRPr="005503B4">
        <w:rPr>
          <w:lang w:val="es-CO"/>
        </w:rPr>
      </w:r>
      <w:r w:rsidR="00DE5E62" w:rsidRPr="005503B4">
        <w:rPr>
          <w:lang w:val="es-CO"/>
        </w:rPr>
        <w:fldChar w:fldCharType="separate"/>
      </w:r>
      <w:r w:rsidR="00C57FCA" w:rsidRPr="005503B4">
        <w:t xml:space="preserve">Ecuación </w:t>
      </w:r>
      <w:r w:rsidR="00C57FCA">
        <w:rPr>
          <w:noProof/>
        </w:rPr>
        <w:t>4</w:t>
      </w:r>
      <w:r w:rsidR="00C57FCA" w:rsidRPr="005503B4">
        <w:rPr>
          <w:noProof/>
        </w:rPr>
        <w:noBreakHyphen/>
      </w:r>
      <w:r w:rsidR="00C57FCA">
        <w:rPr>
          <w:noProof/>
        </w:rPr>
        <w:t>1</w:t>
      </w:r>
      <w:r w:rsidR="00DE5E62" w:rsidRPr="005503B4">
        <w:rPr>
          <w:lang w:val="es-CO"/>
        </w:rPr>
        <w:fldChar w:fldCharType="end"/>
      </w:r>
      <w:r w:rsidRPr="005503B4">
        <w:t xml:space="preserve">que se presentó en el Capítulo </w:t>
      </w:r>
      <w:r w:rsidR="00DE5E62" w:rsidRPr="005503B4">
        <w:fldChar w:fldCharType="begin"/>
      </w:r>
      <w:r w:rsidR="00DE5E62" w:rsidRPr="005503B4">
        <w:instrText xml:space="preserve"> REF _Ref39479067 \r \h </w:instrText>
      </w:r>
      <w:r w:rsidR="005503B4">
        <w:instrText xml:space="preserve"> \* MERGEFORMAT </w:instrText>
      </w:r>
      <w:r w:rsidR="00DE5E62" w:rsidRPr="005503B4">
        <w:fldChar w:fldCharType="separate"/>
      </w:r>
      <w:r w:rsidR="00C57FCA">
        <w:t>4</w:t>
      </w:r>
      <w:r w:rsidR="00DE5E62" w:rsidRPr="005503B4">
        <w:fldChar w:fldCharType="end"/>
      </w:r>
      <w:r w:rsidRPr="005503B4">
        <w:t xml:space="preserve"> y que se replica a continuación.</w:t>
      </w:r>
    </w:p>
    <w:p w14:paraId="694BF4EA" w14:textId="5702C205" w:rsidR="00DE5E62" w:rsidRPr="005503B4" w:rsidRDefault="7A2FD137" w:rsidP="00DE5E62">
      <w:r w:rsidRPr="005503B4">
        <w:t xml:space="preserve">Recuérdese que en el artículo 7º del </w:t>
      </w:r>
      <w:r w:rsidR="04433D32" w:rsidRPr="005503B4">
        <w:t>D</w:t>
      </w:r>
      <w:r w:rsidRPr="005503B4">
        <w:t xml:space="preserve">ecreto 223 de 2014, </w:t>
      </w:r>
      <w:r w:rsidR="005D4B2E">
        <w:t>contempla</w:t>
      </w:r>
      <w:r w:rsidRPr="005503B4">
        <w:t xml:space="preserve"> la siguiente fórmula para determinar el </w:t>
      </w:r>
      <w:r w:rsidR="005D4B2E">
        <w:t>valor</w:t>
      </w:r>
      <w:r w:rsidR="005D4B2E" w:rsidRPr="005503B4">
        <w:t xml:space="preserve"> </w:t>
      </w:r>
      <w:r w:rsidRPr="005503B4">
        <w:t xml:space="preserve">anual de recursos que deberá transferir el Fondo al OPO por el déficit </w:t>
      </w:r>
      <w:r w:rsidR="005D4B2E">
        <w:t xml:space="preserve">generado en la prestación </w:t>
      </w:r>
      <w:r w:rsidRPr="005503B4">
        <w:t>del SPU:</w:t>
      </w:r>
    </w:p>
    <w:p w14:paraId="21FF961E" w14:textId="77777777" w:rsidR="00DE5E62" w:rsidRPr="005503B4" w:rsidRDefault="00DE5E62" w:rsidP="00DE5E62">
      <m:oMathPara>
        <m:oMath>
          <m:r>
            <w:rPr>
              <w:rFonts w:ascii="Cambria Math" w:hAnsi="Cambria Math"/>
            </w:rPr>
            <m:t xml:space="preserve">Déficit </m:t>
          </m:r>
          <m:d>
            <m:dPr>
              <m:ctrlPr>
                <w:rPr>
                  <w:rFonts w:ascii="Cambria Math" w:hAnsi="Cambria Math"/>
                  <w:i/>
                </w:rPr>
              </m:ctrlPr>
            </m:dPr>
            <m:e>
              <m:r>
                <w:rPr>
                  <w:rFonts w:ascii="Cambria Math" w:hAnsi="Cambria Math"/>
                </w:rPr>
                <m:t>superávit</m:t>
              </m:r>
            </m:e>
          </m:d>
          <m:r>
            <w:rPr>
              <w:rFonts w:ascii="Cambria Math" w:hAnsi="Cambria Math"/>
            </w:rPr>
            <m:t xml:space="preserve"> calculado del SPU =Ingresos del SPU -Costos del SPU</m:t>
          </m:r>
        </m:oMath>
      </m:oMathPara>
    </w:p>
    <w:p w14:paraId="652EBFF5" w14:textId="157A7EA3" w:rsidR="00DE5E62" w:rsidRPr="005503B4" w:rsidRDefault="00DE5E62" w:rsidP="00DE5E62">
      <w:pPr>
        <w:pStyle w:val="Descripcin"/>
      </w:pPr>
      <w:r w:rsidRPr="005503B4">
        <w:t xml:space="preserve">Ecuación </w:t>
      </w:r>
      <w:r w:rsidRPr="005503B4">
        <w:fldChar w:fldCharType="begin"/>
      </w:r>
      <w:r w:rsidRPr="005503B4">
        <w:instrText>STYLEREF 1 \s</w:instrText>
      </w:r>
      <w:r w:rsidRPr="005503B4">
        <w:fldChar w:fldCharType="separate"/>
      </w:r>
      <w:r w:rsidR="00C57FCA">
        <w:rPr>
          <w:noProof/>
        </w:rPr>
        <w:t>7</w:t>
      </w:r>
      <w:r w:rsidRPr="005503B4">
        <w:fldChar w:fldCharType="end"/>
      </w:r>
      <w:r w:rsidRPr="005503B4">
        <w:noBreakHyphen/>
      </w:r>
      <w:r w:rsidRPr="005503B4">
        <w:fldChar w:fldCharType="begin"/>
      </w:r>
      <w:r w:rsidRPr="005503B4">
        <w:instrText>SEQ Ecuación \* ARABIC \s 1</w:instrText>
      </w:r>
      <w:r w:rsidRPr="005503B4">
        <w:fldChar w:fldCharType="separate"/>
      </w:r>
      <w:r w:rsidR="00C57FCA">
        <w:rPr>
          <w:noProof/>
        </w:rPr>
        <w:t>1</w:t>
      </w:r>
      <w:r w:rsidRPr="005503B4">
        <w:fldChar w:fldCharType="end"/>
      </w:r>
      <w:r w:rsidRPr="005503B4">
        <w:t xml:space="preserve"> - Cálculo del déficit del SPU </w:t>
      </w:r>
    </w:p>
    <w:p w14:paraId="4D8709A6" w14:textId="67564469" w:rsidR="00DE5E62" w:rsidRPr="005503B4" w:rsidRDefault="00DE5E62" w:rsidP="00DE5E62">
      <w:pPr>
        <w:rPr>
          <w:lang w:val="es-CO"/>
        </w:rPr>
      </w:pPr>
      <w:r w:rsidRPr="005503B4">
        <w:rPr>
          <w:lang w:val="es-CO"/>
        </w:rPr>
        <w:t xml:space="preserve">A este respecto, </w:t>
      </w:r>
      <w:r w:rsidRPr="005503B4">
        <w:t xml:space="preserve">la </w:t>
      </w:r>
      <w:r w:rsidRPr="005503B4">
        <w:fldChar w:fldCharType="begin"/>
      </w:r>
      <w:r w:rsidRPr="005503B4">
        <w:instrText xml:space="preserve"> REF _Ref102165758 \h </w:instrText>
      </w:r>
      <w:r w:rsidRPr="005503B4">
        <w:fldChar w:fldCharType="separate"/>
      </w:r>
      <w:r w:rsidR="00C57FCA" w:rsidRPr="005503B4">
        <w:t xml:space="preserve">Gráfica </w:t>
      </w:r>
      <w:r w:rsidR="00C57FCA">
        <w:rPr>
          <w:noProof/>
        </w:rPr>
        <w:t>7</w:t>
      </w:r>
      <w:r w:rsidR="00C57FCA" w:rsidRPr="005503B4">
        <w:noBreakHyphen/>
      </w:r>
      <w:r w:rsidR="00C57FCA">
        <w:rPr>
          <w:noProof/>
        </w:rPr>
        <w:t>5</w:t>
      </w:r>
      <w:r w:rsidRPr="005503B4">
        <w:fldChar w:fldCharType="end"/>
      </w:r>
      <w:r w:rsidRPr="005503B4">
        <w:t xml:space="preserve"> que se presentan a continuación cuantifica los elementos fundamentales de dicha ecuación:</w:t>
      </w:r>
    </w:p>
    <w:p w14:paraId="5089F182" w14:textId="26B1676D" w:rsidR="00DE5E62" w:rsidRPr="005503B4" w:rsidRDefault="00DE5E62" w:rsidP="006168CD">
      <w:pPr>
        <w:pStyle w:val="TITcuadro"/>
        <w:ind w:right="565" w:hanging="284"/>
        <w:rPr>
          <w:sz w:val="18"/>
        </w:rPr>
      </w:pPr>
      <w:bookmarkStart w:id="314" w:name="_Ref102165758"/>
      <w:bookmarkStart w:id="315" w:name="_Toc104228741"/>
      <w:r w:rsidRPr="005503B4">
        <w:lastRenderedPageBreak/>
        <w:t xml:space="preserve">Gráfica </w:t>
      </w:r>
      <w:r w:rsidRPr="005503B4">
        <w:fldChar w:fldCharType="begin"/>
      </w:r>
      <w:r w:rsidRPr="005503B4">
        <w:instrText>STYLEREF 1 \s</w:instrText>
      </w:r>
      <w:r w:rsidRPr="005503B4">
        <w:fldChar w:fldCharType="separate"/>
      </w:r>
      <w:r w:rsidR="00C57FCA">
        <w:rPr>
          <w:noProof/>
        </w:rPr>
        <w:t>7</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5</w:t>
      </w:r>
      <w:r w:rsidRPr="005503B4">
        <w:fldChar w:fldCharType="end"/>
      </w:r>
      <w:bookmarkEnd w:id="314"/>
      <w:r w:rsidRPr="005503B4">
        <w:t xml:space="preserve"> – Estimación del déficit del SPU – 2021 – 202</w:t>
      </w:r>
      <w:r w:rsidR="000F0708">
        <w:t>4</w:t>
      </w:r>
      <w:r w:rsidRPr="005503B4">
        <w:t xml:space="preserve"> </w:t>
      </w:r>
      <w:r w:rsidRPr="005503B4">
        <w:rPr>
          <w:sz w:val="18"/>
        </w:rPr>
        <w:t xml:space="preserve">(Millones de </w:t>
      </w:r>
      <w:r w:rsidR="006168CD">
        <w:rPr>
          <w:sz w:val="18"/>
        </w:rPr>
        <w:t>pesos</w:t>
      </w:r>
      <w:r w:rsidRPr="005503B4">
        <w:rPr>
          <w:sz w:val="18"/>
        </w:rPr>
        <w:t xml:space="preserve"> reales </w:t>
      </w:r>
      <w:r w:rsidR="006168CD">
        <w:rPr>
          <w:sz w:val="18"/>
        </w:rPr>
        <w:t xml:space="preserve">de </w:t>
      </w:r>
      <w:r w:rsidRPr="005503B4">
        <w:rPr>
          <w:sz w:val="18"/>
        </w:rPr>
        <w:t xml:space="preserve">diciembre </w:t>
      </w:r>
      <w:r w:rsidR="006168CD">
        <w:rPr>
          <w:sz w:val="18"/>
        </w:rPr>
        <w:t xml:space="preserve">de </w:t>
      </w:r>
      <w:r w:rsidRPr="005503B4">
        <w:rPr>
          <w:sz w:val="18"/>
        </w:rPr>
        <w:t>2021</w:t>
      </w:r>
      <w:r w:rsidR="006168CD">
        <w:rPr>
          <w:sz w:val="18"/>
        </w:rPr>
        <w:t>)</w:t>
      </w:r>
      <w:bookmarkEnd w:id="315"/>
    </w:p>
    <w:p w14:paraId="5702D7A6" w14:textId="77777777" w:rsidR="00DE5E62" w:rsidRPr="005503B4" w:rsidRDefault="00DE5E62" w:rsidP="00DE5E62">
      <w:pPr>
        <w:jc w:val="center"/>
      </w:pPr>
      <w:r w:rsidRPr="005503B4">
        <w:rPr>
          <w:noProof/>
          <w:lang w:val="es-CO" w:eastAsia="es-CO"/>
        </w:rPr>
        <w:drawing>
          <wp:inline distT="0" distB="0" distL="0" distR="0" wp14:anchorId="4DD501BA" wp14:editId="1E1D295A">
            <wp:extent cx="5391150" cy="2879678"/>
            <wp:effectExtent l="0" t="0" r="0" b="16510"/>
            <wp:docPr id="472" name="Gráfico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317E9D3" w14:textId="682D1E93" w:rsidR="00DE5E62" w:rsidRDefault="00DE5E62" w:rsidP="00DE5E62">
      <w:pPr>
        <w:pStyle w:val="FuentedeGrfica"/>
      </w:pPr>
      <w:r w:rsidRPr="005503B4">
        <w:t>FUENTE: Estados financieros de SPN en el período 2016 - 2021. Para la proyección para el período 2022 – 202</w:t>
      </w:r>
      <w:r w:rsidR="0013260D">
        <w:t>4</w:t>
      </w:r>
      <w:r w:rsidRPr="005503B4">
        <w:t xml:space="preserve"> se utilizó el modelo de proyección postal de SPN.</w:t>
      </w:r>
    </w:p>
    <w:p w14:paraId="1F6C61C0" w14:textId="5F4917CB" w:rsidR="00DE5E62" w:rsidRDefault="00DE5E62" w:rsidP="00DE5E62">
      <w:pPr>
        <w:pStyle w:val="Ttulo2"/>
      </w:pPr>
      <w:bookmarkStart w:id="316" w:name="_Toc102170043"/>
      <w:bookmarkStart w:id="317" w:name="_Toc102393306"/>
      <w:bookmarkStart w:id="318" w:name="_Toc104272167"/>
      <w:bookmarkStart w:id="319" w:name="_Toc102057835"/>
      <w:bookmarkEnd w:id="301"/>
      <w:r w:rsidRPr="005503B4">
        <w:t>El flujo de caja del FUTIC</w:t>
      </w:r>
      <w:r w:rsidR="00A3158C" w:rsidRPr="00A3158C">
        <w:t xml:space="preserve"> </w:t>
      </w:r>
      <w:r w:rsidR="00A3158C">
        <w:t xml:space="preserve">en materia </w:t>
      </w:r>
      <w:r w:rsidR="00A3158C" w:rsidRPr="005503B4">
        <w:t>postal</w:t>
      </w:r>
      <w:r w:rsidRPr="005503B4">
        <w:t>. Proyección para el período 2022 – 2024.</w:t>
      </w:r>
      <w:bookmarkEnd w:id="316"/>
      <w:bookmarkEnd w:id="317"/>
      <w:bookmarkEnd w:id="318"/>
    </w:p>
    <w:p w14:paraId="1DA84C7E" w14:textId="0907C2D3" w:rsidR="003841A8" w:rsidRPr="005503B4" w:rsidRDefault="4AB17E04" w:rsidP="00ED58CF">
      <w:r w:rsidRPr="005503B4">
        <w:t xml:space="preserve">En esta sección del capítulo se desarrolla la metodología dirigida a determinar la contraprestación que contempla el modelo. </w:t>
      </w:r>
      <w:r w:rsidR="0012626E">
        <w:t>El valor</w:t>
      </w:r>
      <w:r w:rsidRPr="005503B4">
        <w:t xml:space="preserve"> corresponde a aquella que </w:t>
      </w:r>
      <w:r w:rsidR="6B7CAD2B" w:rsidRPr="005503B4">
        <w:t xml:space="preserve">logra </w:t>
      </w:r>
      <w:r w:rsidRPr="005503B4">
        <w:t>equilibr</w:t>
      </w:r>
      <w:r w:rsidR="6B7CAD2B" w:rsidRPr="005503B4">
        <w:t>ar las finanzas del Fondo, haciendo que</w:t>
      </w:r>
      <w:r w:rsidRPr="005503B4">
        <w:t xml:space="preserve"> el valor presente neto del flujo de caja del fondo para el período 2022</w:t>
      </w:r>
      <w:r w:rsidR="6B7CAD2B" w:rsidRPr="005503B4">
        <w:t xml:space="preserve"> – </w:t>
      </w:r>
      <w:r w:rsidRPr="005503B4">
        <w:t>2024</w:t>
      </w:r>
      <w:r w:rsidR="6B7CAD2B" w:rsidRPr="005503B4">
        <w:t xml:space="preserve"> sea igual a cero</w:t>
      </w:r>
      <w:r w:rsidRPr="005503B4">
        <w:t>.</w:t>
      </w:r>
    </w:p>
    <w:p w14:paraId="6488587A" w14:textId="4FF74805" w:rsidR="00ED58CF" w:rsidRPr="005503B4" w:rsidRDefault="6B7CAD2B" w:rsidP="00ED58CF">
      <w:r w:rsidRPr="005503B4">
        <w:t>Con esto en mente, en e</w:t>
      </w:r>
      <w:r w:rsidR="7A2FD137" w:rsidRPr="005503B4">
        <w:t>ste aparte se analizan los principales componentes de los recursos que recibe el FUTIC del sector postal por concepto de contraprestaciones, así como las transferencias y los pagos que éste</w:t>
      </w:r>
      <w:r w:rsidR="00A44466" w:rsidRPr="005503B4">
        <w:t xml:space="preserve"> </w:t>
      </w:r>
      <w:r w:rsidR="00985243" w:rsidRPr="005503B4">
        <w:t>realiza tanto</w:t>
      </w:r>
      <w:r w:rsidR="7A2FD137" w:rsidRPr="005503B4">
        <w:t xml:space="preserve"> a SPN como a otros agentes, de acuerdo con lo previsto en la Ley 1369 de 2009. </w:t>
      </w:r>
    </w:p>
    <w:p w14:paraId="1BEEC54A" w14:textId="038EC878" w:rsidR="00DE5E62" w:rsidRPr="005503B4" w:rsidRDefault="7A2FD137" w:rsidP="00DE5E62">
      <w:r w:rsidRPr="005503B4">
        <w:t>Entre los gastos e inversiones que plantea la Ley que deberán cubrirse con las transferencias al FUTIC, destinadas al OPO, se encuentran las que a continuación se relacionan, las cuales serán objeto de análisis y descripción en las siguientes secciones del documento:</w:t>
      </w:r>
    </w:p>
    <w:p w14:paraId="321366C0" w14:textId="77777777" w:rsidR="00DE5E62" w:rsidRPr="005503B4" w:rsidRDefault="00DE5E62" w:rsidP="00DE5E62">
      <w:pPr>
        <w:pStyle w:val="Prrafodelista"/>
        <w:numPr>
          <w:ilvl w:val="0"/>
          <w:numId w:val="24"/>
        </w:numPr>
      </w:pPr>
      <w:r w:rsidRPr="005503B4">
        <w:t>El pago de las franquicias a cargo del FUTIC.</w:t>
      </w:r>
    </w:p>
    <w:p w14:paraId="2D599670" w14:textId="77777777" w:rsidR="00DE5E62" w:rsidRPr="005503B4" w:rsidRDefault="00DE5E62" w:rsidP="00DE5E62">
      <w:pPr>
        <w:pStyle w:val="Prrafodelista"/>
        <w:numPr>
          <w:ilvl w:val="0"/>
          <w:numId w:val="24"/>
        </w:numPr>
      </w:pPr>
      <w:r w:rsidRPr="005503B4">
        <w:t>El déficit en que incurre el OPO en la atención del Servicio Postal Universal.</w:t>
      </w:r>
    </w:p>
    <w:p w14:paraId="60ED137D" w14:textId="77777777" w:rsidR="00DE5E62" w:rsidRPr="005503B4" w:rsidRDefault="00DE5E62" w:rsidP="00DE5E62">
      <w:pPr>
        <w:pStyle w:val="Prrafodelista"/>
        <w:numPr>
          <w:ilvl w:val="0"/>
          <w:numId w:val="24"/>
        </w:numPr>
      </w:pPr>
      <w:r w:rsidRPr="005503B4">
        <w:lastRenderedPageBreak/>
        <w:t>Los gastos en que incurra el Ministerio para adelantar la vigilancia y control de los operadores postales. En el momento dicho control se realiza de una manera tercerizada a través del Consorcio Red Postal de Colombia.</w:t>
      </w:r>
    </w:p>
    <w:p w14:paraId="02118339" w14:textId="77777777" w:rsidR="00DE5E62" w:rsidRPr="005503B4" w:rsidRDefault="00DE5E62" w:rsidP="00DE5E62">
      <w:pPr>
        <w:pStyle w:val="Prrafodelista"/>
        <w:numPr>
          <w:ilvl w:val="0"/>
          <w:numId w:val="25"/>
        </w:numPr>
      </w:pPr>
      <w:r w:rsidRPr="005503B4">
        <w:t>Las contribuciones que realiza Colombia a entidades postales internacionales, como la UPU y la UPAEP.</w:t>
      </w:r>
    </w:p>
    <w:p w14:paraId="74E3C8E4" w14:textId="77777777" w:rsidR="00DE5E62" w:rsidRPr="005503B4" w:rsidRDefault="00DE5E62" w:rsidP="00DE5E62">
      <w:pPr>
        <w:pStyle w:val="Prrafodelista"/>
        <w:numPr>
          <w:ilvl w:val="0"/>
          <w:numId w:val="25"/>
        </w:numPr>
      </w:pPr>
      <w:r w:rsidRPr="005503B4">
        <w:t>Los pagos a personal, contratistas, inversiones postales, entre otros.</w:t>
      </w:r>
    </w:p>
    <w:p w14:paraId="619ED2F5" w14:textId="638DACB6" w:rsidR="00DE5E62" w:rsidRDefault="00ED58CF" w:rsidP="00DE5E62">
      <w:pPr>
        <w:pStyle w:val="Ttulo3"/>
      </w:pPr>
      <w:bookmarkStart w:id="320" w:name="_Toc102393307"/>
      <w:bookmarkStart w:id="321" w:name="_Toc104272168"/>
      <w:bookmarkStart w:id="322" w:name="_Ref102128673"/>
      <w:bookmarkStart w:id="323" w:name="_Toc102170044"/>
      <w:r w:rsidRPr="005503B4">
        <w:t>Proyección de las contraprestaciones postales al FUTIC</w:t>
      </w:r>
      <w:r w:rsidR="00DE5E62" w:rsidRPr="005503B4">
        <w:t>.</w:t>
      </w:r>
      <w:bookmarkEnd w:id="320"/>
      <w:bookmarkEnd w:id="321"/>
    </w:p>
    <w:p w14:paraId="13CA917C" w14:textId="2ACF0CB8" w:rsidR="00ED58CF" w:rsidRPr="005503B4" w:rsidRDefault="4AB17E04" w:rsidP="00ED58CF">
      <w:r w:rsidRPr="005503B4">
        <w:t xml:space="preserve">Teniendo en cuenta los objetivos del capítulo enunciados anteriormente, la </w:t>
      </w:r>
      <w:r w:rsidR="00ED58CF" w:rsidRPr="005503B4">
        <w:fldChar w:fldCharType="begin"/>
      </w:r>
      <w:r w:rsidR="00ED58CF" w:rsidRPr="005503B4">
        <w:instrText xml:space="preserve"> REF _Ref102030242 \h </w:instrText>
      </w:r>
      <w:r w:rsidR="00ED58CF" w:rsidRPr="005503B4">
        <w:fldChar w:fldCharType="separate"/>
      </w:r>
      <w:r w:rsidR="00C57FCA" w:rsidRPr="005503B4">
        <w:t xml:space="preserve">Gráfica </w:t>
      </w:r>
      <w:r w:rsidR="00C57FCA">
        <w:rPr>
          <w:noProof/>
        </w:rPr>
        <w:t>7</w:t>
      </w:r>
      <w:r w:rsidR="00C57FCA" w:rsidRPr="005503B4">
        <w:noBreakHyphen/>
      </w:r>
      <w:r w:rsidR="00C57FCA">
        <w:rPr>
          <w:noProof/>
        </w:rPr>
        <w:t>6</w:t>
      </w:r>
      <w:r w:rsidR="00ED58CF" w:rsidRPr="005503B4">
        <w:fldChar w:fldCharType="end"/>
      </w:r>
      <w:r w:rsidRPr="005503B4">
        <w:t xml:space="preserve"> presenta los recursos que obtendría el FUTIC por concepto de contraprestaciones postales pagadas por los operadores postales, bajo diferentes escenarios de contraprestación. En el Capítulo </w:t>
      </w:r>
      <w:r w:rsidR="00ED58CF" w:rsidRPr="005503B4">
        <w:fldChar w:fldCharType="begin"/>
      </w:r>
      <w:r w:rsidR="00ED58CF" w:rsidRPr="005503B4">
        <w:instrText xml:space="preserve"> REF _Ref41479518 \r \h </w:instrText>
      </w:r>
      <w:r w:rsidR="00ED58CF" w:rsidRPr="005503B4">
        <w:fldChar w:fldCharType="separate"/>
      </w:r>
      <w:r w:rsidR="00C57FCA">
        <w:t>8</w:t>
      </w:r>
      <w:r w:rsidR="00ED58CF" w:rsidRPr="005503B4">
        <w:fldChar w:fldCharType="end"/>
      </w:r>
      <w:r w:rsidRPr="005503B4">
        <w:t xml:space="preserve"> se evaluarán estos escenarios, incluyendo las demás variables que contempla el flujo de caja del Fondo y se </w:t>
      </w:r>
      <w:r w:rsidR="0012626E">
        <w:t xml:space="preserve">definirá la </w:t>
      </w:r>
      <w:r w:rsidRPr="005503B4">
        <w:t>contraprestación</w:t>
      </w:r>
      <w:r w:rsidR="0012626E">
        <w:t xml:space="preserve"> periódica a cargo de los operadores postales </w:t>
      </w:r>
      <w:r w:rsidRPr="005503B4">
        <w:t xml:space="preserve">para el período comprendido entre julio 1º de 2022 y junio 30 de 2024. </w:t>
      </w:r>
    </w:p>
    <w:p w14:paraId="5D3C03E8" w14:textId="12DDD5A8" w:rsidR="00ED58CF" w:rsidRPr="005503B4" w:rsidRDefault="00ED58CF" w:rsidP="00ED58CF">
      <w:pPr>
        <w:pStyle w:val="TITcuadro"/>
      </w:pPr>
      <w:bookmarkStart w:id="324" w:name="_Ref102030242"/>
      <w:bookmarkStart w:id="325" w:name="_Toc104228742"/>
      <w:r w:rsidRPr="005503B4">
        <w:t xml:space="preserve">Gráfica </w:t>
      </w:r>
      <w:r w:rsidRPr="005503B4">
        <w:fldChar w:fldCharType="begin"/>
      </w:r>
      <w:r w:rsidRPr="005503B4">
        <w:instrText>STYLEREF 1 \s</w:instrText>
      </w:r>
      <w:r w:rsidRPr="005503B4">
        <w:fldChar w:fldCharType="separate"/>
      </w:r>
      <w:r w:rsidR="00C57FCA">
        <w:rPr>
          <w:noProof/>
        </w:rPr>
        <w:t>7</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6</w:t>
      </w:r>
      <w:r w:rsidRPr="005503B4">
        <w:fldChar w:fldCharType="end"/>
      </w:r>
      <w:bookmarkEnd w:id="324"/>
      <w:r w:rsidRPr="005503B4">
        <w:t xml:space="preserve"> - Contraprestaci</w:t>
      </w:r>
      <w:r w:rsidR="006168CD">
        <w:t>ón</w:t>
      </w:r>
      <w:r w:rsidRPr="005503B4">
        <w:t xml:space="preserve"> postal al FUTIC, bajo diferentes escenarios de contraprestación</w:t>
      </w:r>
      <w:bookmarkEnd w:id="325"/>
    </w:p>
    <w:p w14:paraId="626ECE85" w14:textId="74F2E24D" w:rsidR="00ED58CF" w:rsidRPr="005503B4" w:rsidRDefault="00DB51EA" w:rsidP="00ED58CF">
      <w:pPr>
        <w:pStyle w:val="Grfica"/>
      </w:pPr>
      <w:r w:rsidRPr="005503B4">
        <w:rPr>
          <w:noProof/>
          <w:lang w:eastAsia="es-CO"/>
        </w:rPr>
        <mc:AlternateContent>
          <mc:Choice Requires="wps">
            <w:drawing>
              <wp:anchor distT="0" distB="0" distL="114300" distR="114300" simplePos="0" relativeHeight="251682304" behindDoc="0" locked="0" layoutInCell="1" allowOverlap="1" wp14:anchorId="24E09DA8" wp14:editId="2EEC2619">
                <wp:simplePos x="0" y="0"/>
                <wp:positionH relativeFrom="column">
                  <wp:posOffset>4046760</wp:posOffset>
                </wp:positionH>
                <wp:positionV relativeFrom="paragraph">
                  <wp:posOffset>80379</wp:posOffset>
                </wp:positionV>
                <wp:extent cx="0" cy="1985749"/>
                <wp:effectExtent l="0" t="0" r="38100" b="33655"/>
                <wp:wrapNone/>
                <wp:docPr id="467" name="Conector recto 467"/>
                <wp:cNvGraphicFramePr/>
                <a:graphic xmlns:a="http://schemas.openxmlformats.org/drawingml/2006/main">
                  <a:graphicData uri="http://schemas.microsoft.com/office/word/2010/wordprocessingShape">
                    <wps:wsp>
                      <wps:cNvCnPr/>
                      <wps:spPr>
                        <a:xfrm>
                          <a:off x="0" y="0"/>
                          <a:ext cx="0" cy="1985749"/>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sdtdh="http://schemas.microsoft.com/office/word/2020/wordml/sdtdatahash" xmlns:dgm="http://schemas.openxmlformats.org/drawingml/2006/diagram"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CA60E9F">
              <v:line id="Conector recto 467" style="position:absolute;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a5a5a5 [2092]" strokeweight="1.5pt" from="318.65pt,6.35pt" to="318.65pt,162.7pt" w14:anchorId="6E569B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">
                <v:stroke joinstyle="miter"/>
              </v:line>
            </w:pict>
          </mc:Fallback>
        </mc:AlternateContent>
      </w:r>
      <w:r w:rsidRPr="005503B4">
        <w:rPr>
          <w:noProof/>
          <w:lang w:eastAsia="es-CO"/>
        </w:rPr>
        <mc:AlternateContent>
          <mc:Choice Requires="wps">
            <w:drawing>
              <wp:anchor distT="0" distB="0" distL="114300" distR="114300" simplePos="0" relativeHeight="251680256" behindDoc="0" locked="0" layoutInCell="1" allowOverlap="1" wp14:anchorId="3896FB2F" wp14:editId="47DAC6C3">
                <wp:simplePos x="0" y="0"/>
                <wp:positionH relativeFrom="column">
                  <wp:posOffset>2249919</wp:posOffset>
                </wp:positionH>
                <wp:positionV relativeFrom="paragraph">
                  <wp:posOffset>78427</wp:posOffset>
                </wp:positionV>
                <wp:extent cx="0" cy="1985749"/>
                <wp:effectExtent l="0" t="0" r="38100" b="33655"/>
                <wp:wrapNone/>
                <wp:docPr id="460" name="Conector recto 460"/>
                <wp:cNvGraphicFramePr/>
                <a:graphic xmlns:a="http://schemas.openxmlformats.org/drawingml/2006/main">
                  <a:graphicData uri="http://schemas.microsoft.com/office/word/2010/wordprocessingShape">
                    <wps:wsp>
                      <wps:cNvCnPr/>
                      <wps:spPr>
                        <a:xfrm>
                          <a:off x="0" y="0"/>
                          <a:ext cx="0" cy="1985749"/>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sdtdh="http://schemas.microsoft.com/office/word/2020/wordml/sdtdatahash" xmlns:dgm="http://schemas.openxmlformats.org/drawingml/2006/diagram"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1E3452A">
              <v:line id="Conector recto 460" style="position:absolute;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a5a5a5 [2092]" strokeweight="1.5pt" from="177.15pt,6.2pt" to="177.15pt,162.55pt" w14:anchorId="13F62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">
                <v:stroke joinstyle="miter"/>
              </v:line>
            </w:pict>
          </mc:Fallback>
        </mc:AlternateContent>
      </w:r>
      <w:r w:rsidR="00ED58CF" w:rsidRPr="005503B4">
        <w:rPr>
          <w:noProof/>
          <w:lang w:eastAsia="es-CO"/>
        </w:rPr>
        <w:drawing>
          <wp:inline distT="0" distB="0" distL="0" distR="0" wp14:anchorId="1ED7DE27" wp14:editId="5FC835B0">
            <wp:extent cx="5849620" cy="2742565"/>
            <wp:effectExtent l="0" t="0" r="17780" b="635"/>
            <wp:docPr id="466" name="Gráfico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FF5AC17" w14:textId="3347993D" w:rsidR="00ED58CF" w:rsidRDefault="00ED58CF" w:rsidP="00ED58CF">
      <w:pPr>
        <w:pStyle w:val="FuentedeGrfica"/>
      </w:pPr>
      <w:r w:rsidRPr="005503B4">
        <w:t xml:space="preserve">FUENTE: Proyección </w:t>
      </w:r>
      <w:r w:rsidR="0012626E">
        <w:t>con la información del estudio realizado por el Ministerio.</w:t>
      </w:r>
    </w:p>
    <w:p w14:paraId="6D7C146E" w14:textId="1813FC9A" w:rsidR="00DE5E62" w:rsidRPr="005503B4" w:rsidRDefault="0012626E" w:rsidP="00DE5E62">
      <w:pPr>
        <w:pStyle w:val="Ttulo3"/>
      </w:pPr>
      <w:bookmarkStart w:id="326" w:name="_Toc102393308"/>
      <w:bookmarkStart w:id="327" w:name="_Toc104272169"/>
      <w:r>
        <w:lastRenderedPageBreak/>
        <w:t>El comportamiento de la</w:t>
      </w:r>
      <w:r w:rsidR="00DE5E62" w:rsidRPr="005503B4">
        <w:t xml:space="preserve"> franquicia postal.</w:t>
      </w:r>
      <w:bookmarkEnd w:id="319"/>
      <w:bookmarkEnd w:id="322"/>
      <w:bookmarkEnd w:id="323"/>
      <w:bookmarkEnd w:id="326"/>
      <w:bookmarkEnd w:id="327"/>
    </w:p>
    <w:p w14:paraId="4C28B0E1" w14:textId="53DD7CEA" w:rsidR="00DE5E62" w:rsidRPr="005503B4" w:rsidRDefault="7A2FD137" w:rsidP="00DE5E62">
      <w:r w:rsidRPr="005503B4">
        <w:t xml:space="preserve">A continuación, se presentará la estimación de los envíos de la franquicia postal, bajo el supuesto inicial de que la medidas adoptadas tanto en el Decreto Legislativo 806 de 2020, como en el Decreto 491 de 2020, que </w:t>
      </w:r>
      <w:r w:rsidR="5049B7A0" w:rsidRPr="005503B4">
        <w:t xml:space="preserve">plantean </w:t>
      </w:r>
      <w:r w:rsidRPr="005503B4">
        <w:t xml:space="preserve">adelantar por medios digitales los trámites, notificación o comunicación de actos administrativos o judiciales, en el marco de las normas de salud pública adoptadas por el Gobierno Nacional, hasta tanto permanezca vigente la Emergencia Sanitaria declarada por el Ministerio de Salud y Protección Social. </w:t>
      </w:r>
    </w:p>
    <w:p w14:paraId="51F5E762" w14:textId="6A023E54" w:rsidR="0052333A" w:rsidRPr="005503B4" w:rsidRDefault="55DF54A9" w:rsidP="00DE5E62">
      <w:r w:rsidRPr="005503B4">
        <w:t xml:space="preserve">Como se comentó en una </w:t>
      </w:r>
      <w:r w:rsidR="0012626E">
        <w:t xml:space="preserve">de las </w:t>
      </w:r>
      <w:r w:rsidRPr="005503B4">
        <w:t>secci</w:t>
      </w:r>
      <w:r w:rsidR="0012626E">
        <w:t>ones</w:t>
      </w:r>
      <w:r w:rsidRPr="005503B4">
        <w:t xml:space="preserve"> anterior</w:t>
      </w:r>
      <w:r w:rsidR="0012626E">
        <w:t>es</w:t>
      </w:r>
      <w:r w:rsidRPr="005503B4">
        <w:t xml:space="preserve">, el futuro relacionado con la continuidad de los anteriores </w:t>
      </w:r>
      <w:r w:rsidR="0012626E">
        <w:t>D</w:t>
      </w:r>
      <w:r w:rsidRPr="005503B4">
        <w:t>ecretos depende, en buena medida, de la posibilidad de que</w:t>
      </w:r>
      <w:r w:rsidR="00985243" w:rsidRPr="005503B4">
        <w:t>,</w:t>
      </w:r>
      <w:r w:rsidRPr="005503B4">
        <w:t xml:space="preserve"> lo que en ellos se dispone, se extiendan mediante ley de la república, ante la eventualidad de que el proyecto de </w:t>
      </w:r>
      <w:r w:rsidR="00131FAB">
        <w:t>L</w:t>
      </w:r>
      <w:r w:rsidRPr="005503B4">
        <w:t>ey</w:t>
      </w:r>
      <w:r w:rsidR="00786B2D">
        <w:t xml:space="preserve"> PL-436-2020C </w:t>
      </w:r>
      <w:r w:rsidRPr="005503B4">
        <w:t>que se encuentra en curso en el Congreso no prospere.</w:t>
      </w:r>
    </w:p>
    <w:p w14:paraId="50167763" w14:textId="2468DBE1" w:rsidR="00DE5E62" w:rsidRPr="005503B4" w:rsidRDefault="0012626E" w:rsidP="00DE5E62">
      <w:r>
        <w:t>De otro lado</w:t>
      </w:r>
      <w:r w:rsidR="7A2FD137" w:rsidRPr="005503B4">
        <w:t xml:space="preserve"> en el capítulo siguiente se generarán escenarios en los cuales se simula el impacto de diferentes alternativas sobre los envíos de la Franquicia Postal, producto de un eventual levantamiento de las medidas de Emergencia Sanitaria.</w:t>
      </w:r>
    </w:p>
    <w:p w14:paraId="08EEEE08" w14:textId="77777777" w:rsidR="00DE5E62" w:rsidRPr="005503B4" w:rsidRDefault="00DE5E62" w:rsidP="00DE5E62">
      <w:pPr>
        <w:pStyle w:val="Ttulo4"/>
      </w:pPr>
      <w:bookmarkStart w:id="328" w:name="_Toc102057836"/>
      <w:bookmarkStart w:id="329" w:name="_Toc104272170"/>
      <w:r w:rsidRPr="005503B4">
        <w:t>El concepto de la franquicia postal.</w:t>
      </w:r>
      <w:bookmarkEnd w:id="328"/>
      <w:bookmarkEnd w:id="329"/>
    </w:p>
    <w:p w14:paraId="512E4CF2" w14:textId="4AADA033" w:rsidR="00DE5E62" w:rsidRPr="005503B4" w:rsidRDefault="7A2FD137" w:rsidP="00DE5E62">
      <w:r w:rsidRPr="005503B4">
        <w:t>En el artículo 3° de la Ley 1369 de 2009, se define:</w:t>
      </w:r>
    </w:p>
    <w:p w14:paraId="784AC7E9" w14:textId="77777777" w:rsidR="00DE5E62" w:rsidRPr="005503B4" w:rsidRDefault="00DE5E62" w:rsidP="00DE5E62">
      <w:pPr>
        <w:pStyle w:val="Citatextuallarga"/>
      </w:pPr>
      <w:r w:rsidRPr="005503B4">
        <w:t xml:space="preserve">“(…) las franquicias son el derecho que adquieren algunas personas jurídicas, públicas o privadas, para eximirse del pago de la tarifa por el envío de los servicios postales de correspondencia y de correo telegráfico que presta el Operador Postal Oficial o Concesionario de correo, al momento de su imposición (…)”. </w:t>
      </w:r>
    </w:p>
    <w:p w14:paraId="67E43A57" w14:textId="3B84AEE0" w:rsidR="00DE5E62" w:rsidRPr="005503B4" w:rsidRDefault="7A2FD137" w:rsidP="00DE5E62">
      <w:r w:rsidRPr="005503B4">
        <w:t xml:space="preserve">El esquema de financiación de las franquicias se rige por lo dispuesto en el artículo 47 de la Ley 1369 de 2009, en cuyos </w:t>
      </w:r>
      <w:r w:rsidR="00985243" w:rsidRPr="005503B4">
        <w:t>parágrafos 2º</w:t>
      </w:r>
      <w:r w:rsidRPr="005503B4">
        <w:t xml:space="preserve"> y 3º, se establece:</w:t>
      </w:r>
    </w:p>
    <w:p w14:paraId="399F0FD2" w14:textId="77777777" w:rsidR="00DE5E62" w:rsidRPr="005503B4" w:rsidRDefault="00DE5E62" w:rsidP="00DE5E62">
      <w:pPr>
        <w:pStyle w:val="Citatextuallarga"/>
      </w:pPr>
      <w:r w:rsidRPr="005503B4">
        <w:t>“(…) el [FONTIC] asumirá el pago de las franquicias de que trata el artículo 1 del decreto 2758 de 1955 y el artículo 38 de la Ley 361 de 1997, a partir de la vigencia fiscal siguiente a la expedición de la presente Ley [ y que se autoriza] al FONTIC a presupuestar los recursos necesarios para pagar los dineros causados a favor del [OPO] por concepto de la prestación de las franquicias de que trata este artículo, a las entidades que no pertenecen al Presupuesto General de la Nación, desde septiembre de 2006 hasta diciembre 31 de 2010 (…)”.</w:t>
      </w:r>
    </w:p>
    <w:p w14:paraId="262EBA91" w14:textId="77777777" w:rsidR="00DE5E62" w:rsidRPr="005503B4" w:rsidRDefault="00DE5E62" w:rsidP="00DE5E62">
      <w:pPr>
        <w:rPr>
          <w:i/>
          <w:iCs/>
        </w:rPr>
      </w:pPr>
      <w:r w:rsidRPr="005503B4">
        <w:t xml:space="preserve">Adicionalmente, el parágrafo 4º prevé que </w:t>
      </w:r>
      <w:r w:rsidRPr="005503B4">
        <w:rPr>
          <w:i/>
          <w:iCs/>
        </w:rPr>
        <w:t xml:space="preserve">“(…) el OPO debe prestar el servicio con franquicia total para los </w:t>
      </w:r>
      <w:proofErr w:type="spellStart"/>
      <w:r w:rsidRPr="005503B4">
        <w:rPr>
          <w:i/>
          <w:iCs/>
        </w:rPr>
        <w:t>cecogramas</w:t>
      </w:r>
      <w:proofErr w:type="spellEnd"/>
      <w:r w:rsidRPr="005503B4">
        <w:rPr>
          <w:i/>
          <w:iCs/>
        </w:rPr>
        <w:t xml:space="preserve"> remitidos por las personas invidentes y las entidades que les presten servicios (…)”.</w:t>
      </w:r>
    </w:p>
    <w:p w14:paraId="69B806E5" w14:textId="7F9CCC34" w:rsidR="00DE5E62" w:rsidRPr="005503B4" w:rsidRDefault="00B42034" w:rsidP="353D2129">
      <w:pPr>
        <w:rPr>
          <w:i/>
          <w:iCs/>
        </w:rPr>
      </w:pPr>
      <w:r>
        <w:lastRenderedPageBreak/>
        <w:t>Igualmente</w:t>
      </w:r>
      <w:r w:rsidR="7A2FD137" w:rsidRPr="005503B4">
        <w:t>, el pago de Franquicia Postal por parte del FUTIC</w:t>
      </w:r>
      <w:r>
        <w:t xml:space="preserve">, se encuentra dispuesto en la ley de </w:t>
      </w:r>
      <w:r w:rsidR="7A2FD137" w:rsidRPr="005503B4">
        <w:t>Presupuesto General de la Nación,</w:t>
      </w:r>
      <w:r>
        <w:t xml:space="preserve"> es decir la </w:t>
      </w:r>
      <w:r w:rsidR="7A2FD137" w:rsidRPr="005503B4">
        <w:t xml:space="preserve">Ley 2159 del 2021, al </w:t>
      </w:r>
      <w:r w:rsidR="00E90313" w:rsidRPr="005503B4">
        <w:t>señalar</w:t>
      </w:r>
      <w:r w:rsidR="7A2FD137" w:rsidRPr="005503B4">
        <w:t xml:space="preserve"> en </w:t>
      </w:r>
      <w:r w:rsidR="00945A1C" w:rsidRPr="005503B4">
        <w:t>su artículo</w:t>
      </w:r>
      <w:r w:rsidR="7A2FD137" w:rsidRPr="005503B4">
        <w:t xml:space="preserve"> 51:</w:t>
      </w:r>
    </w:p>
    <w:p w14:paraId="53ED5E33" w14:textId="77777777" w:rsidR="00DE5E62" w:rsidRPr="005503B4" w:rsidRDefault="00DE5E62" w:rsidP="00DE5E62">
      <w:pPr>
        <w:pStyle w:val="Citatextuallarga"/>
      </w:pPr>
      <w:r w:rsidRPr="005503B4">
        <w:t>“(…) Las asignaciones presupuestales del Fondo Único de Tecnologías de la Información y las Comunicaciones (FUTIC), incluyen los recursos necesarios para cubrir el importe de los costos en que incurra el operador oficial de los servicios de franquicia postal y telegráfica para la prestación de estos servicios a los órganos que hacen parte del Presupuesto General de la Nación (…)”.</w:t>
      </w:r>
    </w:p>
    <w:p w14:paraId="5443B0A7" w14:textId="309AD3EA" w:rsidR="00DE5E62" w:rsidRPr="005503B4" w:rsidRDefault="7A2FD137" w:rsidP="353D2129">
      <w:r w:rsidRPr="005503B4">
        <w:t>Al respecto, el FUTIC debe realizar la transferencia de recursos</w:t>
      </w:r>
      <w:r w:rsidR="00B42034">
        <w:t>, en este caso</w:t>
      </w:r>
      <w:r w:rsidRPr="005503B4">
        <w:t xml:space="preserve"> al operador postal, quien expedirá el respectivo paz y salvo a la entidad destinataria del servicio, tan pronto como reciba los recursos transferidos.</w:t>
      </w:r>
    </w:p>
    <w:p w14:paraId="43DCE69C" w14:textId="3EC08D47" w:rsidR="00DE5E62" w:rsidRPr="005503B4" w:rsidRDefault="00DE5E62" w:rsidP="00DE5E62">
      <w:pPr>
        <w:pStyle w:val="Ttulo4"/>
      </w:pPr>
      <w:bookmarkStart w:id="330" w:name="_Toc102057837"/>
      <w:bookmarkStart w:id="331" w:name="_Toc104272171"/>
      <w:r w:rsidRPr="005503B4">
        <w:t>Evolución de</w:t>
      </w:r>
      <w:r w:rsidR="000F430F">
        <w:t>l número de</w:t>
      </w:r>
      <w:r w:rsidRPr="005503B4">
        <w:t xml:space="preserve"> envíos e ingresos de la franquicia postal.</w:t>
      </w:r>
      <w:bookmarkEnd w:id="330"/>
      <w:bookmarkEnd w:id="331"/>
    </w:p>
    <w:p w14:paraId="0C87D6C0" w14:textId="23BE9FB5" w:rsidR="00DE5E62" w:rsidRPr="005503B4" w:rsidRDefault="7A2FD137" w:rsidP="00DE5E62">
      <w:r w:rsidRPr="005503B4">
        <w:t>El primer gran concepto y el de mayor peso relativo que debe atender el FUTIC en materia postal, corresponde a</w:t>
      </w:r>
      <w:r w:rsidR="000F430F">
        <w:t xml:space="preserve"> los pagos</w:t>
      </w:r>
      <w:r w:rsidRPr="005503B4">
        <w:t xml:space="preserve"> asociado</w:t>
      </w:r>
      <w:r w:rsidR="000F430F">
        <w:t>s</w:t>
      </w:r>
      <w:r w:rsidRPr="005503B4">
        <w:t xml:space="preserve"> a la</w:t>
      </w:r>
      <w:r w:rsidR="000F430F">
        <w:t xml:space="preserve"> prestación del servicio de la</w:t>
      </w:r>
      <w:r w:rsidRPr="005503B4">
        <w:t xml:space="preserve"> franquicia postal</w:t>
      </w:r>
      <w:r w:rsidR="000F430F">
        <w:t>, prestado de manera exclusiva</w:t>
      </w:r>
      <w:r w:rsidRPr="005503B4">
        <w:t xml:space="preserve"> </w:t>
      </w:r>
      <w:r w:rsidR="000F430F">
        <w:t>por el</w:t>
      </w:r>
      <w:r w:rsidRPr="005503B4">
        <w:t xml:space="preserve"> Sobre el particular, en la siguiente gráfica se muestra que </w:t>
      </w:r>
      <w:r w:rsidR="000F430F">
        <w:t xml:space="preserve">operador movilizó </w:t>
      </w:r>
      <w:r w:rsidRPr="005503B4">
        <w:t>entre 7,2 y 7 millones de envíos</w:t>
      </w:r>
      <w:r w:rsidR="000F430F">
        <w:t xml:space="preserve"> por el servicio en mención durante</w:t>
      </w:r>
      <w:r w:rsidR="00A44466" w:rsidRPr="005503B4">
        <w:t xml:space="preserve"> </w:t>
      </w:r>
      <w:r w:rsidRPr="005503B4">
        <w:t>el período comprendido entre 2016 y 2019.</w:t>
      </w:r>
    </w:p>
    <w:p w14:paraId="524642B0" w14:textId="324CC76F" w:rsidR="00DE5E62" w:rsidRPr="005503B4" w:rsidRDefault="000F430F" w:rsidP="00DE5E62">
      <w:r>
        <w:t>De otro lado se observa que l</w:t>
      </w:r>
      <w:r w:rsidR="7A2FD137" w:rsidRPr="005503B4">
        <w:t xml:space="preserve">a franquicia postal ha decrecido, en términos reales, cerca del 1% anual promedio </w:t>
      </w:r>
      <w:r w:rsidR="00A53967" w:rsidRPr="005503B4">
        <w:t>entre 2015</w:t>
      </w:r>
      <w:r w:rsidR="7A2FD137" w:rsidRPr="005503B4">
        <w:t xml:space="preserve"> y el 2019, en tanto que para los años 2015 y 2021, el descenso real de los envíos ha sido de 28,2%, cuando</w:t>
      </w:r>
      <w:r>
        <w:t xml:space="preserve"> los envíos pasaron </w:t>
      </w:r>
      <w:r w:rsidR="7A2FD137" w:rsidRPr="005503B4">
        <w:t>de 7</w:t>
      </w:r>
      <w:r w:rsidR="0053228C">
        <w:t>,</w:t>
      </w:r>
      <w:r w:rsidR="7A2FD137" w:rsidRPr="005503B4">
        <w:t>0 millones</w:t>
      </w:r>
      <w:r w:rsidR="00D5538F">
        <w:t xml:space="preserve"> de envíos</w:t>
      </w:r>
      <w:r w:rsidR="7A2FD137" w:rsidRPr="005503B4">
        <w:t xml:space="preserve"> a 1</w:t>
      </w:r>
      <w:r w:rsidR="0053228C">
        <w:t>,4</w:t>
      </w:r>
      <w:r w:rsidR="7A2FD137" w:rsidRPr="005503B4">
        <w:t xml:space="preserve"> millones de envíos. </w:t>
      </w:r>
    </w:p>
    <w:p w14:paraId="041704B0" w14:textId="10F735B6" w:rsidR="00DE5E62" w:rsidRPr="005503B4" w:rsidRDefault="00DE5E62" w:rsidP="00DE5E62">
      <w:pPr>
        <w:pStyle w:val="TITcuadro"/>
      </w:pPr>
      <w:bookmarkStart w:id="332" w:name="_Ref102046603"/>
      <w:bookmarkStart w:id="333" w:name="_Toc104228743"/>
      <w:r w:rsidRPr="005503B4">
        <w:t xml:space="preserve">Gráfica </w:t>
      </w:r>
      <w:r w:rsidRPr="005503B4">
        <w:fldChar w:fldCharType="begin"/>
      </w:r>
      <w:r w:rsidRPr="005503B4">
        <w:instrText>STYLEREF 1 \s</w:instrText>
      </w:r>
      <w:r w:rsidRPr="005503B4">
        <w:fldChar w:fldCharType="separate"/>
      </w:r>
      <w:r w:rsidR="00C57FCA">
        <w:rPr>
          <w:noProof/>
        </w:rPr>
        <w:t>7</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7</w:t>
      </w:r>
      <w:r w:rsidRPr="005503B4">
        <w:fldChar w:fldCharType="end"/>
      </w:r>
      <w:bookmarkEnd w:id="332"/>
      <w:r w:rsidRPr="005503B4">
        <w:t xml:space="preserve"> -</w:t>
      </w:r>
      <w:r w:rsidR="006168CD">
        <w:t xml:space="preserve"> </w:t>
      </w:r>
      <w:r w:rsidRPr="005503B4">
        <w:t xml:space="preserve">Evolución </w:t>
      </w:r>
      <w:r w:rsidR="00251C0E">
        <w:t xml:space="preserve">y proyección </w:t>
      </w:r>
      <w:r w:rsidRPr="005503B4">
        <w:t xml:space="preserve">de los envíos de la franquicia postal. </w:t>
      </w:r>
      <w:r w:rsidRPr="005503B4">
        <w:rPr>
          <w:sz w:val="16"/>
          <w:szCs w:val="16"/>
        </w:rPr>
        <w:t>(Miles de envíos)</w:t>
      </w:r>
      <w:bookmarkEnd w:id="333"/>
    </w:p>
    <w:p w14:paraId="021B8EE9" w14:textId="508075EF" w:rsidR="00DE5E62" w:rsidRPr="005503B4" w:rsidRDefault="00D64D92" w:rsidP="00DE5E62">
      <w:pPr>
        <w:pStyle w:val="Grfica"/>
      </w:pPr>
      <w:r>
        <w:rPr>
          <w:noProof/>
          <w:lang w:eastAsia="es-CO"/>
        </w:rPr>
        <mc:AlternateContent>
          <mc:Choice Requires="wps">
            <w:drawing>
              <wp:anchor distT="0" distB="0" distL="114300" distR="114300" simplePos="0" relativeHeight="251737600" behindDoc="0" locked="0" layoutInCell="1" allowOverlap="1" wp14:anchorId="13223B2C" wp14:editId="41351889">
                <wp:simplePos x="0" y="0"/>
                <wp:positionH relativeFrom="column">
                  <wp:posOffset>3549738</wp:posOffset>
                </wp:positionH>
                <wp:positionV relativeFrom="paragraph">
                  <wp:posOffset>113729</wp:posOffset>
                </wp:positionV>
                <wp:extent cx="5788" cy="1441048"/>
                <wp:effectExtent l="0" t="0" r="32385" b="26035"/>
                <wp:wrapNone/>
                <wp:docPr id="64" name="Conector recto 63"/>
                <wp:cNvGraphicFramePr/>
                <a:graphic xmlns:a="http://schemas.openxmlformats.org/drawingml/2006/main">
                  <a:graphicData uri="http://schemas.microsoft.com/office/word/2010/wordprocessingShape">
                    <wps:wsp>
                      <wps:cNvCnPr/>
                      <wps:spPr>
                        <a:xfrm flipH="1">
                          <a:off x="0" y="0"/>
                          <a:ext cx="5788" cy="1441048"/>
                        </a:xfrm>
                        <a:prstGeom prst="line">
                          <a:avLst/>
                        </a:prstGeom>
                        <a:ln w="1587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25232DA8" id="Conector recto 63"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8.95pt" to="279.9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" strokecolor="#ed7d31 [3205]" strokeweight="1.25pt">
                <v:stroke dashstyle="1 1" joinstyle="miter"/>
              </v:line>
            </w:pict>
          </mc:Fallback>
        </mc:AlternateContent>
      </w:r>
      <w:r>
        <w:rPr>
          <w:noProof/>
          <w:lang w:eastAsia="es-CO"/>
        </w:rPr>
        <w:drawing>
          <wp:inline distT="0" distB="0" distL="0" distR="0" wp14:anchorId="76D77518" wp14:editId="48AD460E">
            <wp:extent cx="4612511" cy="1730415"/>
            <wp:effectExtent l="0" t="0" r="17145" b="317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646323E" w14:textId="4B9BBB58" w:rsidR="00DE5E62" w:rsidRDefault="00DE5E62" w:rsidP="00DE5E62">
      <w:pPr>
        <w:pStyle w:val="FuentedeGrfica"/>
      </w:pPr>
      <w:r w:rsidRPr="005503B4">
        <w:t>FUENTE: Información estadística de SPN. Matrices de tráfico de esa entidad proporcionadas al Ministerio. Información reservada y confidencial.</w:t>
      </w:r>
    </w:p>
    <w:p w14:paraId="306F0D6A" w14:textId="19498A95" w:rsidR="00251C0E" w:rsidRPr="0021217A" w:rsidRDefault="00251C0E" w:rsidP="00131FAB">
      <w:r w:rsidRPr="005503B4">
        <w:lastRenderedPageBreak/>
        <w:t>Igualmente, esta reducción se observa en términos monetarios</w:t>
      </w:r>
      <w:r>
        <w:t xml:space="preserve"> como se muestra a continuación en la </w:t>
      </w:r>
      <w:r>
        <w:fldChar w:fldCharType="begin"/>
      </w:r>
      <w:r>
        <w:instrText xml:space="preserve"> REF _Ref102046603 \h </w:instrText>
      </w:r>
      <w:r>
        <w:fldChar w:fldCharType="separate"/>
      </w:r>
      <w:r w:rsidR="00C57FCA" w:rsidRPr="005503B4">
        <w:t xml:space="preserve">Gráfica </w:t>
      </w:r>
      <w:r w:rsidR="00C57FCA">
        <w:rPr>
          <w:noProof/>
        </w:rPr>
        <w:t>7</w:t>
      </w:r>
      <w:r w:rsidR="00C57FCA" w:rsidRPr="005503B4">
        <w:noBreakHyphen/>
      </w:r>
      <w:r w:rsidR="00C57FCA">
        <w:rPr>
          <w:noProof/>
        </w:rPr>
        <w:t>7</w:t>
      </w:r>
      <w:r>
        <w:fldChar w:fldCharType="end"/>
      </w:r>
      <w:r>
        <w:t>, en donde se presentan, tanto los ingresos del FUTIC por concepto de contribuciones postales, como las erogaciones del Fondo tanto hacia el OPO (pagos por la franquicia postal y atención por el servicio del déficit del SPU),</w:t>
      </w:r>
      <w:r w:rsidR="00131FAB">
        <w:t xml:space="preserve"> conceptos asociados a la Vigilancia, Inspección y Control,</w:t>
      </w:r>
      <w:r>
        <w:t xml:space="preserve"> como por concepto de otros pagos (pagos a la UPU, a la UPAEP y otras inversiones y gastos). M</w:t>
      </w:r>
      <w:r w:rsidRPr="005503B4">
        <w:t xml:space="preserve">ientras que en el año 2016 la franquicia </w:t>
      </w:r>
      <w:r>
        <w:t xml:space="preserve">representaba, en </w:t>
      </w:r>
      <w:r w:rsidRPr="005503B4">
        <w:t>términos reales,</w:t>
      </w:r>
      <w:r>
        <w:t xml:space="preserve"> transferencias</w:t>
      </w:r>
      <w:r w:rsidRPr="005503B4">
        <w:t xml:space="preserve"> del orden de los $55.500 millones</w:t>
      </w:r>
      <w:r>
        <w:t xml:space="preserve"> de pesos</w:t>
      </w:r>
      <w:r w:rsidRPr="005503B4">
        <w:t xml:space="preserve">, en el año 2021 dichas transferencias </w:t>
      </w:r>
      <w:r>
        <w:t>pasaron a</w:t>
      </w:r>
      <w:r w:rsidRPr="005503B4">
        <w:t xml:space="preserve"> $9.400 millones</w:t>
      </w:r>
      <w:r>
        <w:t xml:space="preserve"> de pesos</w:t>
      </w:r>
      <w:r w:rsidRPr="005503B4">
        <w:t xml:space="preserve">, un descenso </w:t>
      </w:r>
      <w:r>
        <w:t>cercano al</w:t>
      </w:r>
      <w:r w:rsidRPr="005503B4">
        <w:t xml:space="preserve"> 30% promedio anual compuesto durante el período</w:t>
      </w:r>
      <w:r>
        <w:t>. Situación que se</w:t>
      </w:r>
      <w:r w:rsidRPr="005503B4">
        <w:t xml:space="preserve"> muestra en la </w:t>
      </w:r>
      <w:r w:rsidRPr="005503B4">
        <w:fldChar w:fldCharType="begin"/>
      </w:r>
      <w:r w:rsidRPr="005503B4">
        <w:instrText xml:space="preserve"> REF _Ref102045233 \h </w:instrText>
      </w:r>
      <w:r w:rsidRPr="005503B4">
        <w:fldChar w:fldCharType="separate"/>
      </w:r>
      <w:r w:rsidR="00C57FCA" w:rsidRPr="005503B4">
        <w:rPr>
          <w:rStyle w:val="TITcuadroCar"/>
          <w:rFonts w:ascii="Arial Narrow" w:hAnsi="Arial Narrow"/>
        </w:rPr>
        <w:t xml:space="preserve">Gráfica </w:t>
      </w:r>
      <w:r w:rsidR="00C57FCA">
        <w:rPr>
          <w:rStyle w:val="TITcuadroCar"/>
          <w:rFonts w:ascii="Arial Narrow" w:hAnsi="Arial Narrow"/>
          <w:b w:val="0"/>
          <w:noProof/>
        </w:rPr>
        <w:t>7</w:t>
      </w:r>
      <w:r w:rsidR="00C57FCA" w:rsidRPr="005503B4">
        <w:rPr>
          <w:rStyle w:val="TITcuadroCar"/>
          <w:rFonts w:ascii="Arial Narrow" w:hAnsi="Arial Narrow"/>
        </w:rPr>
        <w:noBreakHyphen/>
      </w:r>
      <w:r w:rsidR="00C57FCA">
        <w:rPr>
          <w:rStyle w:val="TITcuadroCar"/>
          <w:rFonts w:ascii="Arial Narrow" w:hAnsi="Arial Narrow"/>
          <w:b w:val="0"/>
          <w:noProof/>
        </w:rPr>
        <w:t>8</w:t>
      </w:r>
      <w:r w:rsidRPr="005503B4">
        <w:fldChar w:fldCharType="end"/>
      </w:r>
      <w:r>
        <w:t>, presentada a</w:t>
      </w:r>
      <w:r w:rsidRPr="005503B4">
        <w:t xml:space="preserve"> continuación.</w:t>
      </w:r>
    </w:p>
    <w:p w14:paraId="18D01B83" w14:textId="47E83664" w:rsidR="00DE5E62" w:rsidRPr="005503B4" w:rsidRDefault="00DE5E62" w:rsidP="00DE5E62">
      <w:pPr>
        <w:pStyle w:val="TITcuadro"/>
      </w:pPr>
      <w:bookmarkStart w:id="334" w:name="_Ref102045233"/>
      <w:bookmarkStart w:id="335" w:name="_Toc104228744"/>
      <w:r w:rsidRPr="005503B4">
        <w:rPr>
          <w:rStyle w:val="TITcuadroCar"/>
          <w:rFonts w:ascii="Arial Narrow" w:hAnsi="Arial Narrow"/>
          <w:b/>
        </w:rPr>
        <w:t xml:space="preserve">Gráfica </w:t>
      </w:r>
      <w:r w:rsidR="001D06D9" w:rsidRPr="005503B4">
        <w:rPr>
          <w:rStyle w:val="TITcuadroCar"/>
          <w:rFonts w:ascii="Arial Narrow" w:hAnsi="Arial Narrow"/>
          <w:b/>
        </w:rPr>
        <w:fldChar w:fldCharType="begin"/>
      </w:r>
      <w:r w:rsidR="001D06D9" w:rsidRPr="005503B4">
        <w:rPr>
          <w:rStyle w:val="TITcuadroCar"/>
          <w:rFonts w:ascii="Arial Narrow" w:hAnsi="Arial Narrow"/>
          <w:b/>
        </w:rPr>
        <w:instrText xml:space="preserve"> STYLEREF 1 \s </w:instrText>
      </w:r>
      <w:r w:rsidR="001D06D9" w:rsidRPr="005503B4">
        <w:rPr>
          <w:rStyle w:val="TITcuadroCar"/>
          <w:rFonts w:ascii="Arial Narrow" w:hAnsi="Arial Narrow"/>
          <w:b/>
        </w:rPr>
        <w:fldChar w:fldCharType="separate"/>
      </w:r>
      <w:r w:rsidR="00C57FCA">
        <w:rPr>
          <w:rStyle w:val="TITcuadroCar"/>
          <w:rFonts w:ascii="Arial Narrow" w:hAnsi="Arial Narrow"/>
          <w:b/>
          <w:noProof/>
        </w:rPr>
        <w:t>7</w:t>
      </w:r>
      <w:r w:rsidR="001D06D9" w:rsidRPr="005503B4">
        <w:rPr>
          <w:rStyle w:val="TITcuadroCar"/>
          <w:rFonts w:ascii="Arial Narrow" w:hAnsi="Arial Narrow"/>
          <w:b/>
        </w:rPr>
        <w:fldChar w:fldCharType="end"/>
      </w:r>
      <w:r w:rsidR="001D06D9" w:rsidRPr="005503B4">
        <w:rPr>
          <w:rStyle w:val="TITcuadroCar"/>
          <w:rFonts w:ascii="Arial Narrow" w:hAnsi="Arial Narrow"/>
          <w:b/>
        </w:rPr>
        <w:noBreakHyphen/>
      </w:r>
      <w:r w:rsidR="001D06D9" w:rsidRPr="005503B4">
        <w:rPr>
          <w:rStyle w:val="TITcuadroCar"/>
          <w:rFonts w:ascii="Arial Narrow" w:hAnsi="Arial Narrow"/>
          <w:b/>
        </w:rPr>
        <w:fldChar w:fldCharType="begin"/>
      </w:r>
      <w:r w:rsidR="001D06D9" w:rsidRPr="005503B4">
        <w:rPr>
          <w:rStyle w:val="TITcuadroCar"/>
          <w:rFonts w:ascii="Arial Narrow" w:hAnsi="Arial Narrow"/>
          <w:b/>
        </w:rPr>
        <w:instrText xml:space="preserve"> SEQ Gráfica \* ARABIC \s 1 </w:instrText>
      </w:r>
      <w:r w:rsidR="001D06D9" w:rsidRPr="005503B4">
        <w:rPr>
          <w:rStyle w:val="TITcuadroCar"/>
          <w:rFonts w:ascii="Arial Narrow" w:hAnsi="Arial Narrow"/>
          <w:b/>
        </w:rPr>
        <w:fldChar w:fldCharType="separate"/>
      </w:r>
      <w:r w:rsidR="00C57FCA">
        <w:rPr>
          <w:rStyle w:val="TITcuadroCar"/>
          <w:rFonts w:ascii="Arial Narrow" w:hAnsi="Arial Narrow"/>
          <w:b/>
          <w:noProof/>
        </w:rPr>
        <w:t>8</w:t>
      </w:r>
      <w:r w:rsidR="001D06D9" w:rsidRPr="005503B4">
        <w:rPr>
          <w:rStyle w:val="TITcuadroCar"/>
          <w:rFonts w:ascii="Arial Narrow" w:hAnsi="Arial Narrow"/>
          <w:b/>
        </w:rPr>
        <w:fldChar w:fldCharType="end"/>
      </w:r>
      <w:bookmarkEnd w:id="334"/>
      <w:r w:rsidRPr="005503B4">
        <w:rPr>
          <w:rStyle w:val="TITcuadroCar"/>
          <w:rFonts w:ascii="Arial Narrow" w:hAnsi="Arial Narrow"/>
          <w:b/>
        </w:rPr>
        <w:t xml:space="preserve"> - Pagos del FUTIC: Franquicia postal, déficit del SPU y otros conceptos.</w:t>
      </w:r>
      <w:r w:rsidRPr="005503B4">
        <w:t xml:space="preserve"> 20</w:t>
      </w:r>
      <w:r w:rsidR="000F0708">
        <w:t>21</w:t>
      </w:r>
      <w:r w:rsidRPr="005503B4">
        <w:t xml:space="preserve"> – 202</w:t>
      </w:r>
      <w:r w:rsidR="000F0708">
        <w:t>4</w:t>
      </w:r>
      <w:r w:rsidRPr="005503B4">
        <w:t xml:space="preserve"> </w:t>
      </w:r>
      <w:r w:rsidR="00933269">
        <w:t>–</w:t>
      </w:r>
      <w:r w:rsidRPr="005503B4">
        <w:t xml:space="preserve"> </w:t>
      </w:r>
      <w:r w:rsidR="00933269">
        <w:t>Millones de pesos</w:t>
      </w:r>
      <w:r w:rsidRPr="005503B4">
        <w:t xml:space="preserve"> reales </w:t>
      </w:r>
      <w:r w:rsidR="00933269">
        <w:t xml:space="preserve">de </w:t>
      </w:r>
      <w:r w:rsidRPr="005503B4">
        <w:t>2021)</w:t>
      </w:r>
      <w:bookmarkEnd w:id="335"/>
    </w:p>
    <w:p w14:paraId="02BC2917" w14:textId="2D3F2161" w:rsidR="00DE5E62" w:rsidRPr="005503B4" w:rsidRDefault="00D64D92" w:rsidP="00D64D92">
      <w:pPr>
        <w:jc w:val="center"/>
      </w:pPr>
      <w:r>
        <w:rPr>
          <w:noProof/>
          <w:lang w:val="es-CO" w:eastAsia="es-CO"/>
        </w:rPr>
        <w:drawing>
          <wp:inline distT="0" distB="0" distL="0" distR="0" wp14:anchorId="69F058E2" wp14:editId="5CC22CF8">
            <wp:extent cx="5715000" cy="2494779"/>
            <wp:effectExtent l="0" t="0" r="0" b="127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7810930" w14:textId="77777777" w:rsidR="00DE5E62" w:rsidRPr="005503B4" w:rsidRDefault="00DE5E62" w:rsidP="00DE5E62">
      <w:pPr>
        <w:pStyle w:val="FuentedeGrfica"/>
      </w:pPr>
      <w:r w:rsidRPr="005503B4">
        <w:t>FUENTE: Estados financieros de SPN enviados por esa entidad al Ministerio. Información reservada y confidencial.</w:t>
      </w:r>
    </w:p>
    <w:p w14:paraId="7C4A21E5" w14:textId="204373C2" w:rsidR="00DE5E62" w:rsidRPr="005503B4" w:rsidRDefault="7A2FD137" w:rsidP="00DE5E62">
      <w:r w:rsidRPr="005503B4">
        <w:t xml:space="preserve">A pesar de que esta tendencia decreciente en la evolución de la franquicia postal </w:t>
      </w:r>
      <w:r w:rsidR="00D5538F">
        <w:t>se observaba</w:t>
      </w:r>
      <w:r w:rsidRPr="005503B4">
        <w:t xml:space="preserve"> desde mediados de la década de 2010, en términos reales del 4,9% anual promedio</w:t>
      </w:r>
      <w:r w:rsidR="00D5538F">
        <w:t>, se observa que</w:t>
      </w:r>
      <w:r w:rsidRPr="005503B4">
        <w:t xml:space="preserve"> entre el</w:t>
      </w:r>
      <w:r w:rsidR="00D5538F">
        <w:t xml:space="preserve"> año</w:t>
      </w:r>
      <w:r w:rsidRPr="005503B4">
        <w:t xml:space="preserve"> 2015 y el</w:t>
      </w:r>
      <w:r w:rsidR="00D5538F">
        <w:t xml:space="preserve"> año</w:t>
      </w:r>
      <w:r w:rsidRPr="005503B4">
        <w:t xml:space="preserve"> 2019, </w:t>
      </w:r>
      <w:r w:rsidR="00645DF2">
        <w:t xml:space="preserve"> se incrementa esta tendencia</w:t>
      </w:r>
      <w:r w:rsidR="00AC579E">
        <w:t>, originada en la adopción paulatina del fenómeno de digitalización y penetración del Internet</w:t>
      </w:r>
      <w:r w:rsidR="00645DF2">
        <w:t>,</w:t>
      </w:r>
      <w:r w:rsidR="00AC579E">
        <w:t xml:space="preserve"> </w:t>
      </w:r>
      <w:r w:rsidRPr="005503B4">
        <w:t>agudiz</w:t>
      </w:r>
      <w:r w:rsidR="00AC579E">
        <w:t>a</w:t>
      </w:r>
      <w:r w:rsidR="00645DF2">
        <w:t>do</w:t>
      </w:r>
      <w:r w:rsidRPr="005503B4">
        <w:t xml:space="preserve"> a raíz de las medidas adoptadas tanto </w:t>
      </w:r>
      <w:r w:rsidR="00A53967" w:rsidRPr="005503B4">
        <w:t>en el</w:t>
      </w:r>
      <w:r w:rsidRPr="005503B4">
        <w:t xml:space="preserve"> Decreto Legislativo 806 de 2020, </w:t>
      </w:r>
      <w:r w:rsidR="48998B73" w:rsidRPr="005503B4">
        <w:t xml:space="preserve">cuya vigencia finaliza en junio </w:t>
      </w:r>
      <w:r w:rsidR="1CFFF92D" w:rsidRPr="005503B4">
        <w:t xml:space="preserve">4 </w:t>
      </w:r>
      <w:r w:rsidR="48998B73" w:rsidRPr="005503B4">
        <w:t>de 2022</w:t>
      </w:r>
      <w:r w:rsidRPr="005503B4">
        <w:t>, como en el Decreto 491 de</w:t>
      </w:r>
      <w:r w:rsidR="00A53967" w:rsidRPr="005503B4">
        <w:t>l</w:t>
      </w:r>
      <w:r w:rsidRPr="005503B4">
        <w:t xml:space="preserve"> 2020</w:t>
      </w:r>
      <w:r w:rsidR="00A53967" w:rsidRPr="005503B4">
        <w:t xml:space="preserve">, </w:t>
      </w:r>
      <w:r w:rsidRPr="005503B4">
        <w:t xml:space="preserve">a los que se hizo alusión anteriormente. </w:t>
      </w:r>
    </w:p>
    <w:p w14:paraId="43034C83" w14:textId="7ACDA498" w:rsidR="00DE5E62" w:rsidRPr="005503B4" w:rsidRDefault="7A2FD137" w:rsidP="00DE5E62">
      <w:r w:rsidRPr="005503B4">
        <w:lastRenderedPageBreak/>
        <w:t xml:space="preserve">Estas medidas impactaron </w:t>
      </w:r>
      <w:r w:rsidR="00D5538F">
        <w:t>significativamente</w:t>
      </w:r>
      <w:r w:rsidR="00D5538F" w:rsidRPr="005503B4">
        <w:t xml:space="preserve"> </w:t>
      </w:r>
      <w:r w:rsidRPr="005503B4">
        <w:t>el número de envíos cursados a través de la franquicia postal</w:t>
      </w:r>
      <w:r w:rsidR="48998B73" w:rsidRPr="005503B4">
        <w:t xml:space="preserve">, así como la reducción </w:t>
      </w:r>
      <w:r w:rsidR="00D5538F">
        <w:t xml:space="preserve">de los </w:t>
      </w:r>
      <w:r w:rsidR="006545C3">
        <w:t>ingresos de SPN</w:t>
      </w:r>
      <w:r w:rsidR="48998B73" w:rsidRPr="005503B4">
        <w:t xml:space="preserve"> por este concepto</w:t>
      </w:r>
      <w:r w:rsidRPr="005503B4">
        <w:t xml:space="preserve">. El comportamiento de </w:t>
      </w:r>
      <w:r w:rsidR="00D5538F">
        <w:t xml:space="preserve">los pagos relacionados a </w:t>
      </w:r>
      <w:r w:rsidRPr="005503B4">
        <w:t>la Franquicia Postal</w:t>
      </w:r>
      <w:r w:rsidR="00D5538F">
        <w:t>, se redujeron</w:t>
      </w:r>
      <w:r w:rsidRPr="005503B4">
        <w:t xml:space="preserve"> de manera </w:t>
      </w:r>
      <w:r w:rsidR="00D5538F">
        <w:t>relevante</w:t>
      </w:r>
      <w:r w:rsidR="006545C3">
        <w:t xml:space="preserve">, tal y como puede observarse </w:t>
      </w:r>
      <w:r w:rsidRPr="005503B4">
        <w:t xml:space="preserve">en la </w:t>
      </w:r>
      <w:r w:rsidR="00DE5E62" w:rsidRPr="005503B4">
        <w:fldChar w:fldCharType="begin"/>
      </w:r>
      <w:r w:rsidR="00DE5E62" w:rsidRPr="005503B4">
        <w:instrText xml:space="preserve"> REF _Ref102046603 \h </w:instrText>
      </w:r>
      <w:r w:rsidR="00DE5E62" w:rsidRPr="005503B4">
        <w:fldChar w:fldCharType="separate"/>
      </w:r>
      <w:r w:rsidR="00C57FCA" w:rsidRPr="005503B4">
        <w:t xml:space="preserve">Gráfica </w:t>
      </w:r>
      <w:r w:rsidR="00C57FCA">
        <w:rPr>
          <w:noProof/>
        </w:rPr>
        <w:t>7</w:t>
      </w:r>
      <w:r w:rsidR="00C57FCA" w:rsidRPr="005503B4">
        <w:noBreakHyphen/>
      </w:r>
      <w:r w:rsidR="00C57FCA">
        <w:rPr>
          <w:noProof/>
        </w:rPr>
        <w:t>7</w:t>
      </w:r>
      <w:r w:rsidR="00DE5E62" w:rsidRPr="005503B4">
        <w:fldChar w:fldCharType="end"/>
      </w:r>
      <w:r w:rsidRPr="005503B4">
        <w:t>,</w:t>
      </w:r>
      <w:r w:rsidR="006545C3">
        <w:t xml:space="preserve"> donde se refleja</w:t>
      </w:r>
      <w:r w:rsidRPr="005503B4">
        <w:t xml:space="preserve"> el descenso en las transferencias del Fondo </w:t>
      </w:r>
      <w:r w:rsidR="006545C3">
        <w:t>en favor de</w:t>
      </w:r>
      <w:r w:rsidRPr="005503B4">
        <w:t xml:space="preserve"> SPN </w:t>
      </w:r>
    </w:p>
    <w:p w14:paraId="3F480DEB" w14:textId="5AFF4579" w:rsidR="00DE5E62" w:rsidRPr="005503B4" w:rsidRDefault="00645DF2" w:rsidP="00DE5E62">
      <w:pPr>
        <w:pStyle w:val="Ttulo3"/>
      </w:pPr>
      <w:bookmarkStart w:id="336" w:name="_Toc102057838"/>
      <w:bookmarkStart w:id="337" w:name="_Toc102170046"/>
      <w:bookmarkStart w:id="338" w:name="_Toc102393310"/>
      <w:bookmarkStart w:id="339" w:name="_Toc104272172"/>
      <w:r>
        <w:t xml:space="preserve">Otros </w:t>
      </w:r>
      <w:r w:rsidR="00DE5E62" w:rsidRPr="005503B4">
        <w:t>gastos, costos e inversiones del FUTIC en materia postal.</w:t>
      </w:r>
      <w:bookmarkEnd w:id="336"/>
      <w:bookmarkEnd w:id="337"/>
      <w:bookmarkEnd w:id="338"/>
      <w:bookmarkEnd w:id="339"/>
    </w:p>
    <w:p w14:paraId="4A4AC664" w14:textId="139B7BF1" w:rsidR="00DE5E62" w:rsidRPr="005503B4" w:rsidRDefault="7A2FD137" w:rsidP="00DE5E62">
      <w:r w:rsidRPr="005503B4">
        <w:t xml:space="preserve">De otro lado, el capítulo proyecta los costos, gastos e inversiones que se prevé tenga el Fondo en materia de costos de </w:t>
      </w:r>
      <w:r w:rsidR="00EC234B">
        <w:t>I</w:t>
      </w:r>
      <w:r w:rsidR="262FF399" w:rsidRPr="00EC234B">
        <w:t xml:space="preserve">nspección, </w:t>
      </w:r>
      <w:r w:rsidR="00EC234B">
        <w:t>V</w:t>
      </w:r>
      <w:r w:rsidRPr="00EC234B">
        <w:t xml:space="preserve">igilancia y </w:t>
      </w:r>
      <w:r w:rsidR="00EC234B">
        <w:t>C</w:t>
      </w:r>
      <w:r w:rsidRPr="00EC234B">
        <w:t>ontrol</w:t>
      </w:r>
      <w:r w:rsidR="00645DF2" w:rsidRPr="00EC234B">
        <w:t xml:space="preserve"> </w:t>
      </w:r>
      <w:r w:rsidR="00645DF2" w:rsidRPr="002D55E4">
        <w:t>(Consorcio Red Postal)</w:t>
      </w:r>
      <w:r w:rsidRPr="005503B4">
        <w:t xml:space="preserve"> del sector, así como los pagos a organismos internacionales como la UPU y la UPAEP en los próximos años. A efectos de incluir estos conceptos en el flujo de caja del FUTIC, se ha supuesto que los mismos se mantendrán iguales en términos constantes, a lo largo de los dos años siguientes, con el propósito de incluirlos en el cálculo de la tasa de contraprestación postal para el período 2022 – 2024.</w:t>
      </w:r>
    </w:p>
    <w:p w14:paraId="1780CA83" w14:textId="12F93416" w:rsidR="00B75E90" w:rsidRPr="005503B4" w:rsidRDefault="00B75E90" w:rsidP="000D6F89">
      <w:pPr>
        <w:pStyle w:val="TITcuadro"/>
      </w:pPr>
      <w:bookmarkStart w:id="340" w:name="_Toc104228745"/>
      <w:r w:rsidRPr="005503B4">
        <w:t xml:space="preserve">Gráfica </w:t>
      </w:r>
      <w:r w:rsidRPr="005503B4">
        <w:fldChar w:fldCharType="begin"/>
      </w:r>
      <w:r w:rsidRPr="005503B4">
        <w:instrText>STYLEREF 1 \s</w:instrText>
      </w:r>
      <w:r w:rsidRPr="005503B4">
        <w:fldChar w:fldCharType="separate"/>
      </w:r>
      <w:r w:rsidR="00C57FCA">
        <w:rPr>
          <w:noProof/>
        </w:rPr>
        <w:t>7</w:t>
      </w:r>
      <w:r w:rsidRPr="005503B4">
        <w:fldChar w:fldCharType="end"/>
      </w:r>
      <w:r w:rsidR="001D06D9" w:rsidRPr="005503B4">
        <w:noBreakHyphen/>
      </w:r>
      <w:r w:rsidRPr="005503B4">
        <w:fldChar w:fldCharType="begin"/>
      </w:r>
      <w:r w:rsidRPr="005503B4">
        <w:instrText>SEQ Gráfica \* ARABIC \s 1</w:instrText>
      </w:r>
      <w:r w:rsidRPr="005503B4">
        <w:fldChar w:fldCharType="separate"/>
      </w:r>
      <w:r w:rsidR="00C57FCA">
        <w:rPr>
          <w:noProof/>
        </w:rPr>
        <w:t>9</w:t>
      </w:r>
      <w:r w:rsidRPr="005503B4">
        <w:fldChar w:fldCharType="end"/>
      </w:r>
      <w:r w:rsidRPr="005503B4">
        <w:t xml:space="preserve"> - </w:t>
      </w:r>
      <w:r w:rsidR="00933269">
        <w:t>G</w:t>
      </w:r>
      <w:r w:rsidRPr="005503B4">
        <w:t>astos, costos e inversiones del FUTIC en materia postal.</w:t>
      </w:r>
      <w:bookmarkEnd w:id="340"/>
    </w:p>
    <w:p w14:paraId="0793A7C2" w14:textId="01A61EB0" w:rsidR="00B75E90" w:rsidRPr="005503B4" w:rsidRDefault="002D55E4" w:rsidP="002D55E4">
      <w:pPr>
        <w:pStyle w:val="Grfica"/>
        <w:ind w:right="-569"/>
      </w:pPr>
      <w:r>
        <w:rPr>
          <w:noProof/>
        </w:rPr>
        <w:drawing>
          <wp:inline distT="0" distB="0" distL="0" distR="0" wp14:anchorId="5CF3F3B8" wp14:editId="2A635BFA">
            <wp:extent cx="6002020" cy="2684780"/>
            <wp:effectExtent l="0" t="0" r="17780" b="1270"/>
            <wp:docPr id="449" name="Gráfico 449">
              <a:extLst xmlns:a="http://schemas.openxmlformats.org/drawingml/2006/main">
                <a:ext uri="{FF2B5EF4-FFF2-40B4-BE49-F238E27FC236}">
                  <a16:creationId xmlns:a16="http://schemas.microsoft.com/office/drawing/2014/main" id="{B896C6E2-5E4D-FB66-B890-119120CEC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262240F" w14:textId="0514700D" w:rsidR="00B75E90" w:rsidRPr="005503B4" w:rsidRDefault="00B75E90" w:rsidP="000D6F89">
      <w:pPr>
        <w:pStyle w:val="FuentedeGrfica"/>
      </w:pPr>
      <w:r w:rsidRPr="005503B4">
        <w:t>FUENTE: Subdirección de estudios postales del MinTIC.</w:t>
      </w:r>
    </w:p>
    <w:p w14:paraId="3C4CEC66" w14:textId="3492317F" w:rsidR="00E9387F" w:rsidRDefault="00E9387F">
      <w:pPr>
        <w:spacing w:before="0" w:after="120" w:line="276" w:lineRule="auto"/>
      </w:pPr>
      <w:r>
        <w:br w:type="page"/>
      </w:r>
    </w:p>
    <w:p w14:paraId="2B08120E" w14:textId="77777777" w:rsidR="00D37B34" w:rsidRDefault="00D37B34" w:rsidP="00D37B34">
      <w:pPr>
        <w:pStyle w:val="Ttulo1"/>
        <w:numPr>
          <w:ilvl w:val="0"/>
          <w:numId w:val="33"/>
        </w:numPr>
        <w:rPr>
          <w:noProof/>
          <w:lang w:val="es-CO" w:eastAsia="es-CO"/>
        </w:rPr>
      </w:pPr>
      <w:bookmarkStart w:id="341" w:name="_Toc104272173"/>
      <w:bookmarkStart w:id="342" w:name="_Ref41479518"/>
      <w:bookmarkStart w:id="343" w:name="_Toc527570114"/>
      <w:bookmarkStart w:id="344" w:name="_Toc523906526"/>
      <w:bookmarkStart w:id="345" w:name="_Toc480616596"/>
      <w:bookmarkEnd w:id="341"/>
    </w:p>
    <w:p w14:paraId="6FA9761B" w14:textId="77777777" w:rsidR="00D37B34" w:rsidRDefault="00D37B34" w:rsidP="00D37B34">
      <w:pPr>
        <w:pStyle w:val="Titulodescripcin"/>
        <w:rPr>
          <w:lang w:val="es-CO" w:eastAsia="es-CO"/>
        </w:rPr>
      </w:pPr>
      <w:bookmarkStart w:id="346" w:name="_Toc102057842"/>
      <w:bookmarkStart w:id="347" w:name="_Toc102393313"/>
      <w:bookmarkStart w:id="348" w:name="_Toc104118057"/>
      <w:bookmarkStart w:id="349" w:name="_Toc104272174"/>
      <w:bookmarkEnd w:id="342"/>
      <w:r>
        <w:rPr>
          <w:lang w:val="es-CO" w:eastAsia="es-CO"/>
        </w:rPr>
        <w:t>Contraprestación para el sector postal para el período 2020 – 2022: Propuesta del Ministerio al sector.</w:t>
      </w:r>
      <w:bookmarkEnd w:id="346"/>
      <w:bookmarkEnd w:id="347"/>
      <w:bookmarkEnd w:id="348"/>
      <w:bookmarkEnd w:id="349"/>
    </w:p>
    <w:p w14:paraId="5324CD8A" w14:textId="3DDA306B" w:rsidR="00D37B34" w:rsidRDefault="00D37B34" w:rsidP="00D37B34">
      <w:pPr>
        <w:rPr>
          <w:lang w:val="es-CO" w:eastAsia="es-CO"/>
        </w:rPr>
      </w:pPr>
      <w:r>
        <w:rPr>
          <w:lang w:val="es-CO" w:eastAsia="es-CO"/>
        </w:rPr>
        <w:t xml:space="preserve">Este capítulo retoma los insumos que se han generado a lo largo del documento en materia de tendencias históricas de los tres mercados que hacen parte de sector postal en Colombia, así como de los posibles comportamientos que se prevén van a experimentar las variables claves de control del sector en los próximos años y, con base en ello, presenta el escenario del Ministerio para fijar la contraprestación que pagarán los operadores, de acuerdo </w:t>
      </w:r>
      <w:r w:rsidR="002E14A0">
        <w:rPr>
          <w:lang w:val="es-CO" w:eastAsia="es-CO"/>
        </w:rPr>
        <w:t>con</w:t>
      </w:r>
      <w:r>
        <w:rPr>
          <w:lang w:val="es-CO" w:eastAsia="es-CO"/>
        </w:rPr>
        <w:t xml:space="preserve"> lo contemplado en el artículo 14 de la Ley 1369 de 2009 para el período comprendido entre julio 1º de 2022 y junio 30 de 2024. </w:t>
      </w:r>
    </w:p>
    <w:p w14:paraId="45EDF7FB" w14:textId="77777777" w:rsidR="00D37B34" w:rsidRDefault="00D37B34" w:rsidP="00D37B34">
      <w:pPr>
        <w:rPr>
          <w:lang w:val="es-CO" w:eastAsia="es-CO"/>
        </w:rPr>
      </w:pPr>
      <w:r>
        <w:rPr>
          <w:lang w:val="es-CO" w:eastAsia="es-CO"/>
        </w:rPr>
        <w:t>Teniendo en cuenta los análisis de los capítulos anteriores, el presente capítulo genera sensibilidades financieras sobre los parámetros de control que afectan las variables claves que determinan a los mercados postales en Colombia, y, del otro, se presenta el escenario que define el Ministerio sobre la contraprestación contemplada para el período correspondiente, teniendo en cuenta en la decisión los escenarios planteados, así como las diferentes alternativas de política pública que enmarcan la decisión.</w:t>
      </w:r>
    </w:p>
    <w:p w14:paraId="554F31A6" w14:textId="5017EE4E" w:rsidR="00D37B34" w:rsidRDefault="00D37B34" w:rsidP="00D37B34">
      <w:pPr>
        <w:rPr>
          <w:lang w:val="es-CO" w:eastAsia="es-CO"/>
        </w:rPr>
      </w:pPr>
      <w:r>
        <w:rPr>
          <w:lang w:val="es-CO" w:eastAsia="es-CO"/>
        </w:rPr>
        <w:t xml:space="preserve">Es importante recordar a este respecto que la contraprestación fijada se define luego del análisis que se realizó sobre el conjunto de variables que permiten generar equilibrio financiero sobre las finanzas del Fondo y el pago de las diferentes obligaciones que debe atender en materia de prestación del servicio de la franquicia, </w:t>
      </w:r>
      <w:r w:rsidR="002E14A0">
        <w:rPr>
          <w:lang w:val="es-CO" w:eastAsia="es-CO"/>
        </w:rPr>
        <w:t xml:space="preserve">para </w:t>
      </w:r>
      <w:r>
        <w:rPr>
          <w:lang w:val="es-CO" w:eastAsia="es-CO"/>
        </w:rPr>
        <w:t xml:space="preserve">garantizar la prestación del SPU y </w:t>
      </w:r>
      <w:r w:rsidR="002E14A0">
        <w:rPr>
          <w:lang w:val="es-CO" w:eastAsia="es-CO"/>
        </w:rPr>
        <w:t xml:space="preserve">la atención de </w:t>
      </w:r>
      <w:r>
        <w:rPr>
          <w:lang w:val="es-CO" w:eastAsia="es-CO"/>
        </w:rPr>
        <w:t>los costos, gastos e inversiones en el sector.</w:t>
      </w:r>
    </w:p>
    <w:p w14:paraId="5A30827F" w14:textId="1DC62BB3" w:rsidR="00D37B34" w:rsidRDefault="002E14A0" w:rsidP="00D37B34">
      <w:pPr>
        <w:rPr>
          <w:lang w:val="es-CO" w:eastAsia="es-CO"/>
        </w:rPr>
      </w:pPr>
      <w:r>
        <w:rPr>
          <w:lang w:val="es-CO" w:eastAsia="es-CO"/>
        </w:rPr>
        <w:t>Con lo anterior</w:t>
      </w:r>
      <w:r w:rsidR="00D37B34">
        <w:rPr>
          <w:lang w:val="es-CO" w:eastAsia="es-CO"/>
        </w:rPr>
        <w:t xml:space="preserve">, el presente capítulo se dividirá en tres secciones. En primer lugar, la sección </w:t>
      </w:r>
      <w:r w:rsidR="00D37B34">
        <w:fldChar w:fldCharType="begin"/>
      </w:r>
      <w:r w:rsidR="00D37B34">
        <w:rPr>
          <w:lang w:val="es-CO" w:eastAsia="es-CO"/>
        </w:rPr>
        <w:instrText xml:space="preserve"> REF _Ref102639723 \r \h </w:instrText>
      </w:r>
      <w:r w:rsidR="00D37B34">
        <w:fldChar w:fldCharType="separate"/>
      </w:r>
      <w:r w:rsidR="00C57FCA">
        <w:rPr>
          <w:lang w:val="es-CO" w:eastAsia="es-CO"/>
        </w:rPr>
        <w:t>8.1</w:t>
      </w:r>
      <w:r w:rsidR="00D37B34">
        <w:fldChar w:fldCharType="end"/>
      </w:r>
      <w:r w:rsidR="00D37B34">
        <w:rPr>
          <w:lang w:val="es-CO" w:eastAsia="es-CO"/>
        </w:rPr>
        <w:t xml:space="preserve"> presentará un resumen incluyendo los aspectos más relevantes de los anteriores</w:t>
      </w:r>
      <w:r>
        <w:rPr>
          <w:lang w:val="es-CO" w:eastAsia="es-CO"/>
        </w:rPr>
        <w:t xml:space="preserve"> capítulos</w:t>
      </w:r>
      <w:r w:rsidR="00D37B34">
        <w:rPr>
          <w:lang w:val="es-CO" w:eastAsia="es-CO"/>
        </w:rPr>
        <w:t xml:space="preserve">, las variables de control y los parámetros fundamentales que permitieron fijar la contraprestación del sector postal en Colombia para los próximos dos años. En segundo lugar, el capítulo describirá en la sección </w:t>
      </w:r>
      <w:r w:rsidR="00D37B34">
        <w:fldChar w:fldCharType="begin"/>
      </w:r>
      <w:r w:rsidR="00D37B34">
        <w:rPr>
          <w:lang w:val="es-CO" w:eastAsia="es-CO"/>
        </w:rPr>
        <w:instrText xml:space="preserve"> REF _Ref102919919 \r \h </w:instrText>
      </w:r>
      <w:r w:rsidR="00D37B34">
        <w:fldChar w:fldCharType="separate"/>
      </w:r>
      <w:r w:rsidR="00C57FCA">
        <w:rPr>
          <w:lang w:val="es-CO" w:eastAsia="es-CO"/>
        </w:rPr>
        <w:t>8.2</w:t>
      </w:r>
      <w:r w:rsidR="00D37B34">
        <w:fldChar w:fldCharType="end"/>
      </w:r>
      <w:r w:rsidR="00D37B34">
        <w:rPr>
          <w:lang w:val="es-CO" w:eastAsia="es-CO"/>
        </w:rPr>
        <w:t xml:space="preserve"> los escenarios y alternativas que se han diseñado por parte del Ministerio, a efectos de sensibilizar las variables críticas antes referidas y su impacto sobre la contraprestación, así como los resultados que arrojan los diferentes escenarios analizados y una descripción analítica de los impactos diferenciales de cada uno de ellos.</w:t>
      </w:r>
    </w:p>
    <w:p w14:paraId="120B3022" w14:textId="1D14F0BD" w:rsidR="00D37B34" w:rsidRDefault="00D37B34" w:rsidP="00D37B34">
      <w:pPr>
        <w:rPr>
          <w:lang w:val="es-CO" w:eastAsia="es-CO"/>
        </w:rPr>
      </w:pPr>
      <w:r>
        <w:rPr>
          <w:lang w:val="es-CO" w:eastAsia="es-CO"/>
        </w:rPr>
        <w:t>Finalmente, el capítulo presentará</w:t>
      </w:r>
      <w:r w:rsidR="002E14A0">
        <w:rPr>
          <w:lang w:val="es-CO" w:eastAsia="es-CO"/>
        </w:rPr>
        <w:t>,</w:t>
      </w:r>
      <w:r>
        <w:rPr>
          <w:lang w:val="es-CO" w:eastAsia="es-CO"/>
        </w:rPr>
        <w:t xml:space="preserve"> como conclusión</w:t>
      </w:r>
      <w:r w:rsidR="002E14A0">
        <w:rPr>
          <w:lang w:val="es-CO" w:eastAsia="es-CO"/>
        </w:rPr>
        <w:t>,</w:t>
      </w:r>
      <w:r>
        <w:rPr>
          <w:lang w:val="es-CO" w:eastAsia="es-CO"/>
        </w:rPr>
        <w:t xml:space="preserve"> la decisión adoptada por el MinTIC, estableciendo la contraprestación a cargo de los operadores del sector postal colombiano.</w:t>
      </w:r>
    </w:p>
    <w:p w14:paraId="524254B4" w14:textId="77777777" w:rsidR="00D37B34" w:rsidRDefault="00D37B34" w:rsidP="00D37B34">
      <w:pPr>
        <w:pStyle w:val="Ttulo2"/>
        <w:numPr>
          <w:ilvl w:val="1"/>
          <w:numId w:val="33"/>
        </w:numPr>
        <w:ind w:left="680" w:hanging="680"/>
        <w:rPr>
          <w:lang w:val="es-CO" w:eastAsia="es-CO"/>
        </w:rPr>
      </w:pPr>
      <w:bookmarkStart w:id="350" w:name="_Toc102057844"/>
      <w:bookmarkStart w:id="351" w:name="_Toc102245234"/>
      <w:bookmarkStart w:id="352" w:name="_Ref102639723"/>
      <w:bookmarkStart w:id="353" w:name="_Toc104118058"/>
      <w:bookmarkStart w:id="354" w:name="_Toc104272175"/>
      <w:r>
        <w:rPr>
          <w:lang w:val="es-CO" w:eastAsia="es-CO"/>
        </w:rPr>
        <w:lastRenderedPageBreak/>
        <w:t>Parámetros fundamentales y escenarios contemplados en la determinación de la contraprestación postal.</w:t>
      </w:r>
      <w:bookmarkEnd w:id="350"/>
      <w:bookmarkEnd w:id="351"/>
      <w:bookmarkEnd w:id="352"/>
      <w:bookmarkEnd w:id="353"/>
      <w:bookmarkEnd w:id="354"/>
    </w:p>
    <w:p w14:paraId="55B85AC0" w14:textId="77777777" w:rsidR="00D37B34" w:rsidRDefault="00D37B34" w:rsidP="00D37B34">
      <w:pPr>
        <w:rPr>
          <w:lang w:val="es-CO" w:eastAsia="es-CO"/>
        </w:rPr>
      </w:pPr>
      <w:r>
        <w:rPr>
          <w:lang w:val="es-CO" w:eastAsia="es-CO"/>
        </w:rPr>
        <w:t xml:space="preserve">A este punto, es importante resaltar el marco general y las tendencias que se han identificado a lo largo de los diferentes capítulos del presente documento y que marcan los principales parámetros y variables de control determinantes, con relación a la contraprestación a cargo del sector. </w:t>
      </w:r>
    </w:p>
    <w:p w14:paraId="1C7E5E08" w14:textId="77777777" w:rsidR="00D37B34" w:rsidRDefault="00D37B34" w:rsidP="00D37B34">
      <w:pPr>
        <w:rPr>
          <w:lang w:val="es-CO" w:eastAsia="es-CO"/>
        </w:rPr>
      </w:pPr>
      <w:r>
        <w:rPr>
          <w:lang w:val="es-CO" w:eastAsia="es-CO"/>
        </w:rPr>
        <w:t>A este respecto, las variables críticas de decisión son las que se señalan a continuación:</w:t>
      </w:r>
    </w:p>
    <w:p w14:paraId="36EA0A0F" w14:textId="4764535C" w:rsidR="00D37B34" w:rsidRDefault="00D37B34" w:rsidP="00D37B34">
      <w:pPr>
        <w:pStyle w:val="Ttulo3"/>
        <w:numPr>
          <w:ilvl w:val="2"/>
          <w:numId w:val="33"/>
        </w:numPr>
        <w:rPr>
          <w:lang w:val="es-CO" w:eastAsia="es-CO"/>
        </w:rPr>
      </w:pPr>
      <w:bookmarkStart w:id="355" w:name="_Toc102245235"/>
      <w:bookmarkStart w:id="356" w:name="_Toc104118059"/>
      <w:bookmarkStart w:id="357" w:name="_Toc104272176"/>
      <w:r>
        <w:rPr>
          <w:lang w:val="es-CO" w:eastAsia="es-CO"/>
        </w:rPr>
        <w:t>Pago por la prestación del servicio de franquicia postal.</w:t>
      </w:r>
      <w:bookmarkEnd w:id="355"/>
      <w:bookmarkEnd w:id="356"/>
      <w:bookmarkEnd w:id="357"/>
    </w:p>
    <w:p w14:paraId="4B90C148" w14:textId="69B32DE9" w:rsidR="00D37B34" w:rsidRDefault="00D37B34" w:rsidP="00D37B34">
      <w:pPr>
        <w:rPr>
          <w:lang w:val="es-CO" w:eastAsia="es-CO"/>
        </w:rPr>
      </w:pPr>
      <w:r>
        <w:rPr>
          <w:lang w:val="es-CO" w:eastAsia="es-CO"/>
        </w:rPr>
        <w:t xml:space="preserve">Una de las variables críticas la constituye la evolución futura de la franquicia postal. Como se pudo apreciar en la sección </w:t>
      </w:r>
      <w:r>
        <w:fldChar w:fldCharType="begin"/>
      </w:r>
      <w:r>
        <w:rPr>
          <w:lang w:val="es-CO" w:eastAsia="es-CO"/>
        </w:rPr>
        <w:instrText xml:space="preserve"> REF _Ref102128673 \r \h </w:instrText>
      </w:r>
      <w:r>
        <w:fldChar w:fldCharType="separate"/>
      </w:r>
      <w:r w:rsidR="00C57FCA">
        <w:rPr>
          <w:lang w:val="es-CO" w:eastAsia="es-CO"/>
        </w:rPr>
        <w:t>7.3.1</w:t>
      </w:r>
      <w:r>
        <w:fldChar w:fldCharType="end"/>
      </w:r>
      <w:r>
        <w:rPr>
          <w:lang w:val="es-CO" w:eastAsia="es-CO"/>
        </w:rPr>
        <w:t xml:space="preserve"> los envíos de la franquicia decrecieron a una tasa del 28,2% anual promedio en los pasados cinco años, pasando de 7,3 millones de envíos en 2016 a 1,4 millones en 2021. En este sentido, la variable que más impacta el análisis es la evolución de la franquicia postal. </w:t>
      </w:r>
    </w:p>
    <w:p w14:paraId="0B53CD36" w14:textId="77777777" w:rsidR="00D37B34" w:rsidRDefault="00D37B34" w:rsidP="00D37B34">
      <w:pPr>
        <w:rPr>
          <w:lang w:val="es-CO" w:eastAsia="es-CO"/>
        </w:rPr>
      </w:pPr>
      <w:r>
        <w:rPr>
          <w:lang w:val="es-CO" w:eastAsia="es-CO"/>
        </w:rPr>
        <w:t>En este sentido, es claro que impactan la decisión tanto las tendencias tecnológicas de la actualidad, así como la política que ha adoptado el Ministerio en materia de Gobierno en Línea y adopción de las TIC, así como la necesidad de múltiples entidades en materia de notificación y seguridad en sus procesos.</w:t>
      </w:r>
    </w:p>
    <w:p w14:paraId="28F4533B" w14:textId="77777777" w:rsidR="00D37B34" w:rsidRDefault="00D37B34" w:rsidP="00D37B34">
      <w:pPr>
        <w:pStyle w:val="Ttulo3"/>
        <w:numPr>
          <w:ilvl w:val="2"/>
          <w:numId w:val="33"/>
        </w:numPr>
        <w:rPr>
          <w:lang w:val="es-CO" w:eastAsia="es-CO"/>
        </w:rPr>
      </w:pPr>
      <w:bookmarkStart w:id="358" w:name="_Toc102245236"/>
      <w:bookmarkStart w:id="359" w:name="_Ref102919841"/>
      <w:bookmarkStart w:id="360" w:name="_Toc104118060"/>
      <w:bookmarkStart w:id="361" w:name="_Toc104272177"/>
      <w:r>
        <w:rPr>
          <w:lang w:val="es-CO" w:eastAsia="es-CO"/>
        </w:rPr>
        <w:t>Evolución del mercado de giros postales.</w:t>
      </w:r>
      <w:bookmarkEnd w:id="358"/>
      <w:bookmarkEnd w:id="359"/>
      <w:bookmarkEnd w:id="360"/>
      <w:bookmarkEnd w:id="361"/>
    </w:p>
    <w:p w14:paraId="4029C444" w14:textId="769EDD6B" w:rsidR="00D37B34" w:rsidRDefault="00D37B34" w:rsidP="00D37B34">
      <w:pPr>
        <w:rPr>
          <w:lang w:val="es-CO" w:eastAsia="es-CO"/>
        </w:rPr>
      </w:pPr>
      <w:r>
        <w:rPr>
          <w:lang w:val="es-CO" w:eastAsia="es-CO"/>
        </w:rPr>
        <w:t>Como se presentó en la sección 3.4 del Capítulo 3, los ingresos de los operadores del mercado de giros postales crecieron de manera significativa hasta el año 2018, experimentando a partir de allí y hasta el 2021 un descenso cercano a los $244,4 mil millones de pesos, acompañados de un disminución de los ingresos, posiblemente a raíz de las presiones competitivas provenientes de otros sectores que afectaron la evolución del mercado en el corto y mediano plazo, hecho que pone presión</w:t>
      </w:r>
      <w:r w:rsidR="00D44E30">
        <w:rPr>
          <w:lang w:val="es-CO" w:eastAsia="es-CO"/>
        </w:rPr>
        <w:t xml:space="preserve"> sobre la decisión</w:t>
      </w:r>
      <w:r w:rsidR="00AC6A88" w:rsidRPr="00AC6A88">
        <w:rPr>
          <w:lang w:val="es-CO" w:eastAsia="es-CO"/>
        </w:rPr>
        <w:t xml:space="preserve"> </w:t>
      </w:r>
      <w:r w:rsidR="00AC6A88">
        <w:rPr>
          <w:lang w:val="es-CO" w:eastAsia="es-CO"/>
        </w:rPr>
        <w:t>de la contraprestación a definir</w:t>
      </w:r>
      <w:r>
        <w:rPr>
          <w:lang w:val="es-CO" w:eastAsia="es-CO"/>
        </w:rPr>
        <w:t>.</w:t>
      </w:r>
    </w:p>
    <w:p w14:paraId="1D5B49A2" w14:textId="77777777" w:rsidR="00D37B34" w:rsidRDefault="00D37B34" w:rsidP="00D37B34">
      <w:pPr>
        <w:pStyle w:val="Ttulo3"/>
        <w:numPr>
          <w:ilvl w:val="2"/>
          <w:numId w:val="33"/>
        </w:numPr>
        <w:rPr>
          <w:lang w:val="es-CO" w:eastAsia="es-CO"/>
        </w:rPr>
      </w:pPr>
      <w:bookmarkStart w:id="362" w:name="_Toc102245237"/>
      <w:bookmarkStart w:id="363" w:name="_Toc104118061"/>
      <w:bookmarkStart w:id="364" w:name="_Toc104272178"/>
      <w:r>
        <w:rPr>
          <w:lang w:val="es-CO" w:eastAsia="es-CO"/>
        </w:rPr>
        <w:t>Evolución en los productos e ingresos del mercado de mensajería expresa. Envíos individuales de menor peso (menores a 2 kilogramos).</w:t>
      </w:r>
      <w:bookmarkEnd w:id="362"/>
      <w:bookmarkEnd w:id="363"/>
      <w:bookmarkEnd w:id="364"/>
    </w:p>
    <w:p w14:paraId="52249907" w14:textId="77777777" w:rsidR="00D37B34" w:rsidRDefault="00D37B34" w:rsidP="00D37B34">
      <w:pPr>
        <w:rPr>
          <w:lang w:val="es-CO" w:eastAsia="es-CO"/>
        </w:rPr>
      </w:pPr>
      <w:r>
        <w:rPr>
          <w:lang w:val="es-CO" w:eastAsia="es-CO"/>
        </w:rPr>
        <w:t>En el Capítulo 3 se pudo apreciar que el mercado de envíos individuales ha experimentado una desaceleración, como resultado del uso del correo electrónico y de otros medios virtuales, observándose una tasa de crecimiento del orden del 0,76% para los productos de envíos individuales inferiores a 2 kilogramos.</w:t>
      </w:r>
    </w:p>
    <w:p w14:paraId="610F7ED4" w14:textId="77777777" w:rsidR="00D37B34" w:rsidRDefault="00D37B34" w:rsidP="00D37B34">
      <w:pPr>
        <w:pStyle w:val="Ttulo3"/>
        <w:numPr>
          <w:ilvl w:val="2"/>
          <w:numId w:val="33"/>
        </w:numPr>
        <w:rPr>
          <w:lang w:val="es-CO" w:eastAsia="es-CO"/>
        </w:rPr>
      </w:pPr>
      <w:bookmarkStart w:id="365" w:name="_Toc104118062"/>
      <w:bookmarkStart w:id="366" w:name="_Toc104272179"/>
      <w:r>
        <w:rPr>
          <w:lang w:val="es-CO" w:eastAsia="es-CO"/>
        </w:rPr>
        <w:lastRenderedPageBreak/>
        <w:t>Evolución en los productos e ingresos del mercado de envíos masivos de mensajería expresa y de correo.</w:t>
      </w:r>
      <w:bookmarkEnd w:id="365"/>
      <w:bookmarkEnd w:id="366"/>
    </w:p>
    <w:p w14:paraId="2A816A53" w14:textId="77777777" w:rsidR="00D37B34" w:rsidRDefault="00D37B34" w:rsidP="00D37B34">
      <w:pPr>
        <w:rPr>
          <w:lang w:val="es-CO" w:eastAsia="es-CO"/>
        </w:rPr>
      </w:pPr>
      <w:r>
        <w:rPr>
          <w:lang w:val="es-CO" w:eastAsia="es-CO"/>
        </w:rPr>
        <w:t xml:space="preserve">Por otro lado, los mercados masivos han experimentado un descenso importante, como resultado de la sustitución de envíos físicos por electrónicos, gracias a una mayor, penetración de Internet, el uso de manera generalizada del correo electrónico y la producción de documentos electrónicos. </w:t>
      </w:r>
    </w:p>
    <w:p w14:paraId="41D8CDCA" w14:textId="77777777" w:rsidR="00D37B34" w:rsidRDefault="00D37B34" w:rsidP="00D37B34">
      <w:pPr>
        <w:pStyle w:val="Ttulo3"/>
        <w:numPr>
          <w:ilvl w:val="2"/>
          <w:numId w:val="33"/>
        </w:numPr>
        <w:rPr>
          <w:lang w:val="es-CO" w:eastAsia="es-CO"/>
        </w:rPr>
      </w:pPr>
      <w:bookmarkStart w:id="367" w:name="_Toc102170055"/>
      <w:bookmarkStart w:id="368" w:name="_Toc104118063"/>
      <w:bookmarkStart w:id="369" w:name="_Toc104272180"/>
      <w:bookmarkStart w:id="370" w:name="_Toc102245241"/>
      <w:r>
        <w:rPr>
          <w:lang w:val="es-CO" w:eastAsia="es-CO"/>
        </w:rPr>
        <w:t>Evolución y crecimiento significativo en los envíos de mensajería expresa de mayor tamaño (2 – 5 kilogramos).</w:t>
      </w:r>
      <w:bookmarkEnd w:id="367"/>
      <w:bookmarkEnd w:id="368"/>
      <w:bookmarkEnd w:id="369"/>
    </w:p>
    <w:p w14:paraId="355B9DD8" w14:textId="77777777" w:rsidR="00D37B34" w:rsidRDefault="00D37B34" w:rsidP="00D37B34">
      <w:pPr>
        <w:rPr>
          <w:lang w:val="es-CO" w:eastAsia="es-CO"/>
        </w:rPr>
      </w:pPr>
      <w:r>
        <w:rPr>
          <w:lang w:val="es-CO" w:eastAsia="es-CO"/>
        </w:rPr>
        <w:t>Asimismo, se constató que la baja tasa de crecimiento en el segmento de envíos individuales de menor tamaño y el descenso en los envíos masivos expresos ha sido compensado por el mayor crecimiento de los envíos de mayor peso, como resultado de la consolidación del comercio electrónico y del mercado subyacente de piezas postales de peso entre 2 y 5 kilogramos.</w:t>
      </w:r>
    </w:p>
    <w:p w14:paraId="16C32AAF" w14:textId="77777777" w:rsidR="00D37B34" w:rsidRDefault="00D37B34" w:rsidP="00D37B34">
      <w:pPr>
        <w:pStyle w:val="Ttulo3"/>
        <w:numPr>
          <w:ilvl w:val="2"/>
          <w:numId w:val="33"/>
        </w:numPr>
        <w:rPr>
          <w:lang w:val="es-CO" w:eastAsia="es-CO"/>
        </w:rPr>
      </w:pPr>
      <w:bookmarkStart w:id="371" w:name="_Toc102170056"/>
      <w:bookmarkStart w:id="372" w:name="_Toc104118064"/>
      <w:bookmarkStart w:id="373" w:name="_Toc104272181"/>
      <w:r>
        <w:rPr>
          <w:lang w:val="es-CO" w:eastAsia="es-CO"/>
        </w:rPr>
        <w:t>Tendencia en los ingresos de los productos del Servicio Postal Universal.</w:t>
      </w:r>
      <w:bookmarkEnd w:id="371"/>
      <w:bookmarkEnd w:id="372"/>
      <w:bookmarkEnd w:id="373"/>
    </w:p>
    <w:p w14:paraId="58492C6D" w14:textId="77777777" w:rsidR="00D37B34" w:rsidRDefault="00D37B34" w:rsidP="00D37B34">
      <w:pPr>
        <w:rPr>
          <w:lang w:val="es-CO" w:eastAsia="es-CO"/>
        </w:rPr>
      </w:pPr>
      <w:r>
        <w:rPr>
          <w:lang w:val="es-CO" w:eastAsia="es-CO"/>
        </w:rPr>
        <w:t xml:space="preserve">En el Capítulo 2 se observó que el segmento de correo individual de envíos del OPO ha venido perdiendo dinámica en el tiempo, reflejado en el volumen de envíos individuales, presentando tendencias a la baja en sus ingresos en el tiempo.  Asimismo, se observó que, con la profundización del Internet de banda ancha y del mayor uso de los servicios informáticos electrónicos, las piezas postales y la correspondencia de menor peso, que han sido consideradas como uno de los principales componentes del SPU, se encuentran perdiendo relevancia.  Este hecho reduce los ingresos asociados a los productos del SPU. </w:t>
      </w:r>
    </w:p>
    <w:p w14:paraId="0A3A3BED" w14:textId="77777777" w:rsidR="00D37B34" w:rsidRDefault="00D37B34" w:rsidP="00D37B34">
      <w:pPr>
        <w:pStyle w:val="Ttulo3"/>
        <w:numPr>
          <w:ilvl w:val="2"/>
          <w:numId w:val="33"/>
        </w:numPr>
        <w:rPr>
          <w:lang w:val="es-CO" w:eastAsia="es-CO"/>
        </w:rPr>
      </w:pPr>
      <w:bookmarkStart w:id="374" w:name="_Toc102170057"/>
      <w:bookmarkStart w:id="375" w:name="_Toc104118065"/>
      <w:bookmarkStart w:id="376" w:name="_Toc104272182"/>
      <w:r>
        <w:rPr>
          <w:lang w:val="es-CO" w:eastAsia="es-CO"/>
        </w:rPr>
        <w:t>Evolución en el déficit causado por la prestación del Servicio Postal Universal.</w:t>
      </w:r>
      <w:bookmarkEnd w:id="374"/>
      <w:bookmarkEnd w:id="375"/>
      <w:bookmarkEnd w:id="376"/>
    </w:p>
    <w:p w14:paraId="77199CE8" w14:textId="6EA6A9D6" w:rsidR="00D37B34" w:rsidRDefault="00D37B34" w:rsidP="00D37B34">
      <w:pPr>
        <w:rPr>
          <w:lang w:val="es-CO" w:eastAsia="es-CO"/>
        </w:rPr>
      </w:pPr>
      <w:r>
        <w:rPr>
          <w:lang w:val="es-CO" w:eastAsia="es-CO"/>
        </w:rPr>
        <w:t>Finalmente, se evidencia que tanto las piezas movilizada</w:t>
      </w:r>
      <w:r w:rsidR="00F00A0F">
        <w:rPr>
          <w:lang w:val="es-CO" w:eastAsia="es-CO"/>
        </w:rPr>
        <w:t>s</w:t>
      </w:r>
      <w:r>
        <w:rPr>
          <w:lang w:val="es-CO" w:eastAsia="es-CO"/>
        </w:rPr>
        <w:t>, como los valores del déficit, asociados a la prestación del SPU han venido decreciendo en el tiempo, pasando de $19.</w:t>
      </w:r>
      <w:r w:rsidR="00FA29E5" w:rsidRPr="00F441CC">
        <w:rPr>
          <w:lang w:val="es-CO" w:eastAsia="es-CO"/>
        </w:rPr>
        <w:t>1</w:t>
      </w:r>
      <w:r w:rsidRPr="00F441CC">
        <w:rPr>
          <w:lang w:val="es-CO" w:eastAsia="es-CO"/>
        </w:rPr>
        <w:t>45 millones en 2016 a $5.946 millones en 2020 (expresado en pesos constantes de diciembre de 2021).</w:t>
      </w:r>
      <w:r>
        <w:rPr>
          <w:lang w:val="es-CO" w:eastAsia="es-CO"/>
        </w:rPr>
        <w:t xml:space="preserve"> </w:t>
      </w:r>
      <w:r w:rsidR="00FA29E5">
        <w:rPr>
          <w:lang w:val="es-CO" w:eastAsia="es-CO"/>
        </w:rPr>
        <w:t xml:space="preserve">Asimismo, el número de envíos ha disminuido de </w:t>
      </w:r>
      <w:r w:rsidR="00FA29E5" w:rsidRPr="000E6930">
        <w:rPr>
          <w:lang w:val="es-CO" w:eastAsia="es-CO"/>
        </w:rPr>
        <w:t xml:space="preserve">12,1 millones de envíos </w:t>
      </w:r>
      <w:r w:rsidR="000E6930" w:rsidRPr="000E6930">
        <w:rPr>
          <w:lang w:val="es-CO" w:eastAsia="es-CO"/>
        </w:rPr>
        <w:t xml:space="preserve">en 2016 </w:t>
      </w:r>
      <w:r w:rsidR="00FA29E5" w:rsidRPr="000E6930">
        <w:rPr>
          <w:lang w:val="es-CO" w:eastAsia="es-CO"/>
        </w:rPr>
        <w:t>a 2,</w:t>
      </w:r>
      <w:r w:rsidR="00F441CC" w:rsidRPr="000E6930">
        <w:rPr>
          <w:lang w:val="es-CO" w:eastAsia="es-CO"/>
        </w:rPr>
        <w:t>3 millones</w:t>
      </w:r>
      <w:r w:rsidR="000E6930" w:rsidRPr="000E6930">
        <w:rPr>
          <w:lang w:val="es-CO" w:eastAsia="es-CO"/>
        </w:rPr>
        <w:t xml:space="preserve"> en 2020</w:t>
      </w:r>
      <w:r w:rsidR="00F441CC">
        <w:rPr>
          <w:lang w:val="es-CO" w:eastAsia="es-CO"/>
        </w:rPr>
        <w:t>.</w:t>
      </w:r>
      <w:r w:rsidR="00FA29E5">
        <w:rPr>
          <w:lang w:val="es-CO" w:eastAsia="es-CO"/>
        </w:rPr>
        <w:t xml:space="preserve"> </w:t>
      </w:r>
      <w:r>
        <w:rPr>
          <w:lang w:val="es-CO" w:eastAsia="es-CO"/>
        </w:rPr>
        <w:t>En este sentido, los pagos del Fondo por concepto del déficit generado por la prestación del SPU se han reducido de manera significativa en los pasados cuatro años, disminuyendo, en pesos constantes, a tasas del 26,2% promedio anual. Esta es una variable sensible que afecta los egresos de la caja del Fondo durante el período de análisis,</w:t>
      </w:r>
      <w:r w:rsidR="00F00A0F">
        <w:rPr>
          <w:lang w:val="es-CO" w:eastAsia="es-CO"/>
        </w:rPr>
        <w:t xml:space="preserve"> </w:t>
      </w:r>
      <w:r>
        <w:rPr>
          <w:lang w:val="es-CO" w:eastAsia="es-CO"/>
        </w:rPr>
        <w:t>disminuyendo la presión sobre los pagos del FUTIC a favor de SPN.</w:t>
      </w:r>
    </w:p>
    <w:p w14:paraId="2CA557C2" w14:textId="77777777" w:rsidR="00D37B34" w:rsidRDefault="00D37B34" w:rsidP="00D37B34">
      <w:pPr>
        <w:pStyle w:val="Ttulo2"/>
        <w:numPr>
          <w:ilvl w:val="1"/>
          <w:numId w:val="33"/>
        </w:numPr>
        <w:ind w:left="680" w:hanging="680"/>
        <w:rPr>
          <w:lang w:val="es-CO" w:eastAsia="es-CO"/>
        </w:rPr>
      </w:pPr>
      <w:bookmarkStart w:id="377" w:name="_Toc104118066"/>
      <w:bookmarkStart w:id="378" w:name="_Toc104272183"/>
      <w:bookmarkStart w:id="379" w:name="_Ref102919919"/>
      <w:r>
        <w:rPr>
          <w:lang w:val="es-CO" w:eastAsia="es-CO"/>
        </w:rPr>
        <w:lastRenderedPageBreak/>
        <w:t>definición de la contraprestación: escenarios de política.</w:t>
      </w:r>
      <w:bookmarkEnd w:id="377"/>
      <w:bookmarkEnd w:id="378"/>
      <w:r>
        <w:rPr>
          <w:lang w:val="es-CO" w:eastAsia="es-CO"/>
        </w:rPr>
        <w:t xml:space="preserve"> </w:t>
      </w:r>
      <w:bookmarkEnd w:id="370"/>
      <w:bookmarkEnd w:id="379"/>
    </w:p>
    <w:p w14:paraId="5E248178" w14:textId="3F1A65D4" w:rsidR="00D37B34" w:rsidRDefault="00D37B34" w:rsidP="00D37B34">
      <w:pPr>
        <w:rPr>
          <w:lang w:val="es-CO" w:eastAsia="es-CO"/>
        </w:rPr>
      </w:pPr>
      <w:r>
        <w:rPr>
          <w:lang w:val="es-CO" w:eastAsia="es-CO"/>
        </w:rPr>
        <w:t>Con las variables anteriormente expuestas, se han construido cinco escenarios de proyección sobre la estructura financiera del FUTIC con relación al sector postal</w:t>
      </w:r>
      <w:r w:rsidR="00F00A0F">
        <w:rPr>
          <w:lang w:val="es-CO" w:eastAsia="es-CO"/>
        </w:rPr>
        <w:t>.</w:t>
      </w:r>
      <w:r>
        <w:rPr>
          <w:lang w:val="es-CO" w:eastAsia="es-CO"/>
        </w:rPr>
        <w:t xml:space="preserve"> La combinación de los parámetros críticos en las finanzas del Fondo contempla, en su conjunto, cada uno de los cinco escenarios a modelar, a través de los cuales se podrán generar elementos de política para determinar la contraprestación que pagarán los operadores del sector postal durante los próximos dos años. Los escenarios que se han definido son los que se describen en la </w:t>
      </w:r>
      <w:r>
        <w:fldChar w:fldCharType="begin"/>
      </w:r>
      <w:r>
        <w:rPr>
          <w:lang w:val="es-CO" w:eastAsia="es-CO"/>
        </w:rPr>
        <w:instrText xml:space="preserve"> REF _Ref102300339 \h </w:instrText>
      </w:r>
      <w:r>
        <w:fldChar w:fldCharType="separate"/>
      </w:r>
      <w:r w:rsidR="00C57FCA">
        <w:t xml:space="preserve">Tabla </w:t>
      </w:r>
      <w:r w:rsidR="00C57FCA">
        <w:rPr>
          <w:noProof/>
        </w:rPr>
        <w:t>8</w:t>
      </w:r>
      <w:r w:rsidR="00C57FCA">
        <w:noBreakHyphen/>
      </w:r>
      <w:r w:rsidR="00C57FCA">
        <w:rPr>
          <w:noProof/>
        </w:rPr>
        <w:t>1</w:t>
      </w:r>
      <w:r>
        <w:fldChar w:fldCharType="end"/>
      </w:r>
      <w:r>
        <w:rPr>
          <w:lang w:val="es-CO" w:eastAsia="es-CO"/>
        </w:rPr>
        <w:t xml:space="preserve"> y cuyos resultados se presentan en la</w:t>
      </w:r>
      <w:r w:rsidR="00C57FCA">
        <w:rPr>
          <w:lang w:val="es-CO" w:eastAsia="es-CO"/>
        </w:rPr>
        <w:t xml:space="preserve"> </w:t>
      </w:r>
      <w:r w:rsidR="00C57FCA">
        <w:rPr>
          <w:lang w:val="es-CO" w:eastAsia="es-CO"/>
        </w:rPr>
        <w:fldChar w:fldCharType="begin"/>
      </w:r>
      <w:r w:rsidR="00C57FCA">
        <w:rPr>
          <w:lang w:val="es-CO" w:eastAsia="es-CO"/>
        </w:rPr>
        <w:instrText xml:space="preserve"> REF _Ref103945107 \h </w:instrText>
      </w:r>
      <w:r w:rsidR="00C57FCA">
        <w:rPr>
          <w:lang w:val="es-CO" w:eastAsia="es-CO"/>
        </w:rPr>
      </w:r>
      <w:r w:rsidR="00C57FCA">
        <w:rPr>
          <w:lang w:val="es-CO" w:eastAsia="es-CO"/>
        </w:rPr>
        <w:fldChar w:fldCharType="separate"/>
      </w:r>
      <w:r w:rsidR="00C57FCA">
        <w:t xml:space="preserve">Gráfica </w:t>
      </w:r>
      <w:r w:rsidR="00C57FCA">
        <w:rPr>
          <w:noProof/>
        </w:rPr>
        <w:t>8</w:t>
      </w:r>
      <w:r w:rsidR="00C57FCA">
        <w:noBreakHyphen/>
      </w:r>
      <w:r w:rsidR="00C57FCA">
        <w:rPr>
          <w:noProof/>
        </w:rPr>
        <w:t>1</w:t>
      </w:r>
      <w:r w:rsidR="00C57FCA">
        <w:rPr>
          <w:lang w:val="es-CO" w:eastAsia="es-CO"/>
        </w:rPr>
        <w:fldChar w:fldCharType="end"/>
      </w:r>
      <w:r>
        <w:rPr>
          <w:lang w:val="es-CO" w:eastAsia="es-CO"/>
        </w:rPr>
        <w:t xml:space="preserve">. </w:t>
      </w:r>
    </w:p>
    <w:p w14:paraId="3987CA30" w14:textId="77777777" w:rsidR="00D37B34" w:rsidRDefault="00D37B34" w:rsidP="00D37B34">
      <w:pPr>
        <w:rPr>
          <w:lang w:val="es-CO" w:eastAsia="es-CO"/>
        </w:rPr>
      </w:pPr>
      <w:r>
        <w:rPr>
          <w:lang w:val="es-CO" w:eastAsia="es-CO"/>
        </w:rPr>
        <w:t>A este respecto, se han generado dos escenarios extremos, y en el intermedio se encuentran los tres escenarios alternativos. De un lado, el escenario Extremo 1 corresponde a la situación observada con información diciembre de 2021. De otro lado, el segundo escenario extremo supone que los gastos y costos del sector postal aumentan la presión sobre el Fondo, tal como se presentaba en los años previos a la disrupción de la pandemia ocasionada por el COVID-19. Los valores de los escenarios alternativos restantes recogen las condiciones entre los dos escenarios extremos para los parámetros claves del modelo.</w:t>
      </w:r>
    </w:p>
    <w:p w14:paraId="29645500" w14:textId="509408C4" w:rsidR="00D37B34" w:rsidRDefault="00D37B34" w:rsidP="00D37B34">
      <w:pPr>
        <w:pStyle w:val="Descripcin"/>
      </w:pPr>
      <w:bookmarkStart w:id="380" w:name="_Ref102300339"/>
      <w:bookmarkStart w:id="381" w:name="_Toc104124781"/>
      <w:bookmarkStart w:id="382" w:name="_Toc104227936"/>
      <w:r>
        <w:t xml:space="preserve">Tabla </w:t>
      </w:r>
      <w:r w:rsidR="0037093A">
        <w:fldChar w:fldCharType="begin"/>
      </w:r>
      <w:r w:rsidR="0037093A">
        <w:instrText xml:space="preserve"> STYLEREF 1 \s </w:instrText>
      </w:r>
      <w:r w:rsidR="0037093A">
        <w:fldChar w:fldCharType="separate"/>
      </w:r>
      <w:r w:rsidR="00C57FCA">
        <w:rPr>
          <w:noProof/>
        </w:rPr>
        <w:t>8</w:t>
      </w:r>
      <w:r w:rsidR="0037093A">
        <w:rPr>
          <w:noProof/>
        </w:rPr>
        <w:fldChar w:fldCharType="end"/>
      </w:r>
      <w:r>
        <w:noBreakHyphen/>
      </w:r>
      <w:r w:rsidR="0037093A">
        <w:fldChar w:fldCharType="begin"/>
      </w:r>
      <w:r w:rsidR="0037093A">
        <w:instrText xml:space="preserve"> SEQ Tabla \* ARABIC \s 1 </w:instrText>
      </w:r>
      <w:r w:rsidR="0037093A">
        <w:fldChar w:fldCharType="separate"/>
      </w:r>
      <w:r w:rsidR="00C57FCA">
        <w:rPr>
          <w:noProof/>
        </w:rPr>
        <w:t>1</w:t>
      </w:r>
      <w:r w:rsidR="0037093A">
        <w:rPr>
          <w:noProof/>
        </w:rPr>
        <w:fldChar w:fldCharType="end"/>
      </w:r>
      <w:bookmarkEnd w:id="380"/>
      <w:r>
        <w:t xml:space="preserve"> – Definición de la contraprestación del sector postal: Escenarios de política</w:t>
      </w:r>
      <w:bookmarkEnd w:id="381"/>
      <w:bookmarkEnd w:id="382"/>
    </w:p>
    <w:p w14:paraId="091DB85F" w14:textId="77777777" w:rsidR="00D37B34" w:rsidRDefault="00D37B34" w:rsidP="00D37B34">
      <w:pPr>
        <w:pStyle w:val="Grfica"/>
        <w:rPr>
          <w:vertAlign w:val="superscript"/>
        </w:rPr>
      </w:pPr>
      <w:r>
        <w:rPr>
          <w:noProof/>
          <w:lang w:eastAsia="es-CO"/>
        </w:rPr>
        <w:drawing>
          <wp:inline distT="0" distB="0" distL="0" distR="0" wp14:anchorId="2DF6F5D1" wp14:editId="7641159C">
            <wp:extent cx="5848350" cy="1800225"/>
            <wp:effectExtent l="0" t="0" r="0" b="9525"/>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8350" cy="1800225"/>
                    </a:xfrm>
                    <a:prstGeom prst="rect">
                      <a:avLst/>
                    </a:prstGeom>
                    <a:noFill/>
                    <a:ln>
                      <a:noFill/>
                    </a:ln>
                  </pic:spPr>
                </pic:pic>
              </a:graphicData>
            </a:graphic>
          </wp:inline>
        </w:drawing>
      </w:r>
    </w:p>
    <w:p w14:paraId="5436C00B" w14:textId="77777777" w:rsidR="00D37B34" w:rsidRDefault="00D37B34" w:rsidP="00D37B34">
      <w:pPr>
        <w:pStyle w:val="FuentedeGrfica"/>
        <w:spacing w:after="0"/>
        <w:ind w:left="1135"/>
      </w:pPr>
      <w:r>
        <w:rPr>
          <w:vertAlign w:val="superscript"/>
        </w:rPr>
        <w:t>1</w:t>
      </w:r>
      <w:r>
        <w:t xml:space="preserve"> </w:t>
      </w:r>
      <w:r>
        <w:tab/>
        <w:t>M /E (2 – 5 K): Envíos de mayor tamaño de mensajería expresa, entre 2 y 5 kilogramos.</w:t>
      </w:r>
    </w:p>
    <w:p w14:paraId="5372544A" w14:textId="77777777" w:rsidR="00D37B34" w:rsidRDefault="00D37B34" w:rsidP="00D37B34">
      <w:pPr>
        <w:pStyle w:val="FuentedeGrfica"/>
      </w:pPr>
      <w:r>
        <w:t>FUENTE: MinTIC. Subdirección Postal. Modelo de proyección postal.</w:t>
      </w:r>
    </w:p>
    <w:p w14:paraId="6418831B" w14:textId="77777777" w:rsidR="00D37B34" w:rsidRDefault="00D37B34" w:rsidP="00D37B34">
      <w:pPr>
        <w:pStyle w:val="Ttulo3"/>
        <w:numPr>
          <w:ilvl w:val="2"/>
          <w:numId w:val="33"/>
        </w:numPr>
        <w:rPr>
          <w:lang w:val="es-CO" w:eastAsia="es-CO"/>
        </w:rPr>
      </w:pPr>
      <w:bookmarkStart w:id="383" w:name="_Toc102245242"/>
      <w:bookmarkStart w:id="384" w:name="_Toc104118067"/>
      <w:bookmarkStart w:id="385" w:name="_Toc104272184"/>
      <w:r>
        <w:rPr>
          <w:lang w:val="es-CO" w:eastAsia="es-CO"/>
        </w:rPr>
        <w:t>Escenario extremo 1.</w:t>
      </w:r>
      <w:bookmarkEnd w:id="383"/>
      <w:bookmarkEnd w:id="384"/>
      <w:bookmarkEnd w:id="385"/>
    </w:p>
    <w:p w14:paraId="1B6A960D" w14:textId="77777777" w:rsidR="00D37B34" w:rsidRDefault="00D37B34" w:rsidP="00D37B34">
      <w:pPr>
        <w:rPr>
          <w:lang w:val="es-CO" w:eastAsia="es-CO"/>
        </w:rPr>
      </w:pPr>
      <w:r>
        <w:rPr>
          <w:lang w:val="es-CO" w:eastAsia="es-CO"/>
        </w:rPr>
        <w:t xml:space="preserve">El escenario base contempla el caso en que se mantienen las medidas adoptadas con el </w:t>
      </w:r>
      <w:r>
        <w:t xml:space="preserve">Decreto Legislativo 806 de 2020 y con el Decreto 491 de 2020. </w:t>
      </w:r>
      <w:r>
        <w:rPr>
          <w:lang w:val="es-CO" w:eastAsia="es-CO"/>
        </w:rPr>
        <w:t xml:space="preserve">Asimismo, se supone que las tendencias observadas en el crecimiento de los mercados de giros postales y mensajería expresa se mantendrían en </w:t>
      </w:r>
      <w:r>
        <w:rPr>
          <w:lang w:val="es-CO" w:eastAsia="es-CO"/>
        </w:rPr>
        <w:lastRenderedPageBreak/>
        <w:t>los próximos dos años. Igualmente, se supone que el volumen movilizado de giros continuará disminuyendo a una tasa anual del 1,4% en el período, y que el servicio de encomiendas y los envíos de mensajería expresa de mayor peso aumentan en 10,6% y en 15,9%, respectivamente. Entre tanto, los costos y gastos asociados a la prestación del SPU se mantienen en los niveles observados para el año 2021.</w:t>
      </w:r>
    </w:p>
    <w:p w14:paraId="630B3222" w14:textId="3BFC0285" w:rsidR="00D37B34" w:rsidRDefault="00D37B34" w:rsidP="00D37B34">
      <w:pPr>
        <w:rPr>
          <w:lang w:val="es-CO" w:eastAsia="es-CO"/>
        </w:rPr>
      </w:pPr>
      <w:r>
        <w:rPr>
          <w:lang w:val="es-CO" w:eastAsia="es-CO"/>
        </w:rPr>
        <w:t xml:space="preserve">Con base en esta información, el escenario extremo 1, como se aprecia en la </w:t>
      </w:r>
      <w:r w:rsidR="00801D25">
        <w:fldChar w:fldCharType="begin"/>
      </w:r>
      <w:r w:rsidR="00801D25">
        <w:rPr>
          <w:lang w:val="es-CO" w:eastAsia="es-CO"/>
        </w:rPr>
        <w:instrText xml:space="preserve"> REF _Ref103945107 \h </w:instrText>
      </w:r>
      <w:r w:rsidR="00801D25">
        <w:fldChar w:fldCharType="separate"/>
      </w:r>
      <w:r w:rsidR="00801D25">
        <w:t xml:space="preserve">Gráfica </w:t>
      </w:r>
      <w:r w:rsidR="00801D25">
        <w:rPr>
          <w:noProof/>
        </w:rPr>
        <w:t>8</w:t>
      </w:r>
      <w:r w:rsidR="00801D25">
        <w:noBreakHyphen/>
      </w:r>
      <w:r w:rsidR="00801D25">
        <w:rPr>
          <w:noProof/>
        </w:rPr>
        <w:t>1</w:t>
      </w:r>
      <w:r w:rsidR="00801D25">
        <w:fldChar w:fldCharType="end"/>
      </w:r>
      <w:r>
        <w:rPr>
          <w:lang w:val="es-CO" w:eastAsia="es-CO"/>
        </w:rPr>
        <w:t>,  estima un valor en la contraprestación</w:t>
      </w:r>
      <w:r>
        <w:rPr>
          <w:b/>
          <w:bCs/>
          <w:lang w:val="es-CO" w:eastAsia="es-CO"/>
        </w:rPr>
        <w:t xml:space="preserve"> </w:t>
      </w:r>
      <w:r w:rsidRPr="0070045C">
        <w:rPr>
          <w:lang w:val="es-CO" w:eastAsia="es-CO"/>
        </w:rPr>
        <w:t>del 0,65%,</w:t>
      </w:r>
      <w:r>
        <w:rPr>
          <w:lang w:val="es-CO" w:eastAsia="es-CO"/>
        </w:rPr>
        <w:t xml:space="preserve"> impulsado, principalmente, por el comportamiento de la franquicia postal, que mantiene el comportamiento observado en el año 2021.</w:t>
      </w:r>
    </w:p>
    <w:p w14:paraId="3F8F3225" w14:textId="77777777" w:rsidR="00D37B34" w:rsidRDefault="00D37B34" w:rsidP="00D37B34">
      <w:pPr>
        <w:pStyle w:val="Ttulo3"/>
        <w:numPr>
          <w:ilvl w:val="2"/>
          <w:numId w:val="33"/>
        </w:numPr>
        <w:rPr>
          <w:lang w:val="es-CO" w:eastAsia="es-CO"/>
        </w:rPr>
      </w:pPr>
      <w:bookmarkStart w:id="386" w:name="_Toc104118068"/>
      <w:bookmarkStart w:id="387" w:name="_Toc104272185"/>
      <w:r>
        <w:rPr>
          <w:lang w:val="es-CO" w:eastAsia="es-CO"/>
        </w:rPr>
        <w:t>Escenario Alternativo A.</w:t>
      </w:r>
      <w:bookmarkEnd w:id="386"/>
      <w:bookmarkEnd w:id="387"/>
    </w:p>
    <w:p w14:paraId="73838F94" w14:textId="1B108153" w:rsidR="00D37B34" w:rsidRDefault="00D37B34" w:rsidP="00D37B34">
      <w:pPr>
        <w:rPr>
          <w:lang w:val="es-CO" w:eastAsia="es-CO"/>
        </w:rPr>
      </w:pPr>
      <w:r>
        <w:rPr>
          <w:lang w:val="es-CO" w:eastAsia="es-CO"/>
        </w:rPr>
        <w:t>El escenario alternativo A, se realiza sobr</w:t>
      </w:r>
      <w:r w:rsidR="00F00A0F">
        <w:rPr>
          <w:lang w:val="es-CO" w:eastAsia="es-CO"/>
        </w:rPr>
        <w:t>e</w:t>
      </w:r>
      <w:r>
        <w:rPr>
          <w:lang w:val="es-CO" w:eastAsia="es-CO"/>
        </w:rPr>
        <w:t xml:space="preserve"> el supuesto que se agotan las medidas extraordinarias adoptadas en el escenario de la pandemia del COVID 19 iniciada en el 2020 y, de una manera parcial, las entidades y agencias del Estado vuelven a utilizar el servicio de la franquicia postal, aumentando así el volumen de envíos en los años 2023 y 2024, tal que el promedio anual facturado en esos dos años asciende a $17.606 millones.</w:t>
      </w:r>
    </w:p>
    <w:p w14:paraId="19280E50" w14:textId="77777777" w:rsidR="00D37B34" w:rsidRDefault="00D37B34" w:rsidP="00D37B34">
      <w:r>
        <w:rPr>
          <w:lang w:val="es-CO" w:eastAsia="es-CO"/>
        </w:rPr>
        <w:t>El escenario asume, igualmente, una caída del 5% en el volumen de giros postales. Asimismo, los costos y gastos del SPU aumentan a una tasa del 3%, acompañados de un crecimiento del 15% en el volumen de encomiendas y del 20% en los envíos de mensajería expresa de mayor peso.</w:t>
      </w:r>
    </w:p>
    <w:p w14:paraId="30B9DC1E" w14:textId="7EFF7EBB" w:rsidR="00D37B34" w:rsidRDefault="00D37B34" w:rsidP="00D37B34">
      <w:pPr>
        <w:rPr>
          <w:lang w:val="es-CO" w:eastAsia="es-CO"/>
        </w:rPr>
      </w:pPr>
      <w:r>
        <w:rPr>
          <w:lang w:val="es-CO" w:eastAsia="es-CO"/>
        </w:rPr>
        <w:t xml:space="preserve">Como se presenta en la </w:t>
      </w:r>
      <w:r w:rsidR="00801D25">
        <w:fldChar w:fldCharType="begin"/>
      </w:r>
      <w:r w:rsidR="00801D25">
        <w:rPr>
          <w:lang w:val="es-CO" w:eastAsia="es-CO"/>
        </w:rPr>
        <w:instrText xml:space="preserve"> REF _Ref103945107 \h </w:instrText>
      </w:r>
      <w:r w:rsidR="00801D25">
        <w:fldChar w:fldCharType="separate"/>
      </w:r>
      <w:r w:rsidR="00801D25">
        <w:t xml:space="preserve">Gráfica </w:t>
      </w:r>
      <w:r w:rsidR="00801D25">
        <w:rPr>
          <w:noProof/>
        </w:rPr>
        <w:t>8</w:t>
      </w:r>
      <w:r w:rsidR="00801D25">
        <w:noBreakHyphen/>
      </w:r>
      <w:r w:rsidR="00801D25">
        <w:rPr>
          <w:noProof/>
        </w:rPr>
        <w:t>1</w:t>
      </w:r>
      <w:r w:rsidR="00801D25">
        <w:fldChar w:fldCharType="end"/>
      </w:r>
      <w:r w:rsidR="00801D25">
        <w:rPr>
          <w:lang w:val="es-CO" w:eastAsia="es-CO"/>
        </w:rPr>
        <w:t>,</w:t>
      </w:r>
      <w:r>
        <w:rPr>
          <w:lang w:val="es-CO" w:eastAsia="es-CO"/>
        </w:rPr>
        <w:t xml:space="preserve"> bajo los anteriores parámetros y con el objetivo de equilibrar las finanzas del Fondo, se haría necesario ajustar el valor de la contraprestación a cargo de los operadores postales para los próximos dos años a niveles del </w:t>
      </w:r>
      <w:r w:rsidRPr="0070045C">
        <w:rPr>
          <w:lang w:val="es-CO" w:eastAsia="es-CO"/>
        </w:rPr>
        <w:t>1,16%,</w:t>
      </w:r>
      <w:r>
        <w:rPr>
          <w:lang w:val="es-CO" w:eastAsia="es-CO"/>
        </w:rPr>
        <w:t xml:space="preserve"> calculada sobre ingresos brutos.</w:t>
      </w:r>
    </w:p>
    <w:p w14:paraId="653E488F" w14:textId="77777777" w:rsidR="00D37B34" w:rsidRDefault="00D37B34" w:rsidP="00D37B34">
      <w:pPr>
        <w:pStyle w:val="Ttulo3"/>
        <w:numPr>
          <w:ilvl w:val="2"/>
          <w:numId w:val="33"/>
        </w:numPr>
        <w:rPr>
          <w:lang w:val="es-CO" w:eastAsia="es-CO"/>
        </w:rPr>
      </w:pPr>
      <w:bookmarkStart w:id="388" w:name="_Toc104118069"/>
      <w:bookmarkStart w:id="389" w:name="_Toc104272186"/>
      <w:r>
        <w:rPr>
          <w:lang w:val="es-CO" w:eastAsia="es-CO"/>
        </w:rPr>
        <w:t>Escenario Alternativo B.</w:t>
      </w:r>
      <w:bookmarkEnd w:id="388"/>
      <w:bookmarkEnd w:id="389"/>
    </w:p>
    <w:p w14:paraId="217271BD" w14:textId="7B3A8E52" w:rsidR="00D37B34" w:rsidRDefault="00D37B34" w:rsidP="00D37B34">
      <w:pPr>
        <w:rPr>
          <w:lang w:val="es-CO" w:eastAsia="es-CO"/>
        </w:rPr>
      </w:pPr>
      <w:r>
        <w:rPr>
          <w:lang w:val="es-CO" w:eastAsia="es-CO"/>
        </w:rPr>
        <w:t>En este escenario la franquicia postal aumenta a un promedio anual de $27.088 millones en los años 2023 y 2024, sin embargo, se observaría, una disminución del 7,5% en el volumen de giros postales. Asimismo, los costos y gastos asociados al SPU aumentarían a una tasa del 6% anual, acompañados de un crecimiento del 20% en el volumen de los envíos de encomiendas y del 22,5% en los envíos de mensajería expresa de mayor peso</w:t>
      </w:r>
      <w:r w:rsidR="00F00AEB">
        <w:rPr>
          <w:lang w:val="es-CO" w:eastAsia="es-CO"/>
        </w:rPr>
        <w:t>.</w:t>
      </w:r>
    </w:p>
    <w:p w14:paraId="3E8226B1" w14:textId="6AE96334" w:rsidR="00D37B34" w:rsidRDefault="00D37B34" w:rsidP="00D37B34">
      <w:pPr>
        <w:rPr>
          <w:lang w:val="es-CO" w:eastAsia="es-CO"/>
        </w:rPr>
      </w:pPr>
      <w:r>
        <w:rPr>
          <w:lang w:val="es-CO" w:eastAsia="es-CO"/>
        </w:rPr>
        <w:lastRenderedPageBreak/>
        <w:t xml:space="preserve">Como se presenta en la </w:t>
      </w:r>
      <w:r>
        <w:fldChar w:fldCharType="begin"/>
      </w:r>
      <w:r>
        <w:rPr>
          <w:lang w:val="es-CO" w:eastAsia="es-CO"/>
        </w:rPr>
        <w:instrText xml:space="preserve"> REF _Ref103945107 \h </w:instrText>
      </w:r>
      <w:r>
        <w:fldChar w:fldCharType="separate"/>
      </w:r>
      <w:r w:rsidR="00C57FCA">
        <w:t xml:space="preserve">Gráfica </w:t>
      </w:r>
      <w:r w:rsidR="00C57FCA">
        <w:rPr>
          <w:noProof/>
        </w:rPr>
        <w:t>8</w:t>
      </w:r>
      <w:r w:rsidR="00C57FCA">
        <w:noBreakHyphen/>
      </w:r>
      <w:r w:rsidR="00C57FCA">
        <w:rPr>
          <w:noProof/>
        </w:rPr>
        <w:t>1</w:t>
      </w:r>
      <w:r>
        <w:fldChar w:fldCharType="end"/>
      </w:r>
      <w:r>
        <w:rPr>
          <w:lang w:val="es-CO" w:eastAsia="es-CO"/>
        </w:rPr>
        <w:t>, teniendo en cuenta la información referenciada anteriormente y con el objetivo de mantener la estabilidad de la caja del fondo, la contraprestación postal se ajustaría para los próximos dos años en el 1,7%.</w:t>
      </w:r>
    </w:p>
    <w:p w14:paraId="221335A3" w14:textId="77777777" w:rsidR="00D37B34" w:rsidRDefault="00D37B34" w:rsidP="00D37B34">
      <w:pPr>
        <w:pStyle w:val="Ttulo3"/>
        <w:numPr>
          <w:ilvl w:val="2"/>
          <w:numId w:val="33"/>
        </w:numPr>
        <w:rPr>
          <w:lang w:val="es-CO" w:eastAsia="es-CO"/>
        </w:rPr>
      </w:pPr>
      <w:bookmarkStart w:id="390" w:name="_Toc104118070"/>
      <w:bookmarkStart w:id="391" w:name="_Toc104272187"/>
      <w:r>
        <w:rPr>
          <w:lang w:val="es-CO" w:eastAsia="es-CO"/>
        </w:rPr>
        <w:t>Escenario Alternativo C.</w:t>
      </w:r>
      <w:bookmarkEnd w:id="390"/>
      <w:bookmarkEnd w:id="391"/>
    </w:p>
    <w:p w14:paraId="55FD5FD1" w14:textId="5318B979" w:rsidR="00D37B34" w:rsidRDefault="00D37B34" w:rsidP="00D37B34">
      <w:pPr>
        <w:rPr>
          <w:lang w:val="es-CO" w:eastAsia="es-CO"/>
        </w:rPr>
      </w:pPr>
      <w:r>
        <w:rPr>
          <w:lang w:val="es-CO" w:eastAsia="es-CO"/>
        </w:rPr>
        <w:t xml:space="preserve">En este escenario se agotarían también las medidas extraordinarias adoptadas por el gobierno nacional en el 2022, relacionadas con el inicio de la pandemia del COVID19, por lo tanto, las entidades beneficiarias de la Franquicia Postal volverían a utilizar el servicio de la Franquicia para realizar sus envíos, impulsando de esta manera el valor anual promedio a $32.632 millones durante los años 2023 y 2024. Se estima, igualmente, que los envíos de mensajería expresa </w:t>
      </w:r>
      <w:r w:rsidR="00F00A0F">
        <w:rPr>
          <w:lang w:val="es-CO" w:eastAsia="es-CO"/>
        </w:rPr>
        <w:t>entre 2 y 5 kilogramos</w:t>
      </w:r>
      <w:r>
        <w:rPr>
          <w:lang w:val="es-CO" w:eastAsia="es-CO"/>
        </w:rPr>
        <w:t xml:space="preserve">, así como las encomiendas, aumenten en niveles del orden del 25%, en tanto que se presenta una disminución del 10% en el volumen de giros postales, comparados con los del 2021, mientras que los costos y gastos del SPU aumentan a una tasa del 8%.  </w:t>
      </w:r>
    </w:p>
    <w:p w14:paraId="7451B834" w14:textId="2DF60ED9" w:rsidR="00D37B34" w:rsidRDefault="00D37B34" w:rsidP="00D37B34">
      <w:pPr>
        <w:rPr>
          <w:lang w:val="es-CO" w:eastAsia="es-CO"/>
        </w:rPr>
      </w:pPr>
      <w:r>
        <w:rPr>
          <w:lang w:val="es-CO" w:eastAsia="es-CO"/>
        </w:rPr>
        <w:t>Como se presenta en la</w:t>
      </w:r>
      <w:r w:rsidR="00801D25">
        <w:t xml:space="preserve"> </w:t>
      </w:r>
      <w:r w:rsidR="00801D25">
        <w:fldChar w:fldCharType="begin"/>
      </w:r>
      <w:r w:rsidR="00801D25">
        <w:instrText xml:space="preserve"> REF _Ref103945107 \h </w:instrText>
      </w:r>
      <w:r w:rsidR="00801D25">
        <w:fldChar w:fldCharType="separate"/>
      </w:r>
      <w:r w:rsidR="00801D25">
        <w:t xml:space="preserve">Gráfica </w:t>
      </w:r>
      <w:r w:rsidR="00801D25">
        <w:rPr>
          <w:noProof/>
        </w:rPr>
        <w:t>8</w:t>
      </w:r>
      <w:r w:rsidR="00801D25">
        <w:noBreakHyphen/>
      </w:r>
      <w:r w:rsidR="00801D25">
        <w:rPr>
          <w:noProof/>
        </w:rPr>
        <w:t>1</w:t>
      </w:r>
      <w:r w:rsidR="00801D25">
        <w:fldChar w:fldCharType="end"/>
      </w:r>
      <w:r>
        <w:rPr>
          <w:lang w:val="es-CO" w:eastAsia="es-CO"/>
        </w:rPr>
        <w:t xml:space="preserve">, teniendo en cuenta la información antes enunciada, y con el objetivo de que el FUTIC, pueda cumplir con lo estipulado en el artículo 14 de la Ley 1369 de 2009, la contraprestación se ajustaría al 2,02%. </w:t>
      </w:r>
    </w:p>
    <w:p w14:paraId="7E149694" w14:textId="77777777" w:rsidR="00D37B34" w:rsidRDefault="00D37B34" w:rsidP="00D37B34">
      <w:pPr>
        <w:pStyle w:val="Ttulo3"/>
        <w:numPr>
          <w:ilvl w:val="2"/>
          <w:numId w:val="33"/>
        </w:numPr>
        <w:rPr>
          <w:lang w:val="es-CO" w:eastAsia="es-CO"/>
        </w:rPr>
      </w:pPr>
      <w:bookmarkStart w:id="392" w:name="_Toc104118071"/>
      <w:bookmarkStart w:id="393" w:name="_Toc104272188"/>
      <w:r>
        <w:rPr>
          <w:lang w:val="es-CO" w:eastAsia="es-CO"/>
        </w:rPr>
        <w:t>Escenario Extremo 2:</w:t>
      </w:r>
      <w:bookmarkEnd w:id="392"/>
      <w:bookmarkEnd w:id="393"/>
    </w:p>
    <w:p w14:paraId="76E196FC" w14:textId="76903750" w:rsidR="00D37B34" w:rsidRDefault="00D37B34" w:rsidP="00D37B34">
      <w:pPr>
        <w:rPr>
          <w:lang w:val="es-CO" w:eastAsia="es-CO"/>
        </w:rPr>
      </w:pPr>
      <w:r>
        <w:rPr>
          <w:lang w:val="es-CO" w:eastAsia="es-CO"/>
        </w:rPr>
        <w:t xml:space="preserve">En este escenario los valores asociados a la prestación del servicio de la Franquicia Postal aumentarían a un promedio anual pagado a $37.814 millones de pesos durante los años 2023 y 2024. Se contempla, asimismo, que los envíos de mensajería expresa </w:t>
      </w:r>
      <w:r w:rsidR="00F00A0F">
        <w:rPr>
          <w:lang w:val="es-CO" w:eastAsia="es-CO"/>
        </w:rPr>
        <w:t>entre 2 y 5 kilogramos</w:t>
      </w:r>
      <w:r>
        <w:rPr>
          <w:lang w:val="es-CO" w:eastAsia="es-CO"/>
        </w:rPr>
        <w:t xml:space="preserve"> y de encomiendas aumentarían a un ritmo del 25%, en tanto que se presentaría una disminución del 10% en el volumen de giros postales, comparados con los del 2021, mientras que los costos y gastos asociados al SPU aumentarían a una tasa del 8%.  </w:t>
      </w:r>
    </w:p>
    <w:p w14:paraId="476A3F0D" w14:textId="2034EBFB" w:rsidR="00D37B34" w:rsidRDefault="00D37B34" w:rsidP="00D37B34">
      <w:pPr>
        <w:rPr>
          <w:lang w:val="es-CO" w:eastAsia="es-CO"/>
        </w:rPr>
      </w:pPr>
      <w:r>
        <w:rPr>
          <w:lang w:val="es-CO" w:eastAsia="es-CO"/>
        </w:rPr>
        <w:t xml:space="preserve">Como se presenta en la </w:t>
      </w:r>
      <w:r w:rsidR="00801D25">
        <w:fldChar w:fldCharType="begin"/>
      </w:r>
      <w:r w:rsidR="00801D25">
        <w:rPr>
          <w:lang w:val="es-CO" w:eastAsia="es-CO"/>
        </w:rPr>
        <w:instrText xml:space="preserve"> REF _Ref103945107 \h </w:instrText>
      </w:r>
      <w:r w:rsidR="00801D25">
        <w:fldChar w:fldCharType="separate"/>
      </w:r>
      <w:r w:rsidR="00801D25">
        <w:t xml:space="preserve">Gráfica </w:t>
      </w:r>
      <w:r w:rsidR="00801D25">
        <w:rPr>
          <w:noProof/>
        </w:rPr>
        <w:t>8</w:t>
      </w:r>
      <w:r w:rsidR="00801D25">
        <w:noBreakHyphen/>
      </w:r>
      <w:r w:rsidR="00801D25">
        <w:rPr>
          <w:noProof/>
        </w:rPr>
        <w:t>1</w:t>
      </w:r>
      <w:r w:rsidR="00801D25">
        <w:fldChar w:fldCharType="end"/>
      </w:r>
      <w:r>
        <w:rPr>
          <w:lang w:val="es-CO" w:eastAsia="es-CO"/>
        </w:rPr>
        <w:t>, teniendo en cuenta los soportes referenciados a lo largo del documento, la contraprestación se establecería al 2,32%.</w:t>
      </w:r>
    </w:p>
    <w:p w14:paraId="5201B927" w14:textId="3B3A6F4B" w:rsidR="00D37B34" w:rsidRDefault="00D37B34" w:rsidP="00D37B34">
      <w:pPr>
        <w:pStyle w:val="TITcuadro"/>
      </w:pPr>
      <w:bookmarkStart w:id="394" w:name="_Ref103945107"/>
      <w:bookmarkStart w:id="395" w:name="_Toc104124771"/>
      <w:bookmarkStart w:id="396" w:name="_Toc104228746"/>
      <w:r>
        <w:lastRenderedPageBreak/>
        <w:t xml:space="preserve">Gráfica </w:t>
      </w:r>
      <w:r w:rsidR="0037093A">
        <w:fldChar w:fldCharType="begin"/>
      </w:r>
      <w:r w:rsidR="0037093A">
        <w:instrText xml:space="preserve"> STYLEREF 1 \s </w:instrText>
      </w:r>
      <w:r w:rsidR="0037093A">
        <w:fldChar w:fldCharType="separate"/>
      </w:r>
      <w:r w:rsidR="00C57FCA">
        <w:rPr>
          <w:noProof/>
        </w:rPr>
        <w:t>8</w:t>
      </w:r>
      <w:r w:rsidR="0037093A">
        <w:rPr>
          <w:noProof/>
        </w:rPr>
        <w:fldChar w:fldCharType="end"/>
      </w:r>
      <w:r>
        <w:noBreakHyphen/>
      </w:r>
      <w:r w:rsidR="0037093A">
        <w:fldChar w:fldCharType="begin"/>
      </w:r>
      <w:r w:rsidR="0037093A">
        <w:instrText xml:space="preserve"> SEQ Gráfica \* ARABIC \s 1 </w:instrText>
      </w:r>
      <w:r w:rsidR="0037093A">
        <w:fldChar w:fldCharType="separate"/>
      </w:r>
      <w:r w:rsidR="00C57FCA">
        <w:rPr>
          <w:noProof/>
        </w:rPr>
        <w:t>1</w:t>
      </w:r>
      <w:r w:rsidR="0037093A">
        <w:rPr>
          <w:noProof/>
        </w:rPr>
        <w:fldChar w:fldCharType="end"/>
      </w:r>
      <w:bookmarkEnd w:id="394"/>
      <w:r>
        <w:t xml:space="preserve"> – Definición de la contraprestación postal: Escenarios de Política.</w:t>
      </w:r>
      <w:bookmarkEnd w:id="395"/>
      <w:bookmarkEnd w:id="396"/>
    </w:p>
    <w:p w14:paraId="2728E86F" w14:textId="77777777" w:rsidR="00D37B34" w:rsidRDefault="00D37B34" w:rsidP="00D37B34">
      <w:pPr>
        <w:pStyle w:val="Grfica"/>
        <w:ind w:left="-284" w:right="-286"/>
      </w:pPr>
      <w:r>
        <w:rPr>
          <w:noProof/>
          <w:lang w:eastAsia="es-CO"/>
        </w:rPr>
        <w:drawing>
          <wp:inline distT="0" distB="0" distL="0" distR="0" wp14:anchorId="39E6F4D6" wp14:editId="6C4B969F">
            <wp:extent cx="6250298" cy="2962275"/>
            <wp:effectExtent l="0" t="0" r="0" b="0"/>
            <wp:docPr id="475" name="Imagen 47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n 475" descr="Gráfico, Gráfico de barras&#10;&#10;Descripción generada automáticamen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54976" cy="2964492"/>
                    </a:xfrm>
                    <a:prstGeom prst="rect">
                      <a:avLst/>
                    </a:prstGeom>
                    <a:noFill/>
                    <a:ln>
                      <a:noFill/>
                    </a:ln>
                  </pic:spPr>
                </pic:pic>
              </a:graphicData>
            </a:graphic>
          </wp:inline>
        </w:drawing>
      </w:r>
    </w:p>
    <w:p w14:paraId="6769A6F0" w14:textId="77777777" w:rsidR="00D37B34" w:rsidRDefault="00D37B34" w:rsidP="00D37B34">
      <w:pPr>
        <w:pStyle w:val="FuentedeGrfica"/>
      </w:pPr>
      <w:bookmarkStart w:id="397" w:name="_Toc102170063"/>
      <w:bookmarkStart w:id="398" w:name="_Ref102639759"/>
      <w:r>
        <w:t>FUENTE: MinTIC. Modelo de proyección postal.</w:t>
      </w:r>
    </w:p>
    <w:p w14:paraId="5B36435E" w14:textId="77777777" w:rsidR="00D37B34" w:rsidRDefault="00D37B34" w:rsidP="00D37B34">
      <w:pPr>
        <w:pStyle w:val="Ttulo2"/>
        <w:numPr>
          <w:ilvl w:val="1"/>
          <w:numId w:val="33"/>
        </w:numPr>
        <w:ind w:left="680" w:hanging="680"/>
      </w:pPr>
      <w:bookmarkStart w:id="399" w:name="_Toc104272189"/>
      <w:bookmarkStart w:id="400" w:name="_Ref104400626"/>
      <w:bookmarkStart w:id="401" w:name="_Toc104118072"/>
      <w:r>
        <w:t>Consideraciones acerca de la contraprestación postal a definir para el período comprendido entre julio 1º de 2022 y junio 30 de 2024.</w:t>
      </w:r>
      <w:bookmarkEnd w:id="399"/>
      <w:bookmarkEnd w:id="400"/>
    </w:p>
    <w:p w14:paraId="4BC3427E" w14:textId="03B44CD4" w:rsidR="00D37B34" w:rsidRDefault="00D37B34" w:rsidP="00D37B34">
      <w:r>
        <w:t xml:space="preserve">Existen múltiples consideraciones que han sido tenidas en cuenta </w:t>
      </w:r>
      <w:r w:rsidR="00F00A0F">
        <w:t>al</w:t>
      </w:r>
      <w:r>
        <w:t xml:space="preserve"> momento de definir la contraprestación postal para los próximos dos años, siendo las más importantes a</w:t>
      </w:r>
      <w:r w:rsidR="00624512">
        <w:t>quellas que</w:t>
      </w:r>
      <w:r>
        <w:t xml:space="preserve"> se enuncian a continuación:</w:t>
      </w:r>
    </w:p>
    <w:p w14:paraId="1CDAB158" w14:textId="6854EA6A" w:rsidR="00D37B34" w:rsidRDefault="00D37B34" w:rsidP="00D37B34">
      <w:pPr>
        <w:pStyle w:val="Prrafodelista"/>
        <w:numPr>
          <w:ilvl w:val="0"/>
          <w:numId w:val="36"/>
        </w:numPr>
      </w:pPr>
      <w:r w:rsidRPr="00624512">
        <w:rPr>
          <w:u w:val="single"/>
        </w:rPr>
        <w:t>Convergencia y simetría</w:t>
      </w:r>
      <w:r>
        <w:t xml:space="preserve">: </w:t>
      </w:r>
      <w:r w:rsidRPr="000958BA">
        <w:t xml:space="preserve"> </w:t>
      </w:r>
      <w:r>
        <w:t xml:space="preserve">Es importante considerar las otras contraprestaciones que ha definido el Ministerio, para el sector TIC, especialmente en lo relacionado con la contraprestación periódica, la cual se redujo en el año 2020 del 2,2% al 1,9%, </w:t>
      </w:r>
      <w:r w:rsidR="008D1585">
        <w:t xml:space="preserve">y que se encuentra </w:t>
      </w:r>
      <w:r>
        <w:t xml:space="preserve">calculada también sobre </w:t>
      </w:r>
      <w:r w:rsidR="008D1585">
        <w:t xml:space="preserve">los </w:t>
      </w:r>
      <w:r>
        <w:t>ingresos brutos de los operadores del sector TIC.</w:t>
      </w:r>
    </w:p>
    <w:p w14:paraId="0CD24115" w14:textId="3E93C535" w:rsidR="00D37B34" w:rsidRDefault="00D37B34" w:rsidP="00D37B34">
      <w:pPr>
        <w:pStyle w:val="Prrafodelista"/>
        <w:numPr>
          <w:ilvl w:val="0"/>
          <w:numId w:val="36"/>
        </w:numPr>
      </w:pPr>
      <w:r w:rsidRPr="00E55C34">
        <w:rPr>
          <w:u w:val="single"/>
        </w:rPr>
        <w:t>Los escenarios extremos 1 y 2 son escenarios hipotéticos teóricos</w:t>
      </w:r>
      <w:r>
        <w:t xml:space="preserve">: Donde el escenario extremo 1, sería un punto de partida luego de los hechos ocurridos durante los dos últimos años y relacionados con la pandemia originada por el COVID – 19, </w:t>
      </w:r>
      <w:r w:rsidR="00FA38C6">
        <w:t xml:space="preserve">pero que sería, </w:t>
      </w:r>
      <w:r>
        <w:t>sin emb</w:t>
      </w:r>
      <w:r w:rsidR="00FA38C6">
        <w:t>ar</w:t>
      </w:r>
      <w:r>
        <w:t>go, complejo de sostener, aun en un escenario teórico. Las entidades del Estado seguramente requerirán mayores niveles de seguridad en sus envíos (como sería el caso de los juzgados en sus notificaciones judiciales, que requerirían, cuando menos, notificación y otros requerimientos de trámites en físico.</w:t>
      </w:r>
    </w:p>
    <w:p w14:paraId="79177A5F" w14:textId="72E5B35A" w:rsidR="00D37B34" w:rsidRDefault="00D37B34" w:rsidP="00D37B34">
      <w:pPr>
        <w:ind w:left="680"/>
        <w:rPr>
          <w:rFonts w:eastAsiaTheme="minorHAnsi"/>
          <w:sz w:val="22"/>
          <w:szCs w:val="22"/>
          <w:lang w:val="es-ES"/>
        </w:rPr>
      </w:pPr>
      <w:r w:rsidRPr="00E55C34">
        <w:rPr>
          <w:rFonts w:eastAsiaTheme="minorHAnsi"/>
          <w:sz w:val="22"/>
          <w:szCs w:val="22"/>
          <w:lang w:val="es-ES"/>
        </w:rPr>
        <w:lastRenderedPageBreak/>
        <w:t>El escenario extremo 2, de otro lado</w:t>
      </w:r>
      <w:r>
        <w:rPr>
          <w:rFonts w:eastAsiaTheme="minorHAnsi"/>
          <w:sz w:val="22"/>
          <w:szCs w:val="22"/>
          <w:lang w:val="es-ES"/>
        </w:rPr>
        <w:t xml:space="preserve">, es un escenario hipotético también de referencia. Muy seguramente, la experiencia de dos años de pandemia ha generado lecciones acerca de las bondades de la digitalización y de la utilización de medios electrónicos seguros que han aumentado la eficiencia y han forzado avances en aspectos como el expediente digital, la telemedicina y </w:t>
      </w:r>
      <w:proofErr w:type="spellStart"/>
      <w:r>
        <w:rPr>
          <w:rFonts w:eastAsiaTheme="minorHAnsi"/>
          <w:sz w:val="22"/>
          <w:szCs w:val="22"/>
          <w:lang w:val="es-ES"/>
        </w:rPr>
        <w:t>teleconsulta</w:t>
      </w:r>
      <w:proofErr w:type="spellEnd"/>
      <w:r>
        <w:rPr>
          <w:rFonts w:eastAsiaTheme="minorHAnsi"/>
          <w:sz w:val="22"/>
          <w:szCs w:val="22"/>
          <w:lang w:val="es-ES"/>
        </w:rPr>
        <w:t>, las sesiones judiciales virtuales, para citar tan solo algunos de los principales, que han descubierto un escenario digital interesante</w:t>
      </w:r>
      <w:r w:rsidR="00FA38C6">
        <w:rPr>
          <w:rFonts w:eastAsiaTheme="minorHAnsi"/>
          <w:sz w:val="22"/>
          <w:szCs w:val="22"/>
          <w:lang w:val="es-ES"/>
        </w:rPr>
        <w:t>, muy eficiente y productivo</w:t>
      </w:r>
      <w:r>
        <w:rPr>
          <w:rFonts w:eastAsiaTheme="minorHAnsi"/>
          <w:sz w:val="22"/>
          <w:szCs w:val="22"/>
          <w:lang w:val="es-ES"/>
        </w:rPr>
        <w:t>. Volver al escenario existente</w:t>
      </w:r>
      <w:r w:rsidR="00FA38C6">
        <w:rPr>
          <w:rFonts w:eastAsiaTheme="minorHAnsi"/>
          <w:sz w:val="22"/>
          <w:szCs w:val="22"/>
          <w:lang w:val="es-ES"/>
        </w:rPr>
        <w:t>,</w:t>
      </w:r>
      <w:r>
        <w:rPr>
          <w:rFonts w:eastAsiaTheme="minorHAnsi"/>
          <w:sz w:val="22"/>
          <w:szCs w:val="22"/>
          <w:lang w:val="es-ES"/>
        </w:rPr>
        <w:t xml:space="preserve"> </w:t>
      </w:r>
      <w:r w:rsidR="00FA38C6">
        <w:rPr>
          <w:rFonts w:eastAsiaTheme="minorHAnsi"/>
          <w:sz w:val="22"/>
          <w:szCs w:val="22"/>
          <w:lang w:val="es-ES"/>
        </w:rPr>
        <w:t>previo a</w:t>
      </w:r>
      <w:r w:rsidR="00624512">
        <w:rPr>
          <w:rFonts w:eastAsiaTheme="minorHAnsi"/>
          <w:sz w:val="22"/>
          <w:szCs w:val="22"/>
          <w:lang w:val="es-ES"/>
        </w:rPr>
        <w:t xml:space="preserve"> </w:t>
      </w:r>
      <w:r>
        <w:rPr>
          <w:rFonts w:eastAsiaTheme="minorHAnsi"/>
          <w:sz w:val="22"/>
          <w:szCs w:val="22"/>
          <w:lang w:val="es-ES"/>
        </w:rPr>
        <w:t xml:space="preserve">la pandemia sería, a todas luces, un escenario al cual </w:t>
      </w:r>
      <w:r w:rsidR="00FA38C6">
        <w:rPr>
          <w:rFonts w:eastAsiaTheme="minorHAnsi"/>
          <w:sz w:val="22"/>
          <w:szCs w:val="22"/>
          <w:lang w:val="es-ES"/>
        </w:rPr>
        <w:t xml:space="preserve">sería difícil </w:t>
      </w:r>
      <w:r w:rsidR="00F056EF">
        <w:rPr>
          <w:rFonts w:eastAsiaTheme="minorHAnsi"/>
          <w:sz w:val="22"/>
          <w:szCs w:val="22"/>
          <w:lang w:val="es-ES"/>
        </w:rPr>
        <w:t>de difícil retorno</w:t>
      </w:r>
      <w:r>
        <w:rPr>
          <w:rFonts w:eastAsiaTheme="minorHAnsi"/>
          <w:sz w:val="22"/>
          <w:szCs w:val="22"/>
          <w:lang w:val="es-ES"/>
        </w:rPr>
        <w:t xml:space="preserve"> y </w:t>
      </w:r>
      <w:r w:rsidR="0070045C">
        <w:rPr>
          <w:rFonts w:eastAsiaTheme="minorHAnsi"/>
          <w:sz w:val="22"/>
          <w:szCs w:val="22"/>
          <w:lang w:val="es-ES"/>
        </w:rPr>
        <w:t>aún</w:t>
      </w:r>
      <w:r>
        <w:rPr>
          <w:rFonts w:eastAsiaTheme="minorHAnsi"/>
          <w:sz w:val="22"/>
          <w:szCs w:val="22"/>
          <w:lang w:val="es-ES"/>
        </w:rPr>
        <w:t xml:space="preserve"> más </w:t>
      </w:r>
      <w:r w:rsidR="00F056EF">
        <w:rPr>
          <w:rFonts w:eastAsiaTheme="minorHAnsi"/>
          <w:sz w:val="22"/>
          <w:szCs w:val="22"/>
          <w:lang w:val="es-ES"/>
        </w:rPr>
        <w:t xml:space="preserve">complejo </w:t>
      </w:r>
      <w:r>
        <w:rPr>
          <w:rFonts w:eastAsiaTheme="minorHAnsi"/>
          <w:sz w:val="22"/>
          <w:szCs w:val="22"/>
          <w:lang w:val="es-ES"/>
        </w:rPr>
        <w:t xml:space="preserve">de </w:t>
      </w:r>
      <w:r w:rsidR="00FA38C6">
        <w:rPr>
          <w:rFonts w:eastAsiaTheme="minorHAnsi"/>
          <w:sz w:val="22"/>
          <w:szCs w:val="22"/>
          <w:lang w:val="es-ES"/>
        </w:rPr>
        <w:t>proponer con sustento sólido</w:t>
      </w:r>
      <w:r>
        <w:rPr>
          <w:rFonts w:eastAsiaTheme="minorHAnsi"/>
          <w:sz w:val="22"/>
          <w:szCs w:val="22"/>
          <w:lang w:val="es-ES"/>
        </w:rPr>
        <w:t>.</w:t>
      </w:r>
    </w:p>
    <w:p w14:paraId="14BE941D" w14:textId="5A0B15CC" w:rsidR="00D37B34" w:rsidRPr="0082357F" w:rsidRDefault="00D37B34" w:rsidP="00D37B34">
      <w:pPr>
        <w:pStyle w:val="Prrafodelista"/>
        <w:numPr>
          <w:ilvl w:val="0"/>
          <w:numId w:val="38"/>
        </w:numPr>
        <w:ind w:left="709" w:hanging="425"/>
      </w:pPr>
      <w:r w:rsidRPr="00E55C34">
        <w:rPr>
          <w:u w:val="single"/>
        </w:rPr>
        <w:t>La política de Gobierno en Línea y de digitalización del Ministerio</w:t>
      </w:r>
      <w:r>
        <w:t>. Sumado a lo anterior la política y planes adoptados por el MinTIC en los últimos años, dirigidos a promover programas de digitalización y uso intensivo de las TIC en las actividades de las diferentes entidades del Estado, debe ser igualmente considerada al momento de tomar la decisión final que permita fijar la contraprestación postal que deberá ser pagada durante los próximos dos años.</w:t>
      </w:r>
    </w:p>
    <w:p w14:paraId="6E44CAEA" w14:textId="7AEA96F8" w:rsidR="00D37B34" w:rsidRDefault="00D37B34" w:rsidP="00D37B34">
      <w:pPr>
        <w:pStyle w:val="Ttulo2"/>
        <w:numPr>
          <w:ilvl w:val="1"/>
          <w:numId w:val="33"/>
        </w:numPr>
        <w:ind w:left="680" w:hanging="680"/>
      </w:pPr>
      <w:bookmarkStart w:id="402" w:name="_Toc104272190"/>
      <w:r>
        <w:t xml:space="preserve">Definición de la contraprestación postal del FUTIC para el periodo </w:t>
      </w:r>
      <w:r w:rsidR="00656639">
        <w:t xml:space="preserve">2022 </w:t>
      </w:r>
      <w:r>
        <w:t xml:space="preserve">– </w:t>
      </w:r>
      <w:r w:rsidR="00656639">
        <w:t>2024</w:t>
      </w:r>
      <w:r>
        <w:t>: Conclusiones y propuesta.</w:t>
      </w:r>
      <w:bookmarkEnd w:id="397"/>
      <w:bookmarkEnd w:id="398"/>
      <w:bookmarkEnd w:id="401"/>
      <w:bookmarkEnd w:id="402"/>
    </w:p>
    <w:p w14:paraId="60295D8E" w14:textId="1FF7DF0B" w:rsidR="00D37B34" w:rsidRDefault="00D37B34" w:rsidP="00D37B34">
      <w:pPr>
        <w:rPr>
          <w:lang w:val="es-CO" w:eastAsia="es-CO"/>
        </w:rPr>
      </w:pPr>
      <w:r>
        <w:rPr>
          <w:lang w:val="es-CO" w:eastAsia="es-CO"/>
        </w:rPr>
        <w:t xml:space="preserve">Teniendo en cuenta los anteriores </w:t>
      </w:r>
      <w:r w:rsidR="00642FC3">
        <w:rPr>
          <w:lang w:val="es-CO" w:eastAsia="es-CO"/>
        </w:rPr>
        <w:t>considerandos</w:t>
      </w:r>
      <w:r w:rsidR="008E7CC7">
        <w:rPr>
          <w:lang w:val="es-CO" w:eastAsia="es-CO"/>
        </w:rPr>
        <w:t xml:space="preserve"> y los</w:t>
      </w:r>
      <w:r w:rsidR="00642FC3">
        <w:rPr>
          <w:lang w:val="es-CO" w:eastAsia="es-CO"/>
        </w:rPr>
        <w:t xml:space="preserve"> </w:t>
      </w:r>
      <w:r>
        <w:rPr>
          <w:lang w:val="es-CO" w:eastAsia="es-CO"/>
        </w:rPr>
        <w:t xml:space="preserve">resultados </w:t>
      </w:r>
      <w:r w:rsidR="008E7CC7">
        <w:rPr>
          <w:lang w:val="es-CO" w:eastAsia="es-CO"/>
        </w:rPr>
        <w:t xml:space="preserve">que se han presentado a lo largo del presente documento, </w:t>
      </w:r>
      <w:r>
        <w:rPr>
          <w:lang w:val="es-CO" w:eastAsia="es-CO"/>
        </w:rPr>
        <w:t xml:space="preserve">y </w:t>
      </w:r>
      <w:r w:rsidR="008E7CC7">
        <w:rPr>
          <w:lang w:val="es-CO" w:eastAsia="es-CO"/>
        </w:rPr>
        <w:t xml:space="preserve">teniendo en cuenta </w:t>
      </w:r>
      <w:r>
        <w:rPr>
          <w:lang w:val="es-CO" w:eastAsia="es-CO"/>
        </w:rPr>
        <w:t xml:space="preserve">la información en la ocurrencia de los cinco escenarios, el Ministerio ha decidido adoptar el escenario </w:t>
      </w:r>
      <w:r w:rsidR="00F00AEB">
        <w:rPr>
          <w:lang w:val="es-CO" w:eastAsia="es-CO"/>
        </w:rPr>
        <w:t xml:space="preserve">Alternativo B </w:t>
      </w:r>
      <w:r w:rsidR="00300BEF">
        <w:rPr>
          <w:lang w:val="es-CO" w:eastAsia="es-CO"/>
        </w:rPr>
        <w:t xml:space="preserve">que </w:t>
      </w:r>
      <w:r>
        <w:rPr>
          <w:lang w:val="es-CO" w:eastAsia="es-CO"/>
        </w:rPr>
        <w:t xml:space="preserve">define la contraprestación a cargo de los operadores postales en el </w:t>
      </w:r>
      <w:r w:rsidR="00F00AEB" w:rsidRPr="0070045C">
        <w:rPr>
          <w:lang w:val="es-CO" w:eastAsia="es-CO"/>
        </w:rPr>
        <w:t>1,7</w:t>
      </w:r>
      <w:r w:rsidRPr="0070045C">
        <w:rPr>
          <w:lang w:val="es-CO" w:eastAsia="es-CO"/>
        </w:rPr>
        <w:t>%</w:t>
      </w:r>
      <w:r>
        <w:rPr>
          <w:lang w:val="es-CO" w:eastAsia="es-CO"/>
        </w:rPr>
        <w:t xml:space="preserve"> para el período comprendido entre el 1º de julio de 2022 y el 30 de junio de 2024.</w:t>
      </w:r>
    </w:p>
    <w:p w14:paraId="690E26BD" w14:textId="19739458" w:rsidR="00F00AEB" w:rsidRDefault="00F00AEB" w:rsidP="00D37B34">
      <w:pPr>
        <w:rPr>
          <w:lang w:val="es-CO" w:eastAsia="es-CO"/>
        </w:rPr>
      </w:pPr>
      <w:r>
        <w:rPr>
          <w:lang w:val="es-CO" w:eastAsia="es-CO"/>
        </w:rPr>
        <w:t>Como se mencionó anteriormente, este es el escenario razon</w:t>
      </w:r>
      <w:r w:rsidR="003C7C2B">
        <w:rPr>
          <w:lang w:val="es-CO" w:eastAsia="es-CO"/>
        </w:rPr>
        <w:t>able</w:t>
      </w:r>
      <w:r>
        <w:rPr>
          <w:lang w:val="es-CO" w:eastAsia="es-CO"/>
        </w:rPr>
        <w:t>, en el que se asume una reactivación</w:t>
      </w:r>
      <w:r w:rsidR="003C7C2B">
        <w:rPr>
          <w:lang w:val="es-CO" w:eastAsia="es-CO"/>
        </w:rPr>
        <w:t xml:space="preserve"> en la prestación del servicio de </w:t>
      </w:r>
      <w:r w:rsidRPr="00F00AEB">
        <w:rPr>
          <w:lang w:val="es-CO" w:eastAsia="es-CO"/>
        </w:rPr>
        <w:t>la franquicia postal</w:t>
      </w:r>
      <w:r w:rsidR="00C80924">
        <w:rPr>
          <w:lang w:val="es-CO" w:eastAsia="es-CO"/>
        </w:rPr>
        <w:t xml:space="preserve">, </w:t>
      </w:r>
      <w:r w:rsidRPr="00F00AEB">
        <w:rPr>
          <w:lang w:val="es-CO" w:eastAsia="es-CO"/>
        </w:rPr>
        <w:t>aumenta</w:t>
      </w:r>
      <w:r w:rsidR="003C7C2B">
        <w:rPr>
          <w:lang w:val="es-CO" w:eastAsia="es-CO"/>
        </w:rPr>
        <w:t>ndo</w:t>
      </w:r>
      <w:r w:rsidRPr="00F00AEB">
        <w:rPr>
          <w:lang w:val="es-CO" w:eastAsia="es-CO"/>
        </w:rPr>
        <w:t xml:space="preserve"> a un promedio anual de $27.088 millones en</w:t>
      </w:r>
      <w:r w:rsidR="003C7C2B">
        <w:rPr>
          <w:lang w:val="es-CO" w:eastAsia="es-CO"/>
        </w:rPr>
        <w:t>tre</w:t>
      </w:r>
      <w:r w:rsidRPr="00F00AEB">
        <w:rPr>
          <w:lang w:val="es-CO" w:eastAsia="es-CO"/>
        </w:rPr>
        <w:t xml:space="preserve"> los años 202</w:t>
      </w:r>
      <w:r w:rsidR="009201D2">
        <w:rPr>
          <w:lang w:val="es-CO" w:eastAsia="es-CO"/>
        </w:rPr>
        <w:t>1</w:t>
      </w:r>
      <w:r w:rsidRPr="00F00AEB">
        <w:rPr>
          <w:lang w:val="es-CO" w:eastAsia="es-CO"/>
        </w:rPr>
        <w:t xml:space="preserve"> </w:t>
      </w:r>
      <w:r w:rsidR="003C7C2B">
        <w:rPr>
          <w:lang w:val="es-CO" w:eastAsia="es-CO"/>
        </w:rPr>
        <w:t>y</w:t>
      </w:r>
      <w:r w:rsidRPr="00F00AEB">
        <w:rPr>
          <w:lang w:val="es-CO" w:eastAsia="es-CO"/>
        </w:rPr>
        <w:t xml:space="preserve"> 2024, </w:t>
      </w:r>
      <w:r w:rsidR="00C80924">
        <w:rPr>
          <w:lang w:val="es-CO" w:eastAsia="es-CO"/>
        </w:rPr>
        <w:t xml:space="preserve">suponiendo, </w:t>
      </w:r>
      <w:r w:rsidR="003C7C2B">
        <w:rPr>
          <w:lang w:val="es-CO" w:eastAsia="es-CO"/>
        </w:rPr>
        <w:t>de otro lado</w:t>
      </w:r>
      <w:r w:rsidR="00C80924">
        <w:rPr>
          <w:lang w:val="es-CO" w:eastAsia="es-CO"/>
        </w:rPr>
        <w:t xml:space="preserve"> que el</w:t>
      </w:r>
      <w:r w:rsidR="00C80924" w:rsidRPr="00F00AEB">
        <w:rPr>
          <w:lang w:val="es-CO" w:eastAsia="es-CO"/>
        </w:rPr>
        <w:t xml:space="preserve"> crecimiento </w:t>
      </w:r>
      <w:r w:rsidR="00C80924">
        <w:rPr>
          <w:lang w:val="es-CO" w:eastAsia="es-CO"/>
        </w:rPr>
        <w:t xml:space="preserve">vigoroso que se ha observado </w:t>
      </w:r>
      <w:r w:rsidR="00C80924" w:rsidRPr="00F00AEB">
        <w:rPr>
          <w:lang w:val="es-CO" w:eastAsia="es-CO"/>
        </w:rPr>
        <w:t xml:space="preserve">en los envíos de mensajería expresa de mayor peso </w:t>
      </w:r>
      <w:r w:rsidR="00C80924">
        <w:rPr>
          <w:lang w:val="es-CO" w:eastAsia="es-CO"/>
        </w:rPr>
        <w:t>(</w:t>
      </w:r>
      <w:r w:rsidR="00C021A9">
        <w:rPr>
          <w:lang w:val="es-CO" w:eastAsia="es-CO"/>
        </w:rPr>
        <w:t xml:space="preserve">de </w:t>
      </w:r>
      <w:r w:rsidR="00C80924">
        <w:rPr>
          <w:lang w:val="es-CO" w:eastAsia="es-CO"/>
        </w:rPr>
        <w:t xml:space="preserve">2 </w:t>
      </w:r>
      <w:r w:rsidR="00C021A9">
        <w:rPr>
          <w:lang w:val="es-CO" w:eastAsia="es-CO"/>
        </w:rPr>
        <w:t>a</w:t>
      </w:r>
      <w:r w:rsidR="00C80924">
        <w:rPr>
          <w:lang w:val="es-CO" w:eastAsia="es-CO"/>
        </w:rPr>
        <w:t xml:space="preserve"> 5 kilogramos) se mantiene </w:t>
      </w:r>
      <w:r w:rsidR="003C7C2B">
        <w:rPr>
          <w:lang w:val="es-CO" w:eastAsia="es-CO"/>
        </w:rPr>
        <w:t>en</w:t>
      </w:r>
      <w:r w:rsidR="00C80924">
        <w:rPr>
          <w:lang w:val="es-CO" w:eastAsia="es-CO"/>
        </w:rPr>
        <w:t xml:space="preserve"> promedios anuales </w:t>
      </w:r>
      <w:r w:rsidR="00C80924" w:rsidRPr="00F00AEB">
        <w:rPr>
          <w:lang w:val="es-CO" w:eastAsia="es-CO"/>
        </w:rPr>
        <w:t xml:space="preserve">del </w:t>
      </w:r>
      <w:r w:rsidR="00C021A9">
        <w:rPr>
          <w:lang w:val="es-CO" w:eastAsia="es-CO"/>
        </w:rPr>
        <w:t xml:space="preserve">orden del </w:t>
      </w:r>
      <w:r w:rsidR="00C80924" w:rsidRPr="00F00AEB">
        <w:rPr>
          <w:lang w:val="es-CO" w:eastAsia="es-CO"/>
        </w:rPr>
        <w:t>20%</w:t>
      </w:r>
      <w:r w:rsidR="0070045C">
        <w:rPr>
          <w:lang w:val="es-CO" w:eastAsia="es-CO"/>
        </w:rPr>
        <w:t xml:space="preserve"> para el mismo período</w:t>
      </w:r>
      <w:r w:rsidR="00C80924">
        <w:rPr>
          <w:lang w:val="es-CO" w:eastAsia="es-CO"/>
        </w:rPr>
        <w:t>. Se supone de igual manera que</w:t>
      </w:r>
      <w:r w:rsidR="0070045C">
        <w:rPr>
          <w:lang w:val="es-CO" w:eastAsia="es-CO"/>
        </w:rPr>
        <w:t>,</w:t>
      </w:r>
      <w:r w:rsidR="00C80924">
        <w:rPr>
          <w:lang w:val="es-CO" w:eastAsia="es-CO"/>
        </w:rPr>
        <w:t xml:space="preserve"> el descenso en el volumen</w:t>
      </w:r>
      <w:r w:rsidR="0070045C">
        <w:rPr>
          <w:lang w:val="es-CO" w:eastAsia="es-CO"/>
        </w:rPr>
        <w:t xml:space="preserve"> de ingresos</w:t>
      </w:r>
      <w:r w:rsidR="00C80924">
        <w:rPr>
          <w:lang w:val="es-CO" w:eastAsia="es-CO"/>
        </w:rPr>
        <w:t xml:space="preserve"> en los servicios</w:t>
      </w:r>
      <w:r w:rsidR="0070045C">
        <w:rPr>
          <w:lang w:val="es-CO" w:eastAsia="es-CO"/>
        </w:rPr>
        <w:t xml:space="preserve"> postales</w:t>
      </w:r>
      <w:r w:rsidR="00C80924">
        <w:rPr>
          <w:lang w:val="es-CO" w:eastAsia="es-CO"/>
        </w:rPr>
        <w:t xml:space="preserve"> de pago </w:t>
      </w:r>
      <w:r w:rsidR="003C7C2B">
        <w:rPr>
          <w:lang w:val="es-CO" w:eastAsia="es-CO"/>
        </w:rPr>
        <w:t>disminuirá</w:t>
      </w:r>
      <w:r w:rsidR="00C80924">
        <w:rPr>
          <w:lang w:val="es-CO" w:eastAsia="es-CO"/>
        </w:rPr>
        <w:t xml:space="preserve"> </w:t>
      </w:r>
      <w:r w:rsidR="003C7C2B">
        <w:rPr>
          <w:lang w:val="es-CO" w:eastAsia="es-CO"/>
        </w:rPr>
        <w:t>en</w:t>
      </w:r>
      <w:r w:rsidR="00C80924">
        <w:rPr>
          <w:lang w:val="es-CO" w:eastAsia="es-CO"/>
        </w:rPr>
        <w:t xml:space="preserve"> un </w:t>
      </w:r>
      <w:r w:rsidR="00C80924" w:rsidRPr="00F00AEB">
        <w:rPr>
          <w:lang w:val="es-CO" w:eastAsia="es-CO"/>
        </w:rPr>
        <w:t xml:space="preserve">7,5% </w:t>
      </w:r>
      <w:r w:rsidR="00C80924">
        <w:rPr>
          <w:lang w:val="es-CO" w:eastAsia="es-CO"/>
        </w:rPr>
        <w:t>anual promedio</w:t>
      </w:r>
      <w:r w:rsidR="009201D2">
        <w:rPr>
          <w:lang w:val="es-CO" w:eastAsia="es-CO"/>
        </w:rPr>
        <w:t xml:space="preserve">, </w:t>
      </w:r>
      <w:r w:rsidR="00C80924">
        <w:rPr>
          <w:lang w:val="es-CO" w:eastAsia="es-CO"/>
        </w:rPr>
        <w:t xml:space="preserve">mientras que el volumen </w:t>
      </w:r>
      <w:r w:rsidR="0070045C">
        <w:rPr>
          <w:lang w:val="es-CO" w:eastAsia="es-CO"/>
        </w:rPr>
        <w:t>en el servicio</w:t>
      </w:r>
      <w:r w:rsidR="00C80924">
        <w:rPr>
          <w:lang w:val="es-CO" w:eastAsia="es-CO"/>
        </w:rPr>
        <w:t xml:space="preserve"> encomiendas continuará aumentando a los ritmos observados en los pasados dos años. </w:t>
      </w:r>
      <w:r w:rsidR="00C80924" w:rsidRPr="00F00AEB">
        <w:rPr>
          <w:lang w:val="es-CO" w:eastAsia="es-CO"/>
        </w:rPr>
        <w:t xml:space="preserve"> </w:t>
      </w:r>
      <w:r w:rsidR="00C80924">
        <w:rPr>
          <w:lang w:val="es-CO" w:eastAsia="es-CO"/>
        </w:rPr>
        <w:t>Finalmente, en un escenario conservador</w:t>
      </w:r>
      <w:r w:rsidR="009201D2">
        <w:rPr>
          <w:lang w:val="es-CO" w:eastAsia="es-CO"/>
        </w:rPr>
        <w:t>,</w:t>
      </w:r>
      <w:r w:rsidR="00C80924">
        <w:rPr>
          <w:lang w:val="es-CO" w:eastAsia="es-CO"/>
        </w:rPr>
        <w:t xml:space="preserve"> se </w:t>
      </w:r>
      <w:r w:rsidR="0070045C">
        <w:rPr>
          <w:lang w:val="es-CO" w:eastAsia="es-CO"/>
        </w:rPr>
        <w:t>considera</w:t>
      </w:r>
      <w:r w:rsidR="00C80924">
        <w:rPr>
          <w:lang w:val="es-CO" w:eastAsia="es-CO"/>
        </w:rPr>
        <w:t xml:space="preserve"> que </w:t>
      </w:r>
      <w:r w:rsidRPr="00F00AEB">
        <w:rPr>
          <w:lang w:val="es-CO" w:eastAsia="es-CO"/>
        </w:rPr>
        <w:t>los costos y gastos asociados a</w:t>
      </w:r>
      <w:r w:rsidR="003C7C2B">
        <w:rPr>
          <w:lang w:val="es-CO" w:eastAsia="es-CO"/>
        </w:rPr>
        <w:t xml:space="preserve"> </w:t>
      </w:r>
      <w:r w:rsidRPr="00F00AEB">
        <w:rPr>
          <w:lang w:val="es-CO" w:eastAsia="es-CO"/>
        </w:rPr>
        <w:t>l</w:t>
      </w:r>
      <w:r w:rsidR="003C7C2B">
        <w:rPr>
          <w:lang w:val="es-CO" w:eastAsia="es-CO"/>
        </w:rPr>
        <w:t>a prestación del</w:t>
      </w:r>
      <w:r w:rsidRPr="00F00AEB">
        <w:rPr>
          <w:lang w:val="es-CO" w:eastAsia="es-CO"/>
        </w:rPr>
        <w:t xml:space="preserve"> SPU aumenta</w:t>
      </w:r>
      <w:r w:rsidR="00C021A9">
        <w:rPr>
          <w:lang w:val="es-CO" w:eastAsia="es-CO"/>
        </w:rPr>
        <w:t>n</w:t>
      </w:r>
      <w:r w:rsidRPr="00F00AEB">
        <w:rPr>
          <w:lang w:val="es-CO" w:eastAsia="es-CO"/>
        </w:rPr>
        <w:t xml:space="preserve"> a una tasa del 6% anual</w:t>
      </w:r>
      <w:r w:rsidR="003C7C2B">
        <w:rPr>
          <w:lang w:val="es-CO" w:eastAsia="es-CO"/>
        </w:rPr>
        <w:t>,</w:t>
      </w:r>
      <w:r w:rsidR="0070045C">
        <w:rPr>
          <w:lang w:val="es-CO" w:eastAsia="es-CO"/>
        </w:rPr>
        <w:t xml:space="preserve"> por estas razones</w:t>
      </w:r>
      <w:r w:rsidR="003C7C2B">
        <w:rPr>
          <w:lang w:val="es-CO" w:eastAsia="es-CO"/>
        </w:rPr>
        <w:t xml:space="preserve"> el escenario ALTERNATIVO B</w:t>
      </w:r>
      <w:r w:rsidR="0070045C">
        <w:rPr>
          <w:lang w:val="es-CO" w:eastAsia="es-CO"/>
        </w:rPr>
        <w:t xml:space="preserve"> es aquel</w:t>
      </w:r>
      <w:r w:rsidR="003C7C2B">
        <w:rPr>
          <w:lang w:val="es-CO" w:eastAsia="es-CO"/>
        </w:rPr>
        <w:t xml:space="preserve"> que permit</w:t>
      </w:r>
      <w:r w:rsidR="0070045C">
        <w:rPr>
          <w:lang w:val="es-CO" w:eastAsia="es-CO"/>
        </w:rPr>
        <w:t>e</w:t>
      </w:r>
      <w:r w:rsidR="003C7C2B">
        <w:rPr>
          <w:lang w:val="es-CO" w:eastAsia="es-CO"/>
        </w:rPr>
        <w:t xml:space="preserve"> garantizar el equilibrio del Fondo Único de TIC, en materia de ingresos y gastos del sector postal colombiano.</w:t>
      </w:r>
    </w:p>
    <w:p w14:paraId="2AF761C6" w14:textId="77777777" w:rsidR="00E9387F" w:rsidRDefault="00E9387F" w:rsidP="00E9387F">
      <w:pPr>
        <w:spacing w:before="0" w:after="120" w:line="276" w:lineRule="auto"/>
        <w:rPr>
          <w:lang w:val="es-CO" w:eastAsia="es-CO"/>
        </w:rPr>
      </w:pPr>
      <w:r>
        <w:rPr>
          <w:lang w:val="es-CO" w:eastAsia="es-CO"/>
        </w:rPr>
        <w:br w:type="page"/>
      </w:r>
    </w:p>
    <w:p w14:paraId="05A62317" w14:textId="77777777" w:rsidR="00E9387F" w:rsidRDefault="00E9387F" w:rsidP="00E9387F">
      <w:pPr>
        <w:pStyle w:val="Titulodescripcin"/>
      </w:pPr>
      <w:bookmarkStart w:id="403" w:name="_Toc102393328"/>
      <w:bookmarkStart w:id="404" w:name="_Toc104272191"/>
      <w:r>
        <w:rPr>
          <w:noProof/>
          <w:lang w:val="es-CO" w:eastAsia="es-CO"/>
        </w:rPr>
        <w:lastRenderedPageBreak/>
        <w:t>Bibliografía</w:t>
      </w:r>
      <w:bookmarkEnd w:id="403"/>
      <w:bookmarkEnd w:id="404"/>
    </w:p>
    <w:bookmarkEnd w:id="343"/>
    <w:bookmarkEnd w:id="344"/>
    <w:bookmarkEnd w:id="345"/>
    <w:p w14:paraId="67FA8F63" w14:textId="77777777" w:rsidR="00630C91" w:rsidRDefault="00E9387F" w:rsidP="00630C91">
      <w:pPr>
        <w:pStyle w:val="Bibliografa"/>
        <w:ind w:left="720" w:hanging="720"/>
        <w:rPr>
          <w:noProof/>
          <w:szCs w:val="24"/>
        </w:rPr>
      </w:pPr>
      <w:r>
        <w:rPr>
          <w:lang w:val="es-CO" w:eastAsia="es-CO"/>
        </w:rPr>
        <w:fldChar w:fldCharType="begin"/>
      </w:r>
      <w:r>
        <w:rPr>
          <w:lang w:val="es-CO" w:eastAsia="es-CO"/>
        </w:rPr>
        <w:instrText xml:space="preserve"> BIBLIOGRAPHY  \l 9226 </w:instrText>
      </w:r>
      <w:r>
        <w:rPr>
          <w:lang w:val="es-CO" w:eastAsia="es-CO"/>
        </w:rPr>
        <w:fldChar w:fldCharType="separate"/>
      </w:r>
      <w:r w:rsidR="00630C91">
        <w:rPr>
          <w:noProof/>
        </w:rPr>
        <w:t xml:space="preserve">BanOpor. (4 de mayo de 2022). </w:t>
      </w:r>
      <w:r w:rsidR="00630C91">
        <w:rPr>
          <w:i/>
          <w:iCs/>
          <w:noProof/>
        </w:rPr>
        <w:t>Banca de las Oportunidades</w:t>
      </w:r>
      <w:r w:rsidR="00630C91">
        <w:rPr>
          <w:noProof/>
        </w:rPr>
        <w:t xml:space="preserve">. Obtenido de https://www.bancadelasoportunidades.gov.co/es/estadisticas </w:t>
      </w:r>
    </w:p>
    <w:p w14:paraId="125BA62E" w14:textId="77777777" w:rsidR="00630C91" w:rsidRDefault="00630C91" w:rsidP="00630C91">
      <w:pPr>
        <w:pStyle w:val="Bibliografa"/>
        <w:ind w:left="720" w:hanging="720"/>
        <w:rPr>
          <w:noProof/>
        </w:rPr>
      </w:pPr>
      <w:r>
        <w:rPr>
          <w:noProof/>
        </w:rPr>
        <w:t>BlackSip. (3 de mayo de 2022). BLACKINDEX: el reporte del e-commerce en Colombia 2019. Bogotá. Recuperado el 4 de mayo de 2022, de https://content.blacksip.com/hubfs/EBOOK%20BLACKINDEX%20REPORTE%202019%20ECOMMERCE%20COLOMBIA%20by%20BLACKSIP%202.pdf?utm_medium=email&amp;_hsenc=p2ANqtz-81wecDYK02e3T9ooTPVtyhueu8U6OA2HSZhPRBUgXJzbkLzUf</w:t>
      </w:r>
    </w:p>
    <w:p w14:paraId="6102E4B0" w14:textId="77777777" w:rsidR="00630C91" w:rsidRDefault="00630C91" w:rsidP="00630C91">
      <w:pPr>
        <w:pStyle w:val="Bibliografa"/>
        <w:ind w:left="720" w:hanging="720"/>
        <w:rPr>
          <w:noProof/>
        </w:rPr>
      </w:pPr>
      <w:r>
        <w:rPr>
          <w:noProof/>
        </w:rPr>
        <w:t xml:space="preserve">CCCE. (mayo de 2022). </w:t>
      </w:r>
      <w:r>
        <w:rPr>
          <w:i/>
          <w:iCs/>
          <w:noProof/>
        </w:rPr>
        <w:t>CCCE. https://www.ccce.org.co/gestion-gremial/ .</w:t>
      </w:r>
      <w:r>
        <w:rPr>
          <w:noProof/>
        </w:rPr>
        <w:t xml:space="preserve"> Recuperado el 20 de 05 de 2022, de https://drive.google.com/file/d/1wc0L5j-CiO2S6BqshObtmYErk1eyj4P1/view</w:t>
      </w:r>
    </w:p>
    <w:p w14:paraId="470C13B2" w14:textId="77777777" w:rsidR="00630C91" w:rsidRDefault="00630C91" w:rsidP="00630C91">
      <w:pPr>
        <w:pStyle w:val="Bibliografa"/>
        <w:ind w:left="720" w:hanging="720"/>
        <w:rPr>
          <w:noProof/>
        </w:rPr>
      </w:pPr>
      <w:r>
        <w:rPr>
          <w:noProof/>
        </w:rPr>
        <w:t>Colombia Fintech. (2022). Giros Fintech. Recuperado el 01 de 04 de 2022, de https://colombiafintech.co/lineaDeTiempo/articulo/cuales-son-y-como-estan-las-billeteras-digitales-en-colombia</w:t>
      </w:r>
    </w:p>
    <w:p w14:paraId="355C72C0" w14:textId="77777777" w:rsidR="00630C91" w:rsidRDefault="00630C91" w:rsidP="00630C91">
      <w:pPr>
        <w:pStyle w:val="Bibliografa"/>
        <w:ind w:left="720" w:hanging="720"/>
        <w:rPr>
          <w:noProof/>
        </w:rPr>
      </w:pPr>
      <w:r>
        <w:rPr>
          <w:noProof/>
        </w:rPr>
        <w:t xml:space="preserve">Decreto 1078. (2015). </w:t>
      </w:r>
      <w:r>
        <w:rPr>
          <w:i/>
          <w:iCs/>
          <w:noProof/>
        </w:rPr>
        <w:t>Por el cual se compila el Decreto 223 de 2014</w:t>
      </w:r>
      <w:r>
        <w:rPr>
          <w:noProof/>
        </w:rPr>
        <w:t>.</w:t>
      </w:r>
    </w:p>
    <w:p w14:paraId="36AAF67C" w14:textId="77777777" w:rsidR="00630C91" w:rsidRDefault="00630C91" w:rsidP="00630C91">
      <w:pPr>
        <w:pStyle w:val="Bibliografa"/>
        <w:ind w:left="720" w:hanging="720"/>
        <w:rPr>
          <w:noProof/>
        </w:rPr>
      </w:pPr>
      <w:r>
        <w:rPr>
          <w:noProof/>
        </w:rPr>
        <w:t>Decreto 223. (12 de Febrero de 2014).</w:t>
      </w:r>
    </w:p>
    <w:p w14:paraId="57BEB881" w14:textId="77777777" w:rsidR="00630C91" w:rsidRDefault="00630C91" w:rsidP="00630C91">
      <w:pPr>
        <w:pStyle w:val="Bibliografa"/>
        <w:ind w:left="720" w:hanging="720"/>
        <w:rPr>
          <w:noProof/>
        </w:rPr>
      </w:pPr>
      <w:r>
        <w:rPr>
          <w:noProof/>
        </w:rPr>
        <w:t>DNP. (23 de noviembre de 2016 ). Contrato de Consultoría No. DNP-587-2016. Bogotá.</w:t>
      </w:r>
    </w:p>
    <w:p w14:paraId="4AB91550" w14:textId="77777777" w:rsidR="00630C91" w:rsidRDefault="00630C91" w:rsidP="00630C91">
      <w:pPr>
        <w:pStyle w:val="Bibliografa"/>
        <w:ind w:left="720" w:hanging="720"/>
        <w:rPr>
          <w:noProof/>
        </w:rPr>
      </w:pPr>
      <w:r>
        <w:rPr>
          <w:noProof/>
        </w:rPr>
        <w:t>DNP. (2019). Bases del Plan Nacional de Desarrollo. Pacto por Colombia. Pacto por la equidad. Bogotá.</w:t>
      </w:r>
    </w:p>
    <w:p w14:paraId="39737FD8" w14:textId="77777777" w:rsidR="00630C91" w:rsidRDefault="00630C91" w:rsidP="00630C91">
      <w:pPr>
        <w:pStyle w:val="Bibliografa"/>
        <w:ind w:left="720" w:hanging="720"/>
        <w:rPr>
          <w:noProof/>
        </w:rPr>
      </w:pPr>
      <w:r>
        <w:rPr>
          <w:noProof/>
        </w:rPr>
        <w:t xml:space="preserve">FONADE-SAI. (2012). Consultoría para establecer el modelo que asegure la prestación del servicio postal universal — SPU, a cargo de la Nación. </w:t>
      </w:r>
      <w:r>
        <w:rPr>
          <w:i/>
          <w:iCs/>
          <w:noProof/>
        </w:rPr>
        <w:t>Contrato No. 2122379 de 2012. Sistemas Administración e Ingeniería LTDA,</w:t>
      </w:r>
      <w:r>
        <w:rPr>
          <w:noProof/>
        </w:rPr>
        <w:t>.</w:t>
      </w:r>
    </w:p>
    <w:p w14:paraId="1EFC5CE2" w14:textId="77777777" w:rsidR="00630C91" w:rsidRDefault="00630C91" w:rsidP="00630C91">
      <w:pPr>
        <w:pStyle w:val="Bibliografa"/>
        <w:ind w:left="720" w:hanging="720"/>
        <w:rPr>
          <w:noProof/>
        </w:rPr>
      </w:pPr>
      <w:r>
        <w:rPr>
          <w:noProof/>
        </w:rPr>
        <w:t>Ley 1369. (30 de diciembre de 2009).</w:t>
      </w:r>
    </w:p>
    <w:p w14:paraId="528414A8" w14:textId="77777777" w:rsidR="00630C91" w:rsidRDefault="00630C91" w:rsidP="00630C91">
      <w:pPr>
        <w:pStyle w:val="Bibliografa"/>
        <w:ind w:left="720" w:hanging="720"/>
        <w:rPr>
          <w:noProof/>
        </w:rPr>
      </w:pPr>
      <w:r>
        <w:rPr>
          <w:noProof/>
        </w:rPr>
        <w:t>Ley 1978. (25 de julio de 2019).</w:t>
      </w:r>
    </w:p>
    <w:p w14:paraId="3019409B" w14:textId="20040B94" w:rsidR="00630C91" w:rsidRDefault="00630C91" w:rsidP="00630C91">
      <w:pPr>
        <w:pStyle w:val="Bibliografa"/>
        <w:ind w:left="720" w:hanging="720"/>
        <w:rPr>
          <w:noProof/>
        </w:rPr>
      </w:pPr>
      <w:r>
        <w:rPr>
          <w:noProof/>
        </w:rPr>
        <w:t>Ley 2159 de 2021. (12 de noviembre de 2021). Recuperado el 2 de mayo de 2022, de https://dapre.presidencia.gov.co/normativa/normativa/LEY%202159%20DEL%2012%20DE%20NOVIEMBRE%20DE%202021.pdf</w:t>
      </w:r>
      <w:r w:rsidR="00425D4D">
        <w:rPr>
          <w:noProof/>
        </w:rPr>
        <w:t>.</w:t>
      </w:r>
    </w:p>
    <w:p w14:paraId="53D05066" w14:textId="77777777" w:rsidR="00630C91" w:rsidRDefault="00630C91" w:rsidP="00630C91">
      <w:pPr>
        <w:pStyle w:val="Bibliografa"/>
        <w:ind w:left="720" w:hanging="720"/>
        <w:rPr>
          <w:noProof/>
        </w:rPr>
      </w:pPr>
      <w:r>
        <w:rPr>
          <w:noProof/>
        </w:rPr>
        <w:lastRenderedPageBreak/>
        <w:t>MinTIC. (2018). Plan TIC. “El Futuro Digital es de Todos” .</w:t>
      </w:r>
    </w:p>
    <w:p w14:paraId="79A94DF1" w14:textId="77777777" w:rsidR="00630C91" w:rsidRDefault="00630C91" w:rsidP="00630C91">
      <w:pPr>
        <w:pStyle w:val="Bibliografa"/>
        <w:ind w:left="720" w:hanging="720"/>
        <w:rPr>
          <w:noProof/>
        </w:rPr>
      </w:pPr>
      <w:r>
        <w:rPr>
          <w:noProof/>
        </w:rPr>
        <w:t>MinTIC. (11 de Mayo de 2020). Definición para el FUTIC de la tasa de contraprestación periódica para el sector postal 2020 -2022. Bogotá.</w:t>
      </w:r>
    </w:p>
    <w:p w14:paraId="6F1FFE2D" w14:textId="77777777" w:rsidR="00630C91" w:rsidRDefault="00630C91" w:rsidP="00630C91">
      <w:pPr>
        <w:pStyle w:val="Bibliografa"/>
        <w:ind w:left="720" w:hanging="720"/>
        <w:rPr>
          <w:noProof/>
        </w:rPr>
      </w:pPr>
      <w:r>
        <w:rPr>
          <w:noProof/>
        </w:rPr>
        <w:t>MinTIC-Econometría. (2010). Estructura y características del mercado postal colombiano.</w:t>
      </w:r>
    </w:p>
    <w:p w14:paraId="3966E648" w14:textId="77777777" w:rsidR="00630C91" w:rsidRDefault="00630C91" w:rsidP="00630C91">
      <w:pPr>
        <w:pStyle w:val="Bibliografa"/>
        <w:ind w:left="720" w:hanging="720"/>
        <w:rPr>
          <w:noProof/>
        </w:rPr>
      </w:pPr>
      <w:r>
        <w:rPr>
          <w:noProof/>
        </w:rPr>
        <w:t xml:space="preserve">UT Econometría S.A. - AFIANZA LTDA. (Mayo de 5 de 2017.). Producto 3: Nuevo modelo de cargas económicas y esquema de único fondo del sector TIC y Propuesta normativa”. </w:t>
      </w:r>
      <w:r>
        <w:rPr>
          <w:i/>
          <w:iCs/>
          <w:noProof/>
        </w:rPr>
        <w:t>Contrato de Consultoría No. DNP-587-2016.</w:t>
      </w:r>
      <w:r>
        <w:rPr>
          <w:noProof/>
        </w:rPr>
        <w:t xml:space="preserve"> </w:t>
      </w:r>
    </w:p>
    <w:p w14:paraId="2B73B7DF" w14:textId="77777777" w:rsidR="00E9387F" w:rsidRDefault="00E9387F" w:rsidP="00630C91">
      <w:pPr>
        <w:spacing w:before="0" w:after="0" w:line="240" w:lineRule="auto"/>
        <w:jc w:val="left"/>
        <w:rPr>
          <w:rFonts w:ascii="Times New Roman" w:hAnsi="Times New Roman" w:cs="Times New Roman"/>
          <w:szCs w:val="24"/>
          <w:lang w:val="es-CO" w:eastAsia="es-CO"/>
        </w:rPr>
      </w:pPr>
      <w:r>
        <w:rPr>
          <w:lang w:val="es-CO" w:eastAsia="es-CO"/>
        </w:rPr>
        <w:fldChar w:fldCharType="end"/>
      </w:r>
    </w:p>
    <w:bookmarkEnd w:id="279"/>
    <w:p w14:paraId="5C1F364D" w14:textId="77777777" w:rsidR="00DE5E62" w:rsidRPr="005503B4" w:rsidRDefault="00DE5E62" w:rsidP="00DE5E62"/>
    <w:sectPr w:rsidR="00DE5E62" w:rsidRPr="005503B4" w:rsidSect="007A7FC8">
      <w:headerReference w:type="default" r:id="rId61"/>
      <w:pgSz w:w="12240" w:h="15840"/>
      <w:pgMar w:top="2041" w:right="1327" w:bottom="1134" w:left="1701" w:header="851" w:footer="94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4D5C5" w14:textId="77777777" w:rsidR="0037093A" w:rsidRDefault="0037093A" w:rsidP="009022D6">
      <w:pPr>
        <w:spacing w:before="0" w:line="240" w:lineRule="auto"/>
      </w:pPr>
      <w:r>
        <w:separator/>
      </w:r>
    </w:p>
  </w:endnote>
  <w:endnote w:type="continuationSeparator" w:id="0">
    <w:p w14:paraId="023D33D1" w14:textId="77777777" w:rsidR="0037093A" w:rsidRDefault="0037093A" w:rsidP="009022D6">
      <w:pPr>
        <w:spacing w:before="0" w:line="240" w:lineRule="auto"/>
      </w:pPr>
      <w:r>
        <w:continuationSeparator/>
      </w:r>
    </w:p>
  </w:endnote>
  <w:endnote w:type="continuationNotice" w:id="1">
    <w:p w14:paraId="7F97C815" w14:textId="77777777" w:rsidR="0037093A" w:rsidRDefault="0037093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C87B1" w14:textId="77777777" w:rsidR="003C7C2B" w:rsidRDefault="003C7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DAF18" w14:textId="77777777" w:rsidR="003C7C2B" w:rsidRDefault="003C7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05BAC" w14:textId="77777777" w:rsidR="003C7C2B" w:rsidRDefault="003C7C2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07F8C" w14:textId="1B30B379" w:rsidR="003C7C2B" w:rsidRDefault="003C7C2B">
    <w:pPr>
      <w:pStyle w:val="Piedepgina"/>
      <w:jc w:val="center"/>
    </w:pPr>
    <w:r>
      <w:rPr>
        <w:noProof/>
        <w:lang w:val="es-CO" w:eastAsia="es-CO"/>
      </w:rPr>
      <w:drawing>
        <wp:anchor distT="0" distB="0" distL="114300" distR="114300" simplePos="0" relativeHeight="251658243" behindDoc="1" locked="0" layoutInCell="1" allowOverlap="1" wp14:anchorId="3794D3EC" wp14:editId="6582E6C7">
          <wp:simplePos x="0" y="0"/>
          <wp:positionH relativeFrom="column">
            <wp:posOffset>-918210</wp:posOffset>
          </wp:positionH>
          <wp:positionV relativeFrom="paragraph">
            <wp:posOffset>1058545</wp:posOffset>
          </wp:positionV>
          <wp:extent cx="6916420" cy="8803194"/>
          <wp:effectExtent l="0" t="0" r="0" b="0"/>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ndo OK-01.png"/>
                  <pic:cNvPicPr/>
                </pic:nvPicPr>
                <pic:blipFill>
                  <a:blip r:embed="rId1">
                    <a:extLst>
                      <a:ext uri="{28A0092B-C50C-407E-A947-70E740481C1C}">
                        <a14:useLocalDpi xmlns:a14="http://schemas.microsoft.com/office/drawing/2010/main" val="0"/>
                      </a:ext>
                    </a:extLst>
                  </a:blip>
                  <a:stretch>
                    <a:fillRect/>
                  </a:stretch>
                </pic:blipFill>
                <pic:spPr>
                  <a:xfrm>
                    <a:off x="0" y="0"/>
                    <a:ext cx="6916420" cy="8803194"/>
                  </a:xfrm>
                  <a:prstGeom prst="rect">
                    <a:avLst/>
                  </a:prstGeom>
                </pic:spPr>
              </pic:pic>
            </a:graphicData>
          </a:graphic>
          <wp14:sizeRelH relativeFrom="page">
            <wp14:pctWidth>0</wp14:pctWidth>
          </wp14:sizeRelH>
          <wp14:sizeRelV relativeFrom="page">
            <wp14:pctHeight>0</wp14:pctHeight>
          </wp14:sizeRelV>
        </wp:anchor>
      </w:drawing>
    </w:r>
  </w:p>
  <w:p w14:paraId="4B5A09E8" w14:textId="3661EB0B" w:rsidR="003C7C2B" w:rsidRDefault="003C7C2B">
    <w:pPr>
      <w:pStyle w:val="Piedepgina"/>
    </w:pPr>
    <w:r w:rsidRPr="00606AD7">
      <w:rPr>
        <w:noProof/>
        <w:lang w:val="es-CO" w:eastAsia="es-CO"/>
      </w:rPr>
      <mc:AlternateContent>
        <mc:Choice Requires="wps">
          <w:drawing>
            <wp:anchor distT="0" distB="0" distL="114300" distR="114300" simplePos="0" relativeHeight="251658240" behindDoc="0" locked="0" layoutInCell="0" allowOverlap="1" wp14:anchorId="466C0B5E" wp14:editId="128FE7BA">
              <wp:simplePos x="0" y="0"/>
              <wp:positionH relativeFrom="page">
                <wp:posOffset>6722745</wp:posOffset>
              </wp:positionH>
              <wp:positionV relativeFrom="bottomMargin">
                <wp:posOffset>476250</wp:posOffset>
              </wp:positionV>
              <wp:extent cx="1183005" cy="2124075"/>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95313" w14:textId="2A37BBE4" w:rsidR="003C7C2B" w:rsidRPr="008A162C" w:rsidRDefault="003C7C2B">
                          <w:pPr>
                            <w:pStyle w:val="Piedepgina"/>
                            <w:rPr>
                              <w:rFonts w:eastAsiaTheme="majorEastAsia" w:cstheme="majorBidi"/>
                              <w:b/>
                              <w:color w:val="FFFFFF" w:themeColor="background1"/>
                              <w:sz w:val="44"/>
                              <w:szCs w:val="44"/>
                            </w:rPr>
                          </w:pPr>
                          <w:r w:rsidRPr="008A162C">
                            <w:rPr>
                              <w:rFonts w:eastAsiaTheme="majorEastAsia" w:cstheme="majorBidi"/>
                              <w:b/>
                              <w:color w:val="FFFFFF" w:themeColor="background1"/>
                              <w:lang w:val="es-ES"/>
                            </w:rPr>
                            <w:t xml:space="preserve">Página </w:t>
                          </w:r>
                          <w:r w:rsidRPr="008A162C">
                            <w:rPr>
                              <w:rFonts w:cs="Times New Roman"/>
                              <w:b/>
                              <w:color w:val="FFFFFF" w:themeColor="background1"/>
                              <w:sz w:val="36"/>
                              <w:szCs w:val="36"/>
                            </w:rPr>
                            <w:fldChar w:fldCharType="begin"/>
                          </w:r>
                          <w:r w:rsidRPr="008A162C">
                            <w:rPr>
                              <w:b/>
                              <w:color w:val="FFFFFF" w:themeColor="background1"/>
                              <w:sz w:val="36"/>
                              <w:szCs w:val="36"/>
                            </w:rPr>
                            <w:instrText>PAGE    \* MERGEFORMAT</w:instrText>
                          </w:r>
                          <w:r w:rsidRPr="008A162C">
                            <w:rPr>
                              <w:rFonts w:cs="Times New Roman"/>
                              <w:b/>
                              <w:color w:val="FFFFFF" w:themeColor="background1"/>
                              <w:sz w:val="36"/>
                              <w:szCs w:val="36"/>
                            </w:rPr>
                            <w:fldChar w:fldCharType="separate"/>
                          </w:r>
                          <w:r w:rsidRPr="007D7329">
                            <w:rPr>
                              <w:rFonts w:eastAsiaTheme="majorEastAsia" w:cstheme="majorBidi"/>
                              <w:b/>
                              <w:noProof/>
                              <w:color w:val="FFFFFF" w:themeColor="background1"/>
                              <w:sz w:val="36"/>
                              <w:szCs w:val="36"/>
                              <w:lang w:val="es-ES"/>
                            </w:rPr>
                            <w:t>72</w:t>
                          </w:r>
                          <w:r w:rsidRPr="008A162C">
                            <w:rPr>
                              <w:rFonts w:eastAsiaTheme="majorEastAsia" w:cstheme="majorBidi"/>
                              <w:b/>
                              <w:color w:val="FFFFFF" w:themeColor="background1"/>
                              <w:sz w:val="36"/>
                              <w:szCs w:val="36"/>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66C0B5E" id="Rectángulo 9" o:spid="_x0000_s1056" style="position:absolute;left:0;text-align:left;margin-left:529.35pt;margin-top:37.5pt;width:93.15pt;height:16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" o:allowincell="f" filled="f" stroked="f">
              <v:textbox style="mso-fit-shape-to-text:t">
                <w:txbxContent>
                  <w:p w14:paraId="35D95313" w14:textId="2A37BBE4" w:rsidR="003C7C2B" w:rsidRPr="008A162C" w:rsidRDefault="003C7C2B">
                    <w:pPr>
                      <w:pStyle w:val="Piedepgina"/>
                      <w:rPr>
                        <w:rFonts w:eastAsiaTheme="majorEastAsia" w:cstheme="majorBidi"/>
                        <w:b/>
                        <w:color w:val="FFFFFF" w:themeColor="background1"/>
                        <w:sz w:val="44"/>
                        <w:szCs w:val="44"/>
                      </w:rPr>
                    </w:pPr>
                    <w:r w:rsidRPr="008A162C">
                      <w:rPr>
                        <w:rFonts w:eastAsiaTheme="majorEastAsia" w:cstheme="majorBidi"/>
                        <w:b/>
                        <w:color w:val="FFFFFF" w:themeColor="background1"/>
                        <w:lang w:val="es-ES"/>
                      </w:rPr>
                      <w:t xml:space="preserve">Página </w:t>
                    </w:r>
                    <w:r w:rsidRPr="008A162C">
                      <w:rPr>
                        <w:rFonts w:cs="Times New Roman"/>
                        <w:b/>
                        <w:color w:val="FFFFFF" w:themeColor="background1"/>
                        <w:sz w:val="36"/>
                        <w:szCs w:val="36"/>
                      </w:rPr>
                      <w:fldChar w:fldCharType="begin"/>
                    </w:r>
                    <w:r w:rsidRPr="008A162C">
                      <w:rPr>
                        <w:b/>
                        <w:color w:val="FFFFFF" w:themeColor="background1"/>
                        <w:sz w:val="36"/>
                        <w:szCs w:val="36"/>
                      </w:rPr>
                      <w:instrText>PAGE    \* MERGEFORMAT</w:instrText>
                    </w:r>
                    <w:r w:rsidRPr="008A162C">
                      <w:rPr>
                        <w:rFonts w:cs="Times New Roman"/>
                        <w:b/>
                        <w:color w:val="FFFFFF" w:themeColor="background1"/>
                        <w:sz w:val="36"/>
                        <w:szCs w:val="36"/>
                      </w:rPr>
                      <w:fldChar w:fldCharType="separate"/>
                    </w:r>
                    <w:r w:rsidRPr="007D7329">
                      <w:rPr>
                        <w:rFonts w:eastAsiaTheme="majorEastAsia" w:cstheme="majorBidi"/>
                        <w:b/>
                        <w:noProof/>
                        <w:color w:val="FFFFFF" w:themeColor="background1"/>
                        <w:sz w:val="36"/>
                        <w:szCs w:val="36"/>
                        <w:lang w:val="es-ES"/>
                      </w:rPr>
                      <w:t>72</w:t>
                    </w:r>
                    <w:r w:rsidRPr="008A162C">
                      <w:rPr>
                        <w:rFonts w:eastAsiaTheme="majorEastAsia" w:cstheme="majorBidi"/>
                        <w:b/>
                        <w:color w:val="FFFFFF" w:themeColor="background1"/>
                        <w:sz w:val="36"/>
                        <w:szCs w:val="36"/>
                      </w:rPr>
                      <w:fldChar w:fldCharType="end"/>
                    </w:r>
                  </w:p>
                </w:txbxContent>
              </v:textbox>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9D863C" w14:textId="77777777" w:rsidR="0037093A" w:rsidRDefault="0037093A" w:rsidP="009022D6">
      <w:pPr>
        <w:spacing w:before="0" w:line="240" w:lineRule="auto"/>
      </w:pPr>
      <w:r>
        <w:separator/>
      </w:r>
    </w:p>
  </w:footnote>
  <w:footnote w:type="continuationSeparator" w:id="0">
    <w:p w14:paraId="7908A485" w14:textId="77777777" w:rsidR="0037093A" w:rsidRDefault="0037093A" w:rsidP="009022D6">
      <w:pPr>
        <w:spacing w:before="0" w:line="240" w:lineRule="auto"/>
      </w:pPr>
      <w:r>
        <w:continuationSeparator/>
      </w:r>
    </w:p>
  </w:footnote>
  <w:footnote w:type="continuationNotice" w:id="1">
    <w:p w14:paraId="1C9BAD69" w14:textId="77777777" w:rsidR="0037093A" w:rsidRDefault="0037093A">
      <w:pPr>
        <w:spacing w:before="0" w:line="240" w:lineRule="auto"/>
      </w:pPr>
    </w:p>
  </w:footnote>
  <w:footnote w:id="2">
    <w:p w14:paraId="3E610B3D" w14:textId="77777777" w:rsidR="003C7C2B" w:rsidRPr="00EE524D" w:rsidRDefault="003C7C2B" w:rsidP="00F262C2">
      <w:pPr>
        <w:pStyle w:val="Textonotapie"/>
        <w:rPr>
          <w:lang w:val="es-CO"/>
        </w:rPr>
      </w:pPr>
      <w:r>
        <w:rPr>
          <w:rStyle w:val="Refdenotaalpie"/>
        </w:rPr>
        <w:footnoteRef/>
      </w:r>
      <w:r w:rsidRPr="00EE524D">
        <w:rPr>
          <w:lang w:val="es-CO"/>
        </w:rPr>
        <w:t xml:space="preserve"> </w:t>
      </w:r>
      <w:r w:rsidRPr="00EE524D">
        <w:rPr>
          <w:lang w:val="es-CO"/>
        </w:rPr>
        <w:tab/>
      </w:r>
      <w:r w:rsidRPr="00E01367">
        <w:rPr>
          <w:rFonts w:cs="Times New Roman"/>
          <w:lang w:val="es-CO"/>
        </w:rPr>
        <w:t xml:space="preserve">Véase para tal efecto </w:t>
      </w:r>
      <w:hyperlink r:id="rId1" w:history="1">
        <w:r w:rsidRPr="00E01367">
          <w:rPr>
            <w:rStyle w:val="Hipervnculo"/>
            <w:rFonts w:cs="Times New Roman"/>
            <w:lang w:val="es-CO"/>
          </w:rPr>
          <w:t>https://colombiatic.mintic.gov.co/679/w3-article-197291.html</w:t>
        </w:r>
      </w:hyperlink>
      <w:r w:rsidRPr="00E01367">
        <w:rPr>
          <w:rFonts w:cs="Times New Roman"/>
          <w:lang w:val="es-CO"/>
        </w:rPr>
        <w:t xml:space="preserve"> o el enlace https://colombiatic.mintic.gov.co/679/w3-channel.html.</w:t>
      </w:r>
    </w:p>
  </w:footnote>
  <w:footnote w:id="3">
    <w:p w14:paraId="2BF9047E" w14:textId="3ECA06FE" w:rsidR="003C7C2B" w:rsidRPr="0023606B" w:rsidRDefault="003C7C2B" w:rsidP="00F262C2">
      <w:pPr>
        <w:pStyle w:val="Textonotapie"/>
      </w:pPr>
      <w:r>
        <w:rPr>
          <w:rStyle w:val="Refdenotaalpie"/>
        </w:rPr>
        <w:footnoteRef/>
      </w:r>
      <w:r>
        <w:t xml:space="preserve"> </w:t>
      </w:r>
      <w:r>
        <w:tab/>
      </w:r>
      <w:r w:rsidRPr="00934720">
        <w:t>La técnica estadística consiste en convertir la cifra del índice para el año para el cual se desean reexpresar las cifras a 100, transformando proporcionalmente los valores del índice de los restantes meses.</w:t>
      </w:r>
    </w:p>
  </w:footnote>
  <w:footnote w:id="4">
    <w:p w14:paraId="4124C0DC" w14:textId="77777777" w:rsidR="003C7C2B" w:rsidRPr="00867C35" w:rsidRDefault="003C7C2B" w:rsidP="00384795">
      <w:pPr>
        <w:pStyle w:val="Textonotapie"/>
      </w:pPr>
      <w:r>
        <w:rPr>
          <w:rStyle w:val="Refdenotaalpie"/>
        </w:rPr>
        <w:footnoteRef/>
      </w:r>
      <w:r>
        <w:t xml:space="preserve"> </w:t>
      </w:r>
      <w:r>
        <w:tab/>
      </w:r>
      <w:r w:rsidRPr="00891A1C">
        <w:t>Se incluye en esta categoría los envíos postales de mensajería expresa con peso superior a los 2 kilogramos e inferiores a los 5 kilogramos. Se utilizarán las siglas M/E 2-5K.</w:t>
      </w:r>
    </w:p>
  </w:footnote>
  <w:footnote w:id="5">
    <w:p w14:paraId="059D8EF2" w14:textId="77777777" w:rsidR="003C7C2B" w:rsidRPr="009C7BEC" w:rsidRDefault="003C7C2B" w:rsidP="00F262C2">
      <w:pPr>
        <w:pStyle w:val="Textonotapie"/>
        <w:rPr>
          <w:sz w:val="16"/>
          <w:szCs w:val="16"/>
        </w:rPr>
      </w:pPr>
      <w:r w:rsidRPr="00795ECB">
        <w:rPr>
          <w:rStyle w:val="Refdenotaalpie"/>
          <w:sz w:val="16"/>
          <w:szCs w:val="16"/>
        </w:rPr>
        <w:footnoteRef/>
      </w:r>
      <w:r w:rsidRPr="009C7BEC">
        <w:rPr>
          <w:sz w:val="16"/>
          <w:szCs w:val="16"/>
        </w:rPr>
        <w:t xml:space="preserve"> </w:t>
      </w:r>
      <w:r w:rsidRPr="009C7BEC">
        <w:rPr>
          <w:sz w:val="16"/>
          <w:szCs w:val="16"/>
        </w:rPr>
        <w:tab/>
        <w:t xml:space="preserve">Recuérdese que la Ley 1369 de 2009 indica que “(…) </w:t>
      </w:r>
      <w:r w:rsidRPr="009C7BEC">
        <w:rPr>
          <w:i/>
          <w:iCs/>
          <w:sz w:val="16"/>
          <w:szCs w:val="16"/>
        </w:rPr>
        <w:t xml:space="preserve">Tratándose de franquicias que benefician a la Rama Legislativa o Judicial corresponderá al Congreso de la República y al Consejo Superior de la Judicatura, respectivamente, realizar las apropiaciones presupuestales necesarias para su pago”. </w:t>
      </w:r>
    </w:p>
    <w:p w14:paraId="088180E1" w14:textId="77777777" w:rsidR="003C7C2B" w:rsidRPr="00A34973" w:rsidRDefault="003C7C2B" w:rsidP="00F262C2">
      <w:pPr>
        <w:pStyle w:val="Textonotapie"/>
        <w:ind w:firstLine="0"/>
      </w:pPr>
      <w:r w:rsidRPr="009C7BEC">
        <w:rPr>
          <w:sz w:val="16"/>
          <w:szCs w:val="16"/>
        </w:rPr>
        <w:t>La obligación del pago de la franquicia postal se justifica por ley marco de la Ley de Presupuesto Nacional.</w:t>
      </w:r>
    </w:p>
  </w:footnote>
  <w:footnote w:id="6">
    <w:p w14:paraId="6B39FC98" w14:textId="5565B174" w:rsidR="003C7C2B" w:rsidRPr="00795ECB" w:rsidRDefault="003C7C2B" w:rsidP="00F262C2">
      <w:pPr>
        <w:pStyle w:val="Textonotapie"/>
        <w:rPr>
          <w:sz w:val="16"/>
          <w:szCs w:val="16"/>
          <w:lang w:val="es-MX"/>
        </w:rPr>
      </w:pPr>
      <w:r w:rsidRPr="00795ECB">
        <w:rPr>
          <w:rStyle w:val="Refdenotaalpie"/>
          <w:sz w:val="16"/>
          <w:szCs w:val="16"/>
        </w:rPr>
        <w:footnoteRef/>
      </w:r>
      <w:r w:rsidRPr="00795ECB">
        <w:rPr>
          <w:sz w:val="16"/>
          <w:szCs w:val="16"/>
        </w:rPr>
        <w:t xml:space="preserve"> </w:t>
      </w:r>
      <w:r w:rsidRPr="00795ECB">
        <w:rPr>
          <w:sz w:val="16"/>
          <w:szCs w:val="16"/>
        </w:rPr>
        <w:tab/>
      </w:r>
      <w:bookmarkStart w:id="117" w:name="_Hlk104046365"/>
      <w:r w:rsidRPr="00795ECB">
        <w:rPr>
          <w:sz w:val="16"/>
          <w:szCs w:val="16"/>
        </w:rPr>
        <w:t xml:space="preserve">A este respecto, el Decreto 223 del 12 de febrero de 2012, de acuerdo con lo dispuesto en la ley 1369 de 2009, en su artículo 7º define los principios, criterios, las fórmulas generales y factores de asignación de costos de la metodología para el reconocimiento del déficit del SPU. </w:t>
      </w:r>
      <w:bookmarkEnd w:id="117"/>
    </w:p>
  </w:footnote>
  <w:footnote w:id="7">
    <w:p w14:paraId="22836B6F" w14:textId="24E4923B" w:rsidR="003C7C2B" w:rsidRPr="000B551D" w:rsidRDefault="003C7C2B">
      <w:pPr>
        <w:pStyle w:val="Textonotapie"/>
      </w:pPr>
      <w:r>
        <w:rPr>
          <w:rStyle w:val="Refdenotaalpie"/>
        </w:rPr>
        <w:footnoteRef/>
      </w:r>
      <w:r>
        <w:t xml:space="preserve">  </w:t>
      </w:r>
      <w:r>
        <w:tab/>
        <w:t>Recuérdese que las cifras monetarias se han reexpresado en pesos constantes o reales de diciembre de 2021.</w:t>
      </w:r>
    </w:p>
  </w:footnote>
  <w:footnote w:id="8">
    <w:p w14:paraId="7721FE5C" w14:textId="77777777" w:rsidR="003C7C2B" w:rsidRPr="00BC7F63" w:rsidRDefault="003C7C2B" w:rsidP="00822518">
      <w:pPr>
        <w:pStyle w:val="Textonotapie"/>
      </w:pPr>
      <w:r>
        <w:rPr>
          <w:rStyle w:val="Refdenotaalpie"/>
        </w:rPr>
        <w:footnoteRef/>
      </w:r>
      <w:r>
        <w:t xml:space="preserve"> </w:t>
      </w:r>
      <w:r>
        <w:tab/>
      </w:r>
      <w:r w:rsidRPr="00D20D02">
        <w:t>Se hace referencia, desde la perspectiva económica, a mercados postales, a pesar de que el MinTIC, según el Decreto 887 de 2020, fija la contraprestación para los servicios postales.</w:t>
      </w:r>
      <w:r>
        <w:t xml:space="preserve"> </w:t>
      </w:r>
    </w:p>
  </w:footnote>
  <w:footnote w:id="9">
    <w:p w14:paraId="30196A08" w14:textId="1FE3C40B" w:rsidR="003C7C2B" w:rsidRPr="00AB6D2C" w:rsidRDefault="003C7C2B">
      <w:pPr>
        <w:pStyle w:val="Textonotapie"/>
      </w:pPr>
      <w:r>
        <w:rPr>
          <w:rStyle w:val="Refdenotaalpie"/>
        </w:rPr>
        <w:footnoteRef/>
      </w:r>
      <w:r>
        <w:t xml:space="preserve"> </w:t>
      </w:r>
      <w:r>
        <w:tab/>
      </w:r>
      <w:r w:rsidRPr="00D634E6">
        <w:t>Se tiene en cuenta la Resolución 6577 de marzo de 2022 de la Comisión de Regulación de Comunicaciones</w:t>
      </w:r>
      <w:r>
        <w:t>.</w:t>
      </w:r>
    </w:p>
  </w:footnote>
  <w:footnote w:id="10">
    <w:p w14:paraId="1D953A76" w14:textId="77777777" w:rsidR="003C7C2B" w:rsidRPr="00F11573" w:rsidRDefault="003C7C2B" w:rsidP="00F262C2">
      <w:pPr>
        <w:pStyle w:val="Textonotapie"/>
      </w:pPr>
      <w:r w:rsidRPr="00F11573">
        <w:rPr>
          <w:rStyle w:val="Refdenotaalpie"/>
        </w:rPr>
        <w:footnoteRef/>
      </w:r>
      <w:r w:rsidRPr="00F11573">
        <w:t xml:space="preserve"> </w:t>
      </w:r>
      <w:r w:rsidRPr="00F11573">
        <w:tab/>
        <w:t>Para efectos de análisis se han dividido los envíos expresos individuales en dos categorías: Envíos de menos de 2 kilogramos (envíos expresos pequeños) y envíos expresos de mayor tamaño (aquellos entre 2 y 5 kilogramos). A estos últimos se les identifica con las siglas M/E 2-5 K.</w:t>
      </w:r>
    </w:p>
  </w:footnote>
  <w:footnote w:id="11">
    <w:p w14:paraId="00F078FE" w14:textId="55A67146" w:rsidR="003C7C2B" w:rsidRPr="00451D53" w:rsidRDefault="003C7C2B" w:rsidP="00F262C2">
      <w:pPr>
        <w:pStyle w:val="Textonotapie"/>
      </w:pPr>
      <w:r w:rsidRPr="00F11573">
        <w:rPr>
          <w:rStyle w:val="Refdenotaalpie"/>
        </w:rPr>
        <w:footnoteRef/>
      </w:r>
      <w:r w:rsidRPr="00F11573">
        <w:t xml:space="preserve"> </w:t>
      </w:r>
      <w:r w:rsidRPr="00F11573">
        <w:tab/>
        <w:t>Servicio obligatorio para el Operador Postal Oficial o Concesionario de correo, que consiste en la recepción, clasificación, transporte y entrega no urgente, de objetos postales, mercancías, paquetes o cualquier artículo de permitida circulación en el territorio nacional o internacional, con o sin valor declarado, hasta un peso de 30 kg., conforme a lo establecido por la Unión Postal Universal.</w:t>
      </w:r>
    </w:p>
  </w:footnote>
  <w:footnote w:id="12">
    <w:p w14:paraId="3FDE5826" w14:textId="3FEFB06B" w:rsidR="003C7C2B" w:rsidRPr="00F11573" w:rsidRDefault="003C7C2B">
      <w:pPr>
        <w:pStyle w:val="Textonotapie"/>
      </w:pPr>
      <w:r w:rsidRPr="00F11573">
        <w:rPr>
          <w:rStyle w:val="Refdenotaalpie"/>
        </w:rPr>
        <w:footnoteRef/>
      </w:r>
      <w:r w:rsidRPr="00F11573">
        <w:t xml:space="preserve"> </w:t>
      </w:r>
      <w:r w:rsidRPr="00F11573">
        <w:tab/>
        <w:t xml:space="preserve">Considérese a este respecto la </w:t>
      </w:r>
      <w:r w:rsidRPr="00F11573">
        <w:fldChar w:fldCharType="begin"/>
      </w:r>
      <w:r w:rsidRPr="00F11573">
        <w:instrText xml:space="preserve"> REF _Ref101607785 \h </w:instrText>
      </w:r>
      <w:r>
        <w:instrText xml:space="preserve"> \* MERGEFORMAT </w:instrText>
      </w:r>
      <w:r w:rsidRPr="00F11573">
        <w:fldChar w:fldCharType="separate"/>
      </w:r>
      <w:r w:rsidRPr="00F11573">
        <w:t xml:space="preserve">Gráfica </w:t>
      </w:r>
      <w:r w:rsidRPr="00F11573">
        <w:rPr>
          <w:noProof/>
        </w:rPr>
        <w:t>5</w:t>
      </w:r>
      <w:r w:rsidRPr="00F11573">
        <w:noBreakHyphen/>
      </w:r>
      <w:r w:rsidRPr="00F11573">
        <w:rPr>
          <w:noProof/>
        </w:rPr>
        <w:t>7</w:t>
      </w:r>
      <w:r w:rsidRPr="00F11573">
        <w:fldChar w:fldCharType="end"/>
      </w:r>
      <w:r w:rsidRPr="00F1157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FB460" w14:textId="77777777" w:rsidR="003C7C2B" w:rsidRDefault="003C7C2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690D9" w14:textId="77777777" w:rsidR="003C7C2B" w:rsidRDefault="003C7C2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80B8F" w14:textId="77777777" w:rsidR="003C7C2B" w:rsidRDefault="003C7C2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caps/>
        <w:sz w:val="16"/>
        <w:szCs w:val="16"/>
      </w:rPr>
      <w:alias w:val="Título"/>
      <w:id w:val="902022287"/>
      <w:dataBinding w:prefixMappings="xmlns:ns0='http://schemas.openxmlformats.org/package/2006/metadata/core-properties' xmlns:ns1='http://purl.org/dc/elements/1.1/'" w:xpath="/ns0:coreProperties[1]/ns1:title[1]" w:storeItemID="{6C3C8BC8-F283-45AE-878A-BAB7291924A1}"/>
      <w:text/>
    </w:sdtPr>
    <w:sdtEndPr/>
    <w:sdtContent>
      <w:p w14:paraId="04D7E074" w14:textId="297C48CA" w:rsidR="003C7C2B" w:rsidRPr="005503B4" w:rsidRDefault="003C7C2B" w:rsidP="005503B4">
        <w:pPr>
          <w:jc w:val="left"/>
          <w:rPr>
            <w:b/>
            <w:bCs/>
            <w:caps/>
            <w:sz w:val="16"/>
            <w:szCs w:val="16"/>
          </w:rPr>
        </w:pPr>
        <w:r w:rsidRPr="005503B4">
          <w:rPr>
            <w:b/>
            <w:bCs/>
            <w:caps/>
            <w:sz w:val="16"/>
            <w:szCs w:val="16"/>
          </w:rPr>
          <w:t>Definición de la contraprestación periódica PARA EL SECTOR POStal</w:t>
        </w:r>
        <w:r>
          <w:rPr>
            <w:b/>
            <w:bCs/>
            <w:caps/>
            <w:sz w:val="16"/>
            <w:szCs w:val="16"/>
          </w:rPr>
          <w:t xml:space="preserve"> -</w:t>
        </w:r>
        <w:r w:rsidRPr="005503B4">
          <w:rPr>
            <w:b/>
            <w:bCs/>
            <w:caps/>
            <w:sz w:val="16"/>
            <w:szCs w:val="16"/>
          </w:rPr>
          <w:t xml:space="preserve"> perIodo 2022 - 2024</w:t>
        </w:r>
      </w:p>
    </w:sdtContent>
  </w:sdt>
  <w:p w14:paraId="3D57CD0B" w14:textId="17136554" w:rsidR="003C7C2B" w:rsidRPr="005503B4" w:rsidRDefault="003C7C2B" w:rsidP="005503B4">
    <w:pPr>
      <w:pStyle w:val="Encabezado1"/>
      <w:pBdr>
        <w:bottom w:val="single" w:sz="4" w:space="0" w:color="BFBFBF" w:themeColor="background1" w:themeShade="BF"/>
      </w:pBdr>
      <w:tabs>
        <w:tab w:val="clear" w:pos="993"/>
        <w:tab w:val="clear" w:pos="4252"/>
        <w:tab w:val="clear" w:pos="8504"/>
      </w:tabs>
      <w:ind w:left="5103" w:hanging="1134"/>
      <w:rPr>
        <w:rFonts w:ascii="Arial Narrow" w:hAnsi="Arial Narrow"/>
        <w:b/>
        <w:bCs/>
        <w:color w:val="auto"/>
        <w:lang w:val="es-CO"/>
      </w:rPr>
    </w:pPr>
    <w:r w:rsidRPr="005503B4">
      <w:rPr>
        <w:rFonts w:ascii="Arial Narrow" w:hAnsi="Arial Narrow"/>
        <w:b/>
        <w:bCs/>
        <w:noProof/>
        <w:color w:val="auto"/>
        <w:lang w:val="es-CO" w:eastAsia="es-CO"/>
      </w:rPr>
      <mc:AlternateContent>
        <mc:Choice Requires="wps">
          <w:drawing>
            <wp:anchor distT="0" distB="0" distL="114300" distR="114300" simplePos="0" relativeHeight="251658241" behindDoc="0" locked="0" layoutInCell="1" allowOverlap="1" wp14:anchorId="5E2308C7" wp14:editId="549CD6E8">
              <wp:simplePos x="0" y="0"/>
              <wp:positionH relativeFrom="column">
                <wp:posOffset>30208</wp:posOffset>
              </wp:positionH>
              <wp:positionV relativeFrom="paragraph">
                <wp:posOffset>124922</wp:posOffset>
              </wp:positionV>
              <wp:extent cx="5830784" cy="0"/>
              <wp:effectExtent l="0" t="0" r="0" b="0"/>
              <wp:wrapNone/>
              <wp:docPr id="2" name="Conector recto 2"/>
              <wp:cNvGraphicFramePr/>
              <a:graphic xmlns:a="http://schemas.openxmlformats.org/drawingml/2006/main">
                <a:graphicData uri="http://schemas.microsoft.com/office/word/2010/wordprocessingShape">
                  <wps:wsp>
                    <wps:cNvCnPr/>
                    <wps:spPr>
                      <a:xfrm flipH="1">
                        <a:off x="0" y="0"/>
                        <a:ext cx="5830784" cy="0"/>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xmlns:a="http://schemas.openxmlformats.org/drawingml/2006/main">
          <w:pict w14:anchorId="18FB9588">
            <v:line id="Conector recto 2" style="position:absolute;flip:x;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a5a5a5 [2092]" strokeweight=".25pt" from="2.4pt,9.85pt" to="461.5pt,9.85pt" w14:anchorId="0F9A0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">
              <v:stroke joinstyle="miter"/>
            </v:line>
          </w:pict>
        </mc:Fallback>
      </mc:AlternateContent>
    </w:r>
    <w:r w:rsidRPr="005503B4">
      <w:rPr>
        <w:rFonts w:ascii="Arial Narrow" w:hAnsi="Arial Narrow"/>
        <w:b/>
        <w:bCs/>
        <w:color w:val="auto"/>
        <w:lang w:val="es-CO"/>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AEAF7" w14:textId="29A88784" w:rsidR="003C7C2B" w:rsidRDefault="003C7C2B" w:rsidP="004C0E93">
    <w:pPr>
      <w:pStyle w:val="Encabezado1"/>
      <w:pBdr>
        <w:bottom w:val="single" w:sz="4" w:space="0" w:color="BFBFBF" w:themeColor="background1" w:themeShade="BF"/>
      </w:pBdr>
      <w:tabs>
        <w:tab w:val="clear" w:pos="993"/>
        <w:tab w:val="clear" w:pos="4252"/>
        <w:tab w:val="clear" w:pos="8504"/>
      </w:tabs>
      <w:ind w:left="5103" w:hanging="1134"/>
      <w:jc w:val="right"/>
      <w:rPr>
        <w:lang w:val="es-CO"/>
      </w:rPr>
    </w:pPr>
    <w:r>
      <w:rPr>
        <w:noProof/>
        <w:lang w:val="es-CO" w:eastAsia="es-CO"/>
      </w:rPr>
      <w:drawing>
        <wp:anchor distT="0" distB="0" distL="114300" distR="114300" simplePos="0" relativeHeight="251658244" behindDoc="1" locked="0" layoutInCell="1" allowOverlap="1" wp14:anchorId="01D5F5A6" wp14:editId="6FC10690">
          <wp:simplePos x="0" y="0"/>
          <wp:positionH relativeFrom="page">
            <wp:align>left</wp:align>
          </wp:positionH>
          <wp:positionV relativeFrom="paragraph">
            <wp:posOffset>-532130</wp:posOffset>
          </wp:positionV>
          <wp:extent cx="7760335" cy="10039350"/>
          <wp:effectExtent l="0" t="0" r="0" b="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fondo OK-01.png"/>
                  <pic:cNvPicPr/>
                </pic:nvPicPr>
                <pic:blipFill>
                  <a:blip r:embed="rId1">
                    <a:extLst>
                      <a:ext uri="{28A0092B-C50C-407E-A947-70E740481C1C}">
                        <a14:useLocalDpi xmlns:a14="http://schemas.microsoft.com/office/drawing/2010/main" val="0"/>
                      </a:ext>
                    </a:extLst>
                  </a:blip>
                  <a:stretch>
                    <a:fillRect/>
                  </a:stretch>
                </pic:blipFill>
                <pic:spPr>
                  <a:xfrm>
                    <a:off x="0" y="0"/>
                    <a:ext cx="7760335" cy="10039350"/>
                  </a:xfrm>
                  <a:prstGeom prst="rect">
                    <a:avLst/>
                  </a:prstGeom>
                </pic:spPr>
              </pic:pic>
            </a:graphicData>
          </a:graphic>
          <wp14:sizeRelH relativeFrom="page">
            <wp14:pctWidth>0</wp14:pctWidth>
          </wp14:sizeRelH>
          <wp14:sizeRelV relativeFrom="page">
            <wp14:pctHeight>0</wp14:pctHeight>
          </wp14:sizeRelV>
        </wp:anchor>
      </w:drawing>
    </w:r>
    <w:r w:rsidRPr="000C6DD0">
      <w:rPr>
        <w:lang w:val="es-CO"/>
      </w:rPr>
      <w:t xml:space="preserve">Definición de </w:t>
    </w:r>
    <w:r>
      <w:rPr>
        <w:lang w:val="es-CO"/>
      </w:rPr>
      <w:t>la</w:t>
    </w:r>
    <w:r w:rsidRPr="000C6DD0">
      <w:rPr>
        <w:lang w:val="es-CO"/>
      </w:rPr>
      <w:t xml:space="preserve">  </w:t>
    </w:r>
  </w:p>
  <w:p w14:paraId="7C87C803" w14:textId="34D7C675" w:rsidR="003C7C2B" w:rsidRDefault="003C7C2B" w:rsidP="00DA4368">
    <w:pPr>
      <w:pStyle w:val="Encabezado1"/>
      <w:pBdr>
        <w:bottom w:val="single" w:sz="4" w:space="0" w:color="BFBFBF" w:themeColor="background1" w:themeShade="BF"/>
      </w:pBdr>
      <w:tabs>
        <w:tab w:val="clear" w:pos="993"/>
        <w:tab w:val="clear" w:pos="4252"/>
        <w:tab w:val="clear" w:pos="8504"/>
      </w:tabs>
      <w:ind w:left="5103" w:hanging="1134"/>
      <w:jc w:val="right"/>
      <w:rPr>
        <w:lang w:val="es-CO"/>
      </w:rPr>
    </w:pPr>
    <w:r w:rsidRPr="000C6DD0">
      <w:rPr>
        <w:lang w:val="es-CO"/>
      </w:rPr>
      <w:t xml:space="preserve">contraprestación periódica </w:t>
    </w:r>
    <w:r>
      <w:rPr>
        <w:lang w:val="es-CO"/>
      </w:rPr>
      <w:t>a cargo de</w:t>
    </w:r>
  </w:p>
  <w:p w14:paraId="6D5E0F32" w14:textId="65C26311" w:rsidR="003C7C2B" w:rsidRDefault="003C7C2B" w:rsidP="00DA4368">
    <w:pPr>
      <w:pStyle w:val="Encabezado1"/>
      <w:pBdr>
        <w:bottom w:val="single" w:sz="4" w:space="0" w:color="BFBFBF" w:themeColor="background1" w:themeShade="BF"/>
      </w:pBdr>
      <w:tabs>
        <w:tab w:val="clear" w:pos="993"/>
        <w:tab w:val="clear" w:pos="4252"/>
        <w:tab w:val="clear" w:pos="8504"/>
      </w:tabs>
      <w:ind w:left="5103" w:hanging="1134"/>
      <w:jc w:val="right"/>
      <w:rPr>
        <w:lang w:val="es-CO"/>
      </w:rPr>
    </w:pPr>
    <w:r>
      <w:rPr>
        <w:lang w:val="es-CO"/>
      </w:rPr>
      <w:t xml:space="preserve"> los operadores postales en </w:t>
    </w:r>
    <w:r w:rsidRPr="000C6DD0">
      <w:rPr>
        <w:lang w:val="es-CO"/>
      </w:rPr>
      <w:t>el período 202</w:t>
    </w:r>
    <w:r>
      <w:rPr>
        <w:lang w:val="es-CO"/>
      </w:rPr>
      <w:t>2 - 2024</w:t>
    </w:r>
  </w:p>
  <w:p w14:paraId="438FE3C2" w14:textId="5EBD3B48" w:rsidR="003C7C2B" w:rsidRDefault="003C7C2B" w:rsidP="00DA4368">
    <w:pPr>
      <w:pStyle w:val="Encabezado1"/>
      <w:pBdr>
        <w:bottom w:val="single" w:sz="4" w:space="0" w:color="BFBFBF" w:themeColor="background1" w:themeShade="BF"/>
      </w:pBdr>
      <w:tabs>
        <w:tab w:val="clear" w:pos="993"/>
        <w:tab w:val="clear" w:pos="4252"/>
        <w:tab w:val="clear" w:pos="8504"/>
      </w:tabs>
      <w:ind w:left="5103" w:hanging="1134"/>
      <w:jc w:val="right"/>
      <w:rPr>
        <w:lang w:val="es-CO"/>
      </w:rPr>
    </w:pPr>
    <w:r>
      <w:rPr>
        <w:noProof/>
        <w:lang w:val="es-CO" w:eastAsia="es-CO"/>
      </w:rPr>
      <mc:AlternateContent>
        <mc:Choice Requires="wps">
          <w:drawing>
            <wp:anchor distT="0" distB="0" distL="114300" distR="114300" simplePos="0" relativeHeight="251658242" behindDoc="0" locked="0" layoutInCell="1" allowOverlap="1" wp14:anchorId="02216292" wp14:editId="1693D078">
              <wp:simplePos x="0" y="0"/>
              <wp:positionH relativeFrom="column">
                <wp:posOffset>30208</wp:posOffset>
              </wp:positionH>
              <wp:positionV relativeFrom="paragraph">
                <wp:posOffset>124922</wp:posOffset>
              </wp:positionV>
              <wp:extent cx="5830784" cy="0"/>
              <wp:effectExtent l="0" t="0" r="0" b="0"/>
              <wp:wrapNone/>
              <wp:docPr id="1" name="Conector recto 1"/>
              <wp:cNvGraphicFramePr/>
              <a:graphic xmlns:a="http://schemas.openxmlformats.org/drawingml/2006/main">
                <a:graphicData uri="http://schemas.microsoft.com/office/word/2010/wordprocessingShape">
                  <wps:wsp>
                    <wps:cNvCnPr/>
                    <wps:spPr>
                      <a:xfrm flipH="1">
                        <a:off x="0" y="0"/>
                        <a:ext cx="5830784" cy="0"/>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xmlns:a14="http://schemas.microsoft.com/office/drawing/2010/main" xmlns:pic="http://schemas.openxmlformats.org/drawingml/2006/picture" xmlns:a="http://schemas.openxmlformats.org/drawingml/2006/main">
          <w:pict w14:anchorId="7C54AB65">
            <v:line id="Conector recto 1" style="position:absolute;flip:x;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a5a5a5 [2092]" strokeweight=".25pt" from="2.4pt,9.85pt" to="461.5pt,9.85pt" w14:anchorId="69D1A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">
              <v:stroke joinstyle="miter"/>
            </v:line>
          </w:pict>
        </mc:Fallback>
      </mc:AlternateContent>
    </w:r>
    <w:r w:rsidRPr="006507D7">
      <w:rPr>
        <w:lang w:val="es-C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BA0E2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A5BA84C0"/>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FC84F6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2EA4D9A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3807B4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8C3F1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F82C3E"/>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6AD108"/>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76FEA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9E9A0CE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2580F62"/>
    <w:multiLevelType w:val="hybridMultilevel"/>
    <w:tmpl w:val="2BC0D900"/>
    <w:lvl w:ilvl="0" w:tplc="A8EE4ABA">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1" w15:restartNumberingAfterBreak="0">
    <w:nsid w:val="078E06CC"/>
    <w:multiLevelType w:val="hybridMultilevel"/>
    <w:tmpl w:val="F1306026"/>
    <w:lvl w:ilvl="0" w:tplc="240A0005">
      <w:start w:val="1"/>
      <w:numFmt w:val="bullet"/>
      <w:lvlText w:val=""/>
      <w:lvlJc w:val="left"/>
      <w:pPr>
        <w:ind w:left="1400" w:hanging="360"/>
      </w:pPr>
      <w:rPr>
        <w:rFonts w:ascii="Wingdings" w:hAnsi="Wingdings" w:hint="default"/>
      </w:rPr>
    </w:lvl>
    <w:lvl w:ilvl="1" w:tplc="240A0003" w:tentative="1">
      <w:start w:val="1"/>
      <w:numFmt w:val="bullet"/>
      <w:lvlText w:val="o"/>
      <w:lvlJc w:val="left"/>
      <w:pPr>
        <w:ind w:left="2120" w:hanging="360"/>
      </w:pPr>
      <w:rPr>
        <w:rFonts w:ascii="Courier New" w:hAnsi="Courier New" w:cs="Courier New" w:hint="default"/>
      </w:rPr>
    </w:lvl>
    <w:lvl w:ilvl="2" w:tplc="240A0005" w:tentative="1">
      <w:start w:val="1"/>
      <w:numFmt w:val="bullet"/>
      <w:lvlText w:val=""/>
      <w:lvlJc w:val="left"/>
      <w:pPr>
        <w:ind w:left="2840" w:hanging="360"/>
      </w:pPr>
      <w:rPr>
        <w:rFonts w:ascii="Wingdings" w:hAnsi="Wingdings" w:hint="default"/>
      </w:rPr>
    </w:lvl>
    <w:lvl w:ilvl="3" w:tplc="240A0001" w:tentative="1">
      <w:start w:val="1"/>
      <w:numFmt w:val="bullet"/>
      <w:lvlText w:val=""/>
      <w:lvlJc w:val="left"/>
      <w:pPr>
        <w:ind w:left="3560" w:hanging="360"/>
      </w:pPr>
      <w:rPr>
        <w:rFonts w:ascii="Symbol" w:hAnsi="Symbol" w:hint="default"/>
      </w:rPr>
    </w:lvl>
    <w:lvl w:ilvl="4" w:tplc="240A0003" w:tentative="1">
      <w:start w:val="1"/>
      <w:numFmt w:val="bullet"/>
      <w:lvlText w:val="o"/>
      <w:lvlJc w:val="left"/>
      <w:pPr>
        <w:ind w:left="4280" w:hanging="360"/>
      </w:pPr>
      <w:rPr>
        <w:rFonts w:ascii="Courier New" w:hAnsi="Courier New" w:cs="Courier New" w:hint="default"/>
      </w:rPr>
    </w:lvl>
    <w:lvl w:ilvl="5" w:tplc="240A0005" w:tentative="1">
      <w:start w:val="1"/>
      <w:numFmt w:val="bullet"/>
      <w:lvlText w:val=""/>
      <w:lvlJc w:val="left"/>
      <w:pPr>
        <w:ind w:left="5000" w:hanging="360"/>
      </w:pPr>
      <w:rPr>
        <w:rFonts w:ascii="Wingdings" w:hAnsi="Wingdings" w:hint="default"/>
      </w:rPr>
    </w:lvl>
    <w:lvl w:ilvl="6" w:tplc="240A0001" w:tentative="1">
      <w:start w:val="1"/>
      <w:numFmt w:val="bullet"/>
      <w:lvlText w:val=""/>
      <w:lvlJc w:val="left"/>
      <w:pPr>
        <w:ind w:left="5720" w:hanging="360"/>
      </w:pPr>
      <w:rPr>
        <w:rFonts w:ascii="Symbol" w:hAnsi="Symbol" w:hint="default"/>
      </w:rPr>
    </w:lvl>
    <w:lvl w:ilvl="7" w:tplc="240A0003" w:tentative="1">
      <w:start w:val="1"/>
      <w:numFmt w:val="bullet"/>
      <w:lvlText w:val="o"/>
      <w:lvlJc w:val="left"/>
      <w:pPr>
        <w:ind w:left="6440" w:hanging="360"/>
      </w:pPr>
      <w:rPr>
        <w:rFonts w:ascii="Courier New" w:hAnsi="Courier New" w:cs="Courier New" w:hint="default"/>
      </w:rPr>
    </w:lvl>
    <w:lvl w:ilvl="8" w:tplc="240A0005" w:tentative="1">
      <w:start w:val="1"/>
      <w:numFmt w:val="bullet"/>
      <w:lvlText w:val=""/>
      <w:lvlJc w:val="left"/>
      <w:pPr>
        <w:ind w:left="7160" w:hanging="360"/>
      </w:pPr>
      <w:rPr>
        <w:rFonts w:ascii="Wingdings" w:hAnsi="Wingdings" w:hint="default"/>
      </w:rPr>
    </w:lvl>
  </w:abstractNum>
  <w:abstractNum w:abstractNumId="12" w15:restartNumberingAfterBreak="0">
    <w:nsid w:val="08B52854"/>
    <w:multiLevelType w:val="hybridMultilevel"/>
    <w:tmpl w:val="8C229CFC"/>
    <w:lvl w:ilvl="0" w:tplc="240A0005">
      <w:start w:val="1"/>
      <w:numFmt w:val="bullet"/>
      <w:lvlText w:val=""/>
      <w:lvlJc w:val="left"/>
      <w:pPr>
        <w:ind w:left="1400" w:hanging="360"/>
      </w:pPr>
      <w:rPr>
        <w:rFonts w:ascii="Wingdings" w:hAnsi="Wingdings" w:hint="default"/>
      </w:rPr>
    </w:lvl>
    <w:lvl w:ilvl="1" w:tplc="240A0003" w:tentative="1">
      <w:start w:val="1"/>
      <w:numFmt w:val="bullet"/>
      <w:lvlText w:val="o"/>
      <w:lvlJc w:val="left"/>
      <w:pPr>
        <w:ind w:left="2120" w:hanging="360"/>
      </w:pPr>
      <w:rPr>
        <w:rFonts w:ascii="Courier New" w:hAnsi="Courier New" w:cs="Courier New" w:hint="default"/>
      </w:rPr>
    </w:lvl>
    <w:lvl w:ilvl="2" w:tplc="240A0005" w:tentative="1">
      <w:start w:val="1"/>
      <w:numFmt w:val="bullet"/>
      <w:lvlText w:val=""/>
      <w:lvlJc w:val="left"/>
      <w:pPr>
        <w:ind w:left="2840" w:hanging="360"/>
      </w:pPr>
      <w:rPr>
        <w:rFonts w:ascii="Wingdings" w:hAnsi="Wingdings" w:hint="default"/>
      </w:rPr>
    </w:lvl>
    <w:lvl w:ilvl="3" w:tplc="240A0001" w:tentative="1">
      <w:start w:val="1"/>
      <w:numFmt w:val="bullet"/>
      <w:lvlText w:val=""/>
      <w:lvlJc w:val="left"/>
      <w:pPr>
        <w:ind w:left="3560" w:hanging="360"/>
      </w:pPr>
      <w:rPr>
        <w:rFonts w:ascii="Symbol" w:hAnsi="Symbol" w:hint="default"/>
      </w:rPr>
    </w:lvl>
    <w:lvl w:ilvl="4" w:tplc="240A0003" w:tentative="1">
      <w:start w:val="1"/>
      <w:numFmt w:val="bullet"/>
      <w:lvlText w:val="o"/>
      <w:lvlJc w:val="left"/>
      <w:pPr>
        <w:ind w:left="4280" w:hanging="360"/>
      </w:pPr>
      <w:rPr>
        <w:rFonts w:ascii="Courier New" w:hAnsi="Courier New" w:cs="Courier New" w:hint="default"/>
      </w:rPr>
    </w:lvl>
    <w:lvl w:ilvl="5" w:tplc="240A0005" w:tentative="1">
      <w:start w:val="1"/>
      <w:numFmt w:val="bullet"/>
      <w:lvlText w:val=""/>
      <w:lvlJc w:val="left"/>
      <w:pPr>
        <w:ind w:left="5000" w:hanging="360"/>
      </w:pPr>
      <w:rPr>
        <w:rFonts w:ascii="Wingdings" w:hAnsi="Wingdings" w:hint="default"/>
      </w:rPr>
    </w:lvl>
    <w:lvl w:ilvl="6" w:tplc="240A0001" w:tentative="1">
      <w:start w:val="1"/>
      <w:numFmt w:val="bullet"/>
      <w:lvlText w:val=""/>
      <w:lvlJc w:val="left"/>
      <w:pPr>
        <w:ind w:left="5720" w:hanging="360"/>
      </w:pPr>
      <w:rPr>
        <w:rFonts w:ascii="Symbol" w:hAnsi="Symbol" w:hint="default"/>
      </w:rPr>
    </w:lvl>
    <w:lvl w:ilvl="7" w:tplc="240A0003" w:tentative="1">
      <w:start w:val="1"/>
      <w:numFmt w:val="bullet"/>
      <w:lvlText w:val="o"/>
      <w:lvlJc w:val="left"/>
      <w:pPr>
        <w:ind w:left="6440" w:hanging="360"/>
      </w:pPr>
      <w:rPr>
        <w:rFonts w:ascii="Courier New" w:hAnsi="Courier New" w:cs="Courier New" w:hint="default"/>
      </w:rPr>
    </w:lvl>
    <w:lvl w:ilvl="8" w:tplc="240A0005" w:tentative="1">
      <w:start w:val="1"/>
      <w:numFmt w:val="bullet"/>
      <w:lvlText w:val=""/>
      <w:lvlJc w:val="left"/>
      <w:pPr>
        <w:ind w:left="7160" w:hanging="360"/>
      </w:pPr>
      <w:rPr>
        <w:rFonts w:ascii="Wingdings" w:hAnsi="Wingdings" w:hint="default"/>
      </w:rPr>
    </w:lvl>
  </w:abstractNum>
  <w:abstractNum w:abstractNumId="13" w15:restartNumberingAfterBreak="0">
    <w:nsid w:val="08EF7752"/>
    <w:multiLevelType w:val="hybridMultilevel"/>
    <w:tmpl w:val="DDA6CF4C"/>
    <w:lvl w:ilvl="0" w:tplc="B34ACC72">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4" w15:restartNumberingAfterBreak="0">
    <w:nsid w:val="09F65B71"/>
    <w:multiLevelType w:val="hybridMultilevel"/>
    <w:tmpl w:val="F1E2FF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0820346"/>
    <w:multiLevelType w:val="hybridMultilevel"/>
    <w:tmpl w:val="2BC0D90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1C982881"/>
    <w:multiLevelType w:val="hybridMultilevel"/>
    <w:tmpl w:val="1A660EEC"/>
    <w:lvl w:ilvl="0" w:tplc="BC4C219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DE472D3"/>
    <w:multiLevelType w:val="hybridMultilevel"/>
    <w:tmpl w:val="B77CAE4C"/>
    <w:lvl w:ilvl="0" w:tplc="CECC2498">
      <w:start w:val="1"/>
      <w:numFmt w:val="bullet"/>
      <w:pStyle w:val="Vietascuadradas-Tamao12pto"/>
      <w:lvlText w:val=""/>
      <w:lvlJc w:val="left"/>
      <w:pPr>
        <w:ind w:left="720" w:hanging="360"/>
      </w:pPr>
      <w:rPr>
        <w:rFonts w:ascii="Wingdings" w:hAnsi="Wingdings"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C4D4A99"/>
    <w:multiLevelType w:val="hybridMultilevel"/>
    <w:tmpl w:val="14D8E5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FD540B4"/>
    <w:multiLevelType w:val="hybridMultilevel"/>
    <w:tmpl w:val="1BCE3052"/>
    <w:lvl w:ilvl="0" w:tplc="DEA04A3C">
      <w:start w:val="1"/>
      <w:numFmt w:val="bullet"/>
      <w:pStyle w:val="Vietascuadradas-Tamao12-indentado0"/>
      <w:lvlText w:val=""/>
      <w:lvlJc w:val="left"/>
      <w:pPr>
        <w:ind w:left="1440" w:hanging="360"/>
      </w:pPr>
      <w:rPr>
        <w:rFonts w:ascii="Wingdings" w:hAnsi="Wingdings" w:hint="default"/>
        <w:sz w:val="24"/>
        <w:szCs w:val="16"/>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3D093792"/>
    <w:multiLevelType w:val="hybridMultilevel"/>
    <w:tmpl w:val="97D41196"/>
    <w:lvl w:ilvl="0" w:tplc="826031D0">
      <w:start w:val="1"/>
      <w:numFmt w:val="bullet"/>
      <w:pStyle w:val="Prrafodelista"/>
      <w:lvlText w:val=""/>
      <w:lvlJc w:val="left"/>
      <w:pPr>
        <w:ind w:left="1460" w:hanging="360"/>
      </w:pPr>
      <w:rPr>
        <w:rFonts w:ascii="Symbol" w:hAnsi="Symbol" w:hint="default"/>
      </w:rPr>
    </w:lvl>
    <w:lvl w:ilvl="1" w:tplc="240A0003">
      <w:start w:val="1"/>
      <w:numFmt w:val="bullet"/>
      <w:lvlText w:val="o"/>
      <w:lvlJc w:val="left"/>
      <w:pPr>
        <w:ind w:left="2180" w:hanging="360"/>
      </w:pPr>
      <w:rPr>
        <w:rFonts w:ascii="Courier New" w:hAnsi="Courier New" w:cs="Courier New" w:hint="default"/>
      </w:rPr>
    </w:lvl>
    <w:lvl w:ilvl="2" w:tplc="240A0005" w:tentative="1">
      <w:start w:val="1"/>
      <w:numFmt w:val="bullet"/>
      <w:lvlText w:val=""/>
      <w:lvlJc w:val="left"/>
      <w:pPr>
        <w:ind w:left="2900" w:hanging="360"/>
      </w:pPr>
      <w:rPr>
        <w:rFonts w:ascii="Wingdings" w:hAnsi="Wingdings" w:hint="default"/>
      </w:rPr>
    </w:lvl>
    <w:lvl w:ilvl="3" w:tplc="240A0001" w:tentative="1">
      <w:start w:val="1"/>
      <w:numFmt w:val="bullet"/>
      <w:lvlText w:val=""/>
      <w:lvlJc w:val="left"/>
      <w:pPr>
        <w:ind w:left="3620" w:hanging="360"/>
      </w:pPr>
      <w:rPr>
        <w:rFonts w:ascii="Symbol" w:hAnsi="Symbol" w:hint="default"/>
      </w:rPr>
    </w:lvl>
    <w:lvl w:ilvl="4" w:tplc="240A0003" w:tentative="1">
      <w:start w:val="1"/>
      <w:numFmt w:val="bullet"/>
      <w:lvlText w:val="o"/>
      <w:lvlJc w:val="left"/>
      <w:pPr>
        <w:ind w:left="4340" w:hanging="360"/>
      </w:pPr>
      <w:rPr>
        <w:rFonts w:ascii="Courier New" w:hAnsi="Courier New" w:cs="Courier New" w:hint="default"/>
      </w:rPr>
    </w:lvl>
    <w:lvl w:ilvl="5" w:tplc="240A0005" w:tentative="1">
      <w:start w:val="1"/>
      <w:numFmt w:val="bullet"/>
      <w:lvlText w:val=""/>
      <w:lvlJc w:val="left"/>
      <w:pPr>
        <w:ind w:left="5060" w:hanging="360"/>
      </w:pPr>
      <w:rPr>
        <w:rFonts w:ascii="Wingdings" w:hAnsi="Wingdings" w:hint="default"/>
      </w:rPr>
    </w:lvl>
    <w:lvl w:ilvl="6" w:tplc="240A0001" w:tentative="1">
      <w:start w:val="1"/>
      <w:numFmt w:val="bullet"/>
      <w:lvlText w:val=""/>
      <w:lvlJc w:val="left"/>
      <w:pPr>
        <w:ind w:left="5780" w:hanging="360"/>
      </w:pPr>
      <w:rPr>
        <w:rFonts w:ascii="Symbol" w:hAnsi="Symbol" w:hint="default"/>
      </w:rPr>
    </w:lvl>
    <w:lvl w:ilvl="7" w:tplc="240A0003" w:tentative="1">
      <w:start w:val="1"/>
      <w:numFmt w:val="bullet"/>
      <w:lvlText w:val="o"/>
      <w:lvlJc w:val="left"/>
      <w:pPr>
        <w:ind w:left="6500" w:hanging="360"/>
      </w:pPr>
      <w:rPr>
        <w:rFonts w:ascii="Courier New" w:hAnsi="Courier New" w:cs="Courier New" w:hint="default"/>
      </w:rPr>
    </w:lvl>
    <w:lvl w:ilvl="8" w:tplc="240A0005" w:tentative="1">
      <w:start w:val="1"/>
      <w:numFmt w:val="bullet"/>
      <w:lvlText w:val=""/>
      <w:lvlJc w:val="left"/>
      <w:pPr>
        <w:ind w:left="7220" w:hanging="360"/>
      </w:pPr>
      <w:rPr>
        <w:rFonts w:ascii="Wingdings" w:hAnsi="Wingdings" w:hint="default"/>
      </w:rPr>
    </w:lvl>
  </w:abstractNum>
  <w:abstractNum w:abstractNumId="21" w15:restartNumberingAfterBreak="0">
    <w:nsid w:val="3D7A2822"/>
    <w:multiLevelType w:val="hybridMultilevel"/>
    <w:tmpl w:val="277C276E"/>
    <w:lvl w:ilvl="0" w:tplc="B614D16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FE002A4"/>
    <w:multiLevelType w:val="hybridMultilevel"/>
    <w:tmpl w:val="D708E4AC"/>
    <w:lvl w:ilvl="0" w:tplc="46C67400">
      <w:start w:val="1"/>
      <w:numFmt w:val="bullet"/>
      <w:lvlText w:val="4"/>
      <w:lvlJc w:val="left"/>
      <w:pPr>
        <w:ind w:left="785" w:hanging="360"/>
      </w:pPr>
      <w:rPr>
        <w:rFonts w:ascii="Webdings" w:hAnsi="Webdings"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23" w15:restartNumberingAfterBreak="0">
    <w:nsid w:val="52386E7A"/>
    <w:multiLevelType w:val="hybridMultilevel"/>
    <w:tmpl w:val="55200C76"/>
    <w:lvl w:ilvl="0" w:tplc="B36CAD22">
      <w:start w:val="1"/>
      <w:numFmt w:val="bullet"/>
      <w:pStyle w:val="Vietascuadradas-Tamao1111pto"/>
      <w:lvlText w:val=""/>
      <w:lvlJc w:val="left"/>
      <w:pPr>
        <w:ind w:left="720" w:hanging="360"/>
      </w:pPr>
      <w:rPr>
        <w:rFonts w:ascii="Wingdings" w:hAnsi="Wingdings"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6BE06AE"/>
    <w:multiLevelType w:val="hybridMultilevel"/>
    <w:tmpl w:val="42F07CA8"/>
    <w:lvl w:ilvl="0" w:tplc="58A2C5D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A035F77"/>
    <w:multiLevelType w:val="hybridMultilevel"/>
    <w:tmpl w:val="02329196"/>
    <w:lvl w:ilvl="0" w:tplc="C40C7662">
      <w:start w:val="1"/>
      <w:numFmt w:val="bullet"/>
      <w:pStyle w:val="Vietasflecha"/>
      <w:lvlText w:val=""/>
      <w:lvlJc w:val="left"/>
      <w:pPr>
        <w:ind w:left="720" w:hanging="360"/>
      </w:pPr>
      <w:rPr>
        <w:rFonts w:ascii="Webdings" w:hAnsi="Webdings"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3B571C9"/>
    <w:multiLevelType w:val="hybridMultilevel"/>
    <w:tmpl w:val="7FB2378C"/>
    <w:lvl w:ilvl="0" w:tplc="61FEBB64">
      <w:start w:val="1"/>
      <w:numFmt w:val="bullet"/>
      <w:pStyle w:val="vieta2"/>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7F74E0B"/>
    <w:multiLevelType w:val="multilevel"/>
    <w:tmpl w:val="240A0025"/>
    <w:lvl w:ilvl="0">
      <w:start w:val="1"/>
      <w:numFmt w:val="decimal"/>
      <w:pStyle w:val="Ttulo1"/>
      <w:lvlText w:val="%1"/>
      <w:lvlJc w:val="left"/>
      <w:pPr>
        <w:ind w:left="432" w:hanging="432"/>
      </w:pPr>
      <w:rPr>
        <w:rFonts w:hint="default"/>
        <w:b/>
        <w:color w:val="1F3864" w:themeColor="accent5" w:themeShade="80"/>
        <w:sz w:val="44"/>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8" w15:restartNumberingAfterBreak="0">
    <w:nsid w:val="692E47C9"/>
    <w:multiLevelType w:val="hybridMultilevel"/>
    <w:tmpl w:val="733890D4"/>
    <w:lvl w:ilvl="0" w:tplc="90905A58">
      <w:start w:val="1"/>
      <w:numFmt w:val="bullet"/>
      <w:pStyle w:val="Vietasconespaciadosencillo"/>
      <w:lvlText w:val="►"/>
      <w:lvlJc w:val="left"/>
      <w:pPr>
        <w:ind w:left="1097" w:hanging="360"/>
      </w:pPr>
      <w:rPr>
        <w:rFonts w:ascii="Arial" w:hAnsi="Arial" w:hint="default"/>
        <w:sz w:val="16"/>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70BF2A89"/>
    <w:multiLevelType w:val="hybridMultilevel"/>
    <w:tmpl w:val="FE5C986E"/>
    <w:lvl w:ilvl="0" w:tplc="92122652">
      <w:start w:val="1"/>
      <w:numFmt w:val="bullet"/>
      <w:lvlText w:val="-"/>
      <w:lvlJc w:val="left"/>
      <w:pPr>
        <w:ind w:left="1429"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47B68B2"/>
    <w:multiLevelType w:val="hybridMultilevel"/>
    <w:tmpl w:val="97D09B28"/>
    <w:lvl w:ilvl="0" w:tplc="A288A704">
      <w:start w:val="1"/>
      <w:numFmt w:val="bullet"/>
      <w:pStyle w:val="Vietascuadradas-Tamao12"/>
      <w:lvlText w:val=""/>
      <w:lvlJc w:val="left"/>
      <w:pPr>
        <w:ind w:left="720" w:hanging="360"/>
      </w:pPr>
      <w:rPr>
        <w:rFonts w:ascii="Wingdings" w:hAnsi="Wingdings" w:hint="default"/>
        <w:sz w:val="2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9156CF2"/>
    <w:multiLevelType w:val="hybridMultilevel"/>
    <w:tmpl w:val="99A61D92"/>
    <w:lvl w:ilvl="0" w:tplc="46C67400">
      <w:start w:val="1"/>
      <w:numFmt w:val="bullet"/>
      <w:lvlText w:val="4"/>
      <w:lvlJc w:val="left"/>
      <w:pPr>
        <w:ind w:left="720" w:hanging="360"/>
      </w:pPr>
      <w:rPr>
        <w:rFonts w:ascii="Webdings" w:hAnsi="Web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D101E74"/>
    <w:multiLevelType w:val="hybridMultilevel"/>
    <w:tmpl w:val="077440EE"/>
    <w:lvl w:ilvl="0" w:tplc="92122652">
      <w:start w:val="1"/>
      <w:numFmt w:val="bullet"/>
      <w:lvlText w:val="-"/>
      <w:lvlJc w:val="left"/>
      <w:pPr>
        <w:ind w:left="1429" w:hanging="360"/>
      </w:pPr>
      <w:rPr>
        <w:rFonts w:ascii="Arial" w:hAnsi="Aria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abstractNumId w:val="27"/>
  </w:num>
  <w:num w:numId="2">
    <w:abstractNumId w:val="19"/>
  </w:num>
  <w:num w:numId="3">
    <w:abstractNumId w:val="20"/>
  </w:num>
  <w:num w:numId="4">
    <w:abstractNumId w:val="26"/>
  </w:num>
  <w:num w:numId="5">
    <w:abstractNumId w:val="23"/>
  </w:num>
  <w:num w:numId="6">
    <w:abstractNumId w:val="28"/>
  </w:num>
  <w:num w:numId="7">
    <w:abstractNumId w:val="25"/>
  </w:num>
  <w:num w:numId="8">
    <w:abstractNumId w:val="30"/>
  </w:num>
  <w:num w:numId="9">
    <w:abstractNumId w:val="17"/>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3"/>
  </w:num>
  <w:num w:numId="21">
    <w:abstractNumId w:val="10"/>
  </w:num>
  <w:num w:numId="22">
    <w:abstractNumId w:val="15"/>
  </w:num>
  <w:num w:numId="23">
    <w:abstractNumId w:val="22"/>
  </w:num>
  <w:num w:numId="24">
    <w:abstractNumId w:val="16"/>
  </w:num>
  <w:num w:numId="25">
    <w:abstractNumId w:val="18"/>
  </w:num>
  <w:num w:numId="26">
    <w:abstractNumId w:val="31"/>
  </w:num>
  <w:num w:numId="27">
    <w:abstractNumId w:val="29"/>
  </w:num>
  <w:num w:numId="28">
    <w:abstractNumId w:val="32"/>
  </w:num>
  <w:num w:numId="29">
    <w:abstractNumId w:val="21"/>
  </w:num>
  <w:num w:numId="30">
    <w:abstractNumId w:val="24"/>
  </w:num>
  <w:num w:numId="31">
    <w:abstractNumId w:val="20"/>
  </w:num>
  <w:num w:numId="32">
    <w:abstractNumId w:val="20"/>
  </w:num>
  <w:num w:numId="33">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7"/>
  </w:num>
  <w:num w:numId="36">
    <w:abstractNumId w:val="14"/>
  </w:num>
  <w:num w:numId="37">
    <w:abstractNumId w:val="12"/>
  </w:num>
  <w:num w:numId="3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SortMethod w:val="0000"/>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2D6"/>
    <w:rsid w:val="000001F0"/>
    <w:rsid w:val="000002C9"/>
    <w:rsid w:val="000005AB"/>
    <w:rsid w:val="000007E3"/>
    <w:rsid w:val="00000840"/>
    <w:rsid w:val="0000179A"/>
    <w:rsid w:val="00001B31"/>
    <w:rsid w:val="00002110"/>
    <w:rsid w:val="00002855"/>
    <w:rsid w:val="00002E6E"/>
    <w:rsid w:val="00003504"/>
    <w:rsid w:val="000036E3"/>
    <w:rsid w:val="00003CDF"/>
    <w:rsid w:val="00003F1F"/>
    <w:rsid w:val="00004A58"/>
    <w:rsid w:val="00004EEF"/>
    <w:rsid w:val="000050F1"/>
    <w:rsid w:val="00005145"/>
    <w:rsid w:val="000054E6"/>
    <w:rsid w:val="00005ED4"/>
    <w:rsid w:val="00005F5C"/>
    <w:rsid w:val="000063A3"/>
    <w:rsid w:val="0000643C"/>
    <w:rsid w:val="0000707E"/>
    <w:rsid w:val="0000708A"/>
    <w:rsid w:val="00007377"/>
    <w:rsid w:val="000076F3"/>
    <w:rsid w:val="0001000A"/>
    <w:rsid w:val="000101D7"/>
    <w:rsid w:val="000105CD"/>
    <w:rsid w:val="000106F9"/>
    <w:rsid w:val="00011701"/>
    <w:rsid w:val="00011D26"/>
    <w:rsid w:val="00011FCB"/>
    <w:rsid w:val="0001230D"/>
    <w:rsid w:val="00012514"/>
    <w:rsid w:val="00012CD6"/>
    <w:rsid w:val="00012E28"/>
    <w:rsid w:val="000134BF"/>
    <w:rsid w:val="000134CD"/>
    <w:rsid w:val="00013BCC"/>
    <w:rsid w:val="00013DA4"/>
    <w:rsid w:val="000142E1"/>
    <w:rsid w:val="00014818"/>
    <w:rsid w:val="0001495C"/>
    <w:rsid w:val="00014F2F"/>
    <w:rsid w:val="0001599E"/>
    <w:rsid w:val="00015E56"/>
    <w:rsid w:val="00016696"/>
    <w:rsid w:val="0001696F"/>
    <w:rsid w:val="00017328"/>
    <w:rsid w:val="0001798B"/>
    <w:rsid w:val="00017E46"/>
    <w:rsid w:val="00020485"/>
    <w:rsid w:val="000205BA"/>
    <w:rsid w:val="0002137C"/>
    <w:rsid w:val="000216DC"/>
    <w:rsid w:val="0002273B"/>
    <w:rsid w:val="00022763"/>
    <w:rsid w:val="00023553"/>
    <w:rsid w:val="00024741"/>
    <w:rsid w:val="0002488C"/>
    <w:rsid w:val="00025020"/>
    <w:rsid w:val="000258B2"/>
    <w:rsid w:val="0002602C"/>
    <w:rsid w:val="000262A7"/>
    <w:rsid w:val="00026376"/>
    <w:rsid w:val="00026789"/>
    <w:rsid w:val="00027319"/>
    <w:rsid w:val="00027320"/>
    <w:rsid w:val="0002756A"/>
    <w:rsid w:val="00027AAE"/>
    <w:rsid w:val="00027BE7"/>
    <w:rsid w:val="00027CF5"/>
    <w:rsid w:val="0003011C"/>
    <w:rsid w:val="0003012E"/>
    <w:rsid w:val="00030AA6"/>
    <w:rsid w:val="00030BDF"/>
    <w:rsid w:val="00031F99"/>
    <w:rsid w:val="000321F9"/>
    <w:rsid w:val="0003246B"/>
    <w:rsid w:val="00032A65"/>
    <w:rsid w:val="00032D38"/>
    <w:rsid w:val="00033909"/>
    <w:rsid w:val="00033C1E"/>
    <w:rsid w:val="000342E7"/>
    <w:rsid w:val="000343BC"/>
    <w:rsid w:val="00034FAC"/>
    <w:rsid w:val="000351D4"/>
    <w:rsid w:val="00035525"/>
    <w:rsid w:val="000358D0"/>
    <w:rsid w:val="0003591B"/>
    <w:rsid w:val="00035CBC"/>
    <w:rsid w:val="000360AE"/>
    <w:rsid w:val="00036D86"/>
    <w:rsid w:val="00037151"/>
    <w:rsid w:val="00037261"/>
    <w:rsid w:val="000378B7"/>
    <w:rsid w:val="00037A42"/>
    <w:rsid w:val="00040449"/>
    <w:rsid w:val="000406B9"/>
    <w:rsid w:val="00040FEC"/>
    <w:rsid w:val="0004119F"/>
    <w:rsid w:val="00041223"/>
    <w:rsid w:val="000412EC"/>
    <w:rsid w:val="00041353"/>
    <w:rsid w:val="00041508"/>
    <w:rsid w:val="00041DE7"/>
    <w:rsid w:val="00043272"/>
    <w:rsid w:val="000432B9"/>
    <w:rsid w:val="000434C4"/>
    <w:rsid w:val="00043752"/>
    <w:rsid w:val="0004450B"/>
    <w:rsid w:val="000447F9"/>
    <w:rsid w:val="00044C7F"/>
    <w:rsid w:val="000453FE"/>
    <w:rsid w:val="00045469"/>
    <w:rsid w:val="000458C9"/>
    <w:rsid w:val="00045D28"/>
    <w:rsid w:val="00046D25"/>
    <w:rsid w:val="000477B4"/>
    <w:rsid w:val="00047874"/>
    <w:rsid w:val="0004793C"/>
    <w:rsid w:val="0005031E"/>
    <w:rsid w:val="00050D94"/>
    <w:rsid w:val="00052724"/>
    <w:rsid w:val="0005273C"/>
    <w:rsid w:val="000528CE"/>
    <w:rsid w:val="00052901"/>
    <w:rsid w:val="00052AE7"/>
    <w:rsid w:val="000539FA"/>
    <w:rsid w:val="00053CA6"/>
    <w:rsid w:val="0005408D"/>
    <w:rsid w:val="000544D9"/>
    <w:rsid w:val="00054647"/>
    <w:rsid w:val="000556E5"/>
    <w:rsid w:val="00055CC1"/>
    <w:rsid w:val="000562CF"/>
    <w:rsid w:val="000562D0"/>
    <w:rsid w:val="00056553"/>
    <w:rsid w:val="00056950"/>
    <w:rsid w:val="000569CC"/>
    <w:rsid w:val="00056D84"/>
    <w:rsid w:val="000570F5"/>
    <w:rsid w:val="0005744E"/>
    <w:rsid w:val="00057618"/>
    <w:rsid w:val="00057A9C"/>
    <w:rsid w:val="000607CD"/>
    <w:rsid w:val="00060B92"/>
    <w:rsid w:val="000613E2"/>
    <w:rsid w:val="00061946"/>
    <w:rsid w:val="00061A51"/>
    <w:rsid w:val="00061A7B"/>
    <w:rsid w:val="00061F6D"/>
    <w:rsid w:val="000620B4"/>
    <w:rsid w:val="0006217A"/>
    <w:rsid w:val="00062259"/>
    <w:rsid w:val="00062316"/>
    <w:rsid w:val="0006241D"/>
    <w:rsid w:val="00062547"/>
    <w:rsid w:val="00062D78"/>
    <w:rsid w:val="00062FA9"/>
    <w:rsid w:val="000630A4"/>
    <w:rsid w:val="0006315D"/>
    <w:rsid w:val="0006383A"/>
    <w:rsid w:val="00063978"/>
    <w:rsid w:val="00063F31"/>
    <w:rsid w:val="000642EC"/>
    <w:rsid w:val="0006453D"/>
    <w:rsid w:val="00065A18"/>
    <w:rsid w:val="00066663"/>
    <w:rsid w:val="000668BA"/>
    <w:rsid w:val="0006694C"/>
    <w:rsid w:val="00066991"/>
    <w:rsid w:val="00066E04"/>
    <w:rsid w:val="00066EDF"/>
    <w:rsid w:val="00067B00"/>
    <w:rsid w:val="00067C79"/>
    <w:rsid w:val="00070B3D"/>
    <w:rsid w:val="0007126D"/>
    <w:rsid w:val="0007142E"/>
    <w:rsid w:val="0007188A"/>
    <w:rsid w:val="00071BCE"/>
    <w:rsid w:val="00071E63"/>
    <w:rsid w:val="00072694"/>
    <w:rsid w:val="00072AEA"/>
    <w:rsid w:val="000734CC"/>
    <w:rsid w:val="00073A58"/>
    <w:rsid w:val="00073C62"/>
    <w:rsid w:val="00073D8E"/>
    <w:rsid w:val="00073E9D"/>
    <w:rsid w:val="00073F5E"/>
    <w:rsid w:val="000749F6"/>
    <w:rsid w:val="00074CE7"/>
    <w:rsid w:val="000759AB"/>
    <w:rsid w:val="00075E0F"/>
    <w:rsid w:val="0007602D"/>
    <w:rsid w:val="0007692E"/>
    <w:rsid w:val="00076A7E"/>
    <w:rsid w:val="00077087"/>
    <w:rsid w:val="000771F0"/>
    <w:rsid w:val="000777DD"/>
    <w:rsid w:val="00077B7D"/>
    <w:rsid w:val="00077F68"/>
    <w:rsid w:val="0008057B"/>
    <w:rsid w:val="00080685"/>
    <w:rsid w:val="000807CD"/>
    <w:rsid w:val="00080823"/>
    <w:rsid w:val="000809FB"/>
    <w:rsid w:val="00080E49"/>
    <w:rsid w:val="00081AFD"/>
    <w:rsid w:val="000820BC"/>
    <w:rsid w:val="00082FBB"/>
    <w:rsid w:val="000830A6"/>
    <w:rsid w:val="00083837"/>
    <w:rsid w:val="0008390C"/>
    <w:rsid w:val="0008438F"/>
    <w:rsid w:val="000849B6"/>
    <w:rsid w:val="00084A1C"/>
    <w:rsid w:val="00084C21"/>
    <w:rsid w:val="00084F25"/>
    <w:rsid w:val="0008544E"/>
    <w:rsid w:val="000857F4"/>
    <w:rsid w:val="0008665A"/>
    <w:rsid w:val="00086841"/>
    <w:rsid w:val="00086B99"/>
    <w:rsid w:val="00086E8E"/>
    <w:rsid w:val="0008731E"/>
    <w:rsid w:val="00087E56"/>
    <w:rsid w:val="000901C2"/>
    <w:rsid w:val="000905CA"/>
    <w:rsid w:val="0009103E"/>
    <w:rsid w:val="00091206"/>
    <w:rsid w:val="000913E8"/>
    <w:rsid w:val="00091439"/>
    <w:rsid w:val="000916EB"/>
    <w:rsid w:val="00091A22"/>
    <w:rsid w:val="00092D6D"/>
    <w:rsid w:val="00093207"/>
    <w:rsid w:val="00093721"/>
    <w:rsid w:val="0009408C"/>
    <w:rsid w:val="00094133"/>
    <w:rsid w:val="00094A42"/>
    <w:rsid w:val="00094C2E"/>
    <w:rsid w:val="00094C8A"/>
    <w:rsid w:val="00094CDB"/>
    <w:rsid w:val="00095072"/>
    <w:rsid w:val="0009569D"/>
    <w:rsid w:val="00095719"/>
    <w:rsid w:val="000958BA"/>
    <w:rsid w:val="000969FF"/>
    <w:rsid w:val="0009729C"/>
    <w:rsid w:val="00097431"/>
    <w:rsid w:val="000977B2"/>
    <w:rsid w:val="00097C6E"/>
    <w:rsid w:val="000A0849"/>
    <w:rsid w:val="000A0EAC"/>
    <w:rsid w:val="000A1AF2"/>
    <w:rsid w:val="000A1B6D"/>
    <w:rsid w:val="000A1E19"/>
    <w:rsid w:val="000A1F86"/>
    <w:rsid w:val="000A1F99"/>
    <w:rsid w:val="000A2619"/>
    <w:rsid w:val="000A2A5D"/>
    <w:rsid w:val="000A2B90"/>
    <w:rsid w:val="000A2EC1"/>
    <w:rsid w:val="000A312C"/>
    <w:rsid w:val="000A472B"/>
    <w:rsid w:val="000A52AC"/>
    <w:rsid w:val="000A547B"/>
    <w:rsid w:val="000A5773"/>
    <w:rsid w:val="000A657A"/>
    <w:rsid w:val="000A6693"/>
    <w:rsid w:val="000A6900"/>
    <w:rsid w:val="000B021F"/>
    <w:rsid w:val="000B0447"/>
    <w:rsid w:val="000B0693"/>
    <w:rsid w:val="000B2156"/>
    <w:rsid w:val="000B3698"/>
    <w:rsid w:val="000B3DCB"/>
    <w:rsid w:val="000B41E8"/>
    <w:rsid w:val="000B42C9"/>
    <w:rsid w:val="000B4390"/>
    <w:rsid w:val="000B477A"/>
    <w:rsid w:val="000B4D36"/>
    <w:rsid w:val="000B51A9"/>
    <w:rsid w:val="000B551D"/>
    <w:rsid w:val="000B5A1F"/>
    <w:rsid w:val="000B5AC0"/>
    <w:rsid w:val="000B5DFB"/>
    <w:rsid w:val="000B62D6"/>
    <w:rsid w:val="000B665E"/>
    <w:rsid w:val="000B6789"/>
    <w:rsid w:val="000B6C79"/>
    <w:rsid w:val="000B77E5"/>
    <w:rsid w:val="000B781A"/>
    <w:rsid w:val="000B79D8"/>
    <w:rsid w:val="000B7D3D"/>
    <w:rsid w:val="000C0DDA"/>
    <w:rsid w:val="000C0ED9"/>
    <w:rsid w:val="000C1280"/>
    <w:rsid w:val="000C1D68"/>
    <w:rsid w:val="000C1F7E"/>
    <w:rsid w:val="000C347E"/>
    <w:rsid w:val="000C37A5"/>
    <w:rsid w:val="000C3FCF"/>
    <w:rsid w:val="000C4611"/>
    <w:rsid w:val="000C4A1C"/>
    <w:rsid w:val="000C4D60"/>
    <w:rsid w:val="000C4D87"/>
    <w:rsid w:val="000C531F"/>
    <w:rsid w:val="000C53B4"/>
    <w:rsid w:val="000C5C02"/>
    <w:rsid w:val="000C5CBA"/>
    <w:rsid w:val="000C5CD4"/>
    <w:rsid w:val="000C5F69"/>
    <w:rsid w:val="000C60AE"/>
    <w:rsid w:val="000C656C"/>
    <w:rsid w:val="000C6DD0"/>
    <w:rsid w:val="000C7534"/>
    <w:rsid w:val="000D036D"/>
    <w:rsid w:val="000D059F"/>
    <w:rsid w:val="000D0C5E"/>
    <w:rsid w:val="000D0FCE"/>
    <w:rsid w:val="000D129A"/>
    <w:rsid w:val="000D1D64"/>
    <w:rsid w:val="000D1F48"/>
    <w:rsid w:val="000D2329"/>
    <w:rsid w:val="000D24FD"/>
    <w:rsid w:val="000D2873"/>
    <w:rsid w:val="000D2C74"/>
    <w:rsid w:val="000D2FE0"/>
    <w:rsid w:val="000D39AB"/>
    <w:rsid w:val="000D43C3"/>
    <w:rsid w:val="000D4915"/>
    <w:rsid w:val="000D49EC"/>
    <w:rsid w:val="000D4A60"/>
    <w:rsid w:val="000D55FD"/>
    <w:rsid w:val="000D5AD9"/>
    <w:rsid w:val="000D5BD7"/>
    <w:rsid w:val="000D5DDC"/>
    <w:rsid w:val="000D5E3B"/>
    <w:rsid w:val="000D61AF"/>
    <w:rsid w:val="000D6D7F"/>
    <w:rsid w:val="000D6F89"/>
    <w:rsid w:val="000D76A7"/>
    <w:rsid w:val="000D78B8"/>
    <w:rsid w:val="000D7BC9"/>
    <w:rsid w:val="000D7F7B"/>
    <w:rsid w:val="000E152C"/>
    <w:rsid w:val="000E1719"/>
    <w:rsid w:val="000E1829"/>
    <w:rsid w:val="000E1D68"/>
    <w:rsid w:val="000E1D88"/>
    <w:rsid w:val="000E1F59"/>
    <w:rsid w:val="000E2E94"/>
    <w:rsid w:val="000E2F61"/>
    <w:rsid w:val="000E371B"/>
    <w:rsid w:val="000E392A"/>
    <w:rsid w:val="000E39D8"/>
    <w:rsid w:val="000E3B51"/>
    <w:rsid w:val="000E4219"/>
    <w:rsid w:val="000E4390"/>
    <w:rsid w:val="000E4830"/>
    <w:rsid w:val="000E48D3"/>
    <w:rsid w:val="000E5316"/>
    <w:rsid w:val="000E536E"/>
    <w:rsid w:val="000E5A71"/>
    <w:rsid w:val="000E6034"/>
    <w:rsid w:val="000E6894"/>
    <w:rsid w:val="000E6930"/>
    <w:rsid w:val="000E6EC1"/>
    <w:rsid w:val="000E7E56"/>
    <w:rsid w:val="000E7F82"/>
    <w:rsid w:val="000F0416"/>
    <w:rsid w:val="000F0708"/>
    <w:rsid w:val="000F0B42"/>
    <w:rsid w:val="000F1032"/>
    <w:rsid w:val="000F1518"/>
    <w:rsid w:val="000F16E8"/>
    <w:rsid w:val="000F183E"/>
    <w:rsid w:val="000F1A21"/>
    <w:rsid w:val="000F1B73"/>
    <w:rsid w:val="000F2006"/>
    <w:rsid w:val="000F20F9"/>
    <w:rsid w:val="000F2A95"/>
    <w:rsid w:val="000F2DDB"/>
    <w:rsid w:val="000F40BD"/>
    <w:rsid w:val="000F430F"/>
    <w:rsid w:val="000F449E"/>
    <w:rsid w:val="000F4C0C"/>
    <w:rsid w:val="000F4CE1"/>
    <w:rsid w:val="000F51FD"/>
    <w:rsid w:val="000F52BE"/>
    <w:rsid w:val="000F5A1F"/>
    <w:rsid w:val="000F5DCF"/>
    <w:rsid w:val="000F626E"/>
    <w:rsid w:val="000F665D"/>
    <w:rsid w:val="000F678E"/>
    <w:rsid w:val="000F6E81"/>
    <w:rsid w:val="000F74CE"/>
    <w:rsid w:val="000F7CA1"/>
    <w:rsid w:val="000F7CD1"/>
    <w:rsid w:val="000F7D6E"/>
    <w:rsid w:val="000F7D79"/>
    <w:rsid w:val="000F7EA4"/>
    <w:rsid w:val="000F7F4E"/>
    <w:rsid w:val="00100AE5"/>
    <w:rsid w:val="00100D7C"/>
    <w:rsid w:val="001012EF"/>
    <w:rsid w:val="001014F2"/>
    <w:rsid w:val="00101B2D"/>
    <w:rsid w:val="00101BB3"/>
    <w:rsid w:val="00101C5A"/>
    <w:rsid w:val="00101D13"/>
    <w:rsid w:val="00101EC7"/>
    <w:rsid w:val="001020D1"/>
    <w:rsid w:val="00103234"/>
    <w:rsid w:val="001032F3"/>
    <w:rsid w:val="001033D8"/>
    <w:rsid w:val="001034CF"/>
    <w:rsid w:val="00103AB3"/>
    <w:rsid w:val="00103AFF"/>
    <w:rsid w:val="00104746"/>
    <w:rsid w:val="0010498B"/>
    <w:rsid w:val="00104B5B"/>
    <w:rsid w:val="00104C3E"/>
    <w:rsid w:val="001052C5"/>
    <w:rsid w:val="00105AF8"/>
    <w:rsid w:val="00105C00"/>
    <w:rsid w:val="0010615C"/>
    <w:rsid w:val="001061E0"/>
    <w:rsid w:val="00106B69"/>
    <w:rsid w:val="00106C89"/>
    <w:rsid w:val="00106E0F"/>
    <w:rsid w:val="00107814"/>
    <w:rsid w:val="00107859"/>
    <w:rsid w:val="00107B45"/>
    <w:rsid w:val="00110C60"/>
    <w:rsid w:val="001110FB"/>
    <w:rsid w:val="00111438"/>
    <w:rsid w:val="00111651"/>
    <w:rsid w:val="00111680"/>
    <w:rsid w:val="00111AE3"/>
    <w:rsid w:val="00112030"/>
    <w:rsid w:val="00112231"/>
    <w:rsid w:val="0011228F"/>
    <w:rsid w:val="00112703"/>
    <w:rsid w:val="0011290B"/>
    <w:rsid w:val="00112921"/>
    <w:rsid w:val="00112DCD"/>
    <w:rsid w:val="00113042"/>
    <w:rsid w:val="001135FD"/>
    <w:rsid w:val="00113F94"/>
    <w:rsid w:val="00113FC6"/>
    <w:rsid w:val="0011430E"/>
    <w:rsid w:val="00114699"/>
    <w:rsid w:val="001149BD"/>
    <w:rsid w:val="00115011"/>
    <w:rsid w:val="00115089"/>
    <w:rsid w:val="00115390"/>
    <w:rsid w:val="00115844"/>
    <w:rsid w:val="00115888"/>
    <w:rsid w:val="00115A37"/>
    <w:rsid w:val="00115BFD"/>
    <w:rsid w:val="00115E38"/>
    <w:rsid w:val="00116AE4"/>
    <w:rsid w:val="00117534"/>
    <w:rsid w:val="00117AE9"/>
    <w:rsid w:val="00117D5C"/>
    <w:rsid w:val="00117DDB"/>
    <w:rsid w:val="00120772"/>
    <w:rsid w:val="00120D4D"/>
    <w:rsid w:val="00120F58"/>
    <w:rsid w:val="00120FBC"/>
    <w:rsid w:val="0012173E"/>
    <w:rsid w:val="00121E81"/>
    <w:rsid w:val="00121EF5"/>
    <w:rsid w:val="0012249D"/>
    <w:rsid w:val="00122A9C"/>
    <w:rsid w:val="00122B43"/>
    <w:rsid w:val="00123C3F"/>
    <w:rsid w:val="00124073"/>
    <w:rsid w:val="001244AE"/>
    <w:rsid w:val="001244EB"/>
    <w:rsid w:val="00124580"/>
    <w:rsid w:val="001255CC"/>
    <w:rsid w:val="00125652"/>
    <w:rsid w:val="001257BB"/>
    <w:rsid w:val="00125929"/>
    <w:rsid w:val="00125FD3"/>
    <w:rsid w:val="0012626E"/>
    <w:rsid w:val="00126287"/>
    <w:rsid w:val="0012630F"/>
    <w:rsid w:val="001268C5"/>
    <w:rsid w:val="00126AC2"/>
    <w:rsid w:val="001273CC"/>
    <w:rsid w:val="0013095F"/>
    <w:rsid w:val="00130B2B"/>
    <w:rsid w:val="00130DB8"/>
    <w:rsid w:val="0013111B"/>
    <w:rsid w:val="00131201"/>
    <w:rsid w:val="00131240"/>
    <w:rsid w:val="00131352"/>
    <w:rsid w:val="001313C9"/>
    <w:rsid w:val="001315FA"/>
    <w:rsid w:val="0013160E"/>
    <w:rsid w:val="001317B4"/>
    <w:rsid w:val="001318B4"/>
    <w:rsid w:val="00131B2B"/>
    <w:rsid w:val="00131E5E"/>
    <w:rsid w:val="00131FAB"/>
    <w:rsid w:val="001325B8"/>
    <w:rsid w:val="0013260D"/>
    <w:rsid w:val="00132871"/>
    <w:rsid w:val="001332A9"/>
    <w:rsid w:val="001334CF"/>
    <w:rsid w:val="00134117"/>
    <w:rsid w:val="0013452C"/>
    <w:rsid w:val="001349C5"/>
    <w:rsid w:val="001351E6"/>
    <w:rsid w:val="00135212"/>
    <w:rsid w:val="0013540A"/>
    <w:rsid w:val="0013567F"/>
    <w:rsid w:val="00135A2E"/>
    <w:rsid w:val="00135A88"/>
    <w:rsid w:val="00135AD3"/>
    <w:rsid w:val="001360EC"/>
    <w:rsid w:val="001361C5"/>
    <w:rsid w:val="00136620"/>
    <w:rsid w:val="0013670C"/>
    <w:rsid w:val="00136956"/>
    <w:rsid w:val="001372E1"/>
    <w:rsid w:val="00137374"/>
    <w:rsid w:val="00137C77"/>
    <w:rsid w:val="00137DFB"/>
    <w:rsid w:val="0013AA75"/>
    <w:rsid w:val="0014012C"/>
    <w:rsid w:val="001405C2"/>
    <w:rsid w:val="001407A8"/>
    <w:rsid w:val="0014093E"/>
    <w:rsid w:val="001409E8"/>
    <w:rsid w:val="001410DF"/>
    <w:rsid w:val="00141BD5"/>
    <w:rsid w:val="00141CE2"/>
    <w:rsid w:val="00141DEB"/>
    <w:rsid w:val="00141E53"/>
    <w:rsid w:val="00141F02"/>
    <w:rsid w:val="0014252C"/>
    <w:rsid w:val="00142DE7"/>
    <w:rsid w:val="001431D0"/>
    <w:rsid w:val="001438A9"/>
    <w:rsid w:val="00143C06"/>
    <w:rsid w:val="00144292"/>
    <w:rsid w:val="00144371"/>
    <w:rsid w:val="001450ED"/>
    <w:rsid w:val="00145169"/>
    <w:rsid w:val="001454DA"/>
    <w:rsid w:val="001457EE"/>
    <w:rsid w:val="00145F24"/>
    <w:rsid w:val="001460E8"/>
    <w:rsid w:val="00146399"/>
    <w:rsid w:val="001468C5"/>
    <w:rsid w:val="00146B52"/>
    <w:rsid w:val="001476B7"/>
    <w:rsid w:val="001477E4"/>
    <w:rsid w:val="00147EEF"/>
    <w:rsid w:val="00150CAF"/>
    <w:rsid w:val="001515EC"/>
    <w:rsid w:val="00151625"/>
    <w:rsid w:val="00151762"/>
    <w:rsid w:val="00151954"/>
    <w:rsid w:val="0015222E"/>
    <w:rsid w:val="0015238B"/>
    <w:rsid w:val="00152761"/>
    <w:rsid w:val="00152E91"/>
    <w:rsid w:val="00153297"/>
    <w:rsid w:val="00153630"/>
    <w:rsid w:val="00153725"/>
    <w:rsid w:val="001537A4"/>
    <w:rsid w:val="00153A7E"/>
    <w:rsid w:val="00153B05"/>
    <w:rsid w:val="00153DEF"/>
    <w:rsid w:val="0015509F"/>
    <w:rsid w:val="001553A5"/>
    <w:rsid w:val="001555AE"/>
    <w:rsid w:val="0015594D"/>
    <w:rsid w:val="00155B57"/>
    <w:rsid w:val="00155F79"/>
    <w:rsid w:val="00156212"/>
    <w:rsid w:val="00156220"/>
    <w:rsid w:val="00156577"/>
    <w:rsid w:val="001565BC"/>
    <w:rsid w:val="00156AF3"/>
    <w:rsid w:val="00156C5A"/>
    <w:rsid w:val="00157082"/>
    <w:rsid w:val="001571EF"/>
    <w:rsid w:val="00157360"/>
    <w:rsid w:val="0015762D"/>
    <w:rsid w:val="00157B8C"/>
    <w:rsid w:val="0015893A"/>
    <w:rsid w:val="0016055C"/>
    <w:rsid w:val="001607E9"/>
    <w:rsid w:val="00160AAB"/>
    <w:rsid w:val="0016145D"/>
    <w:rsid w:val="001617EB"/>
    <w:rsid w:val="001618E8"/>
    <w:rsid w:val="00161E66"/>
    <w:rsid w:val="001620B7"/>
    <w:rsid w:val="0016373C"/>
    <w:rsid w:val="001640AE"/>
    <w:rsid w:val="001645BD"/>
    <w:rsid w:val="00164C90"/>
    <w:rsid w:val="001651DC"/>
    <w:rsid w:val="00165952"/>
    <w:rsid w:val="001659DA"/>
    <w:rsid w:val="00165B74"/>
    <w:rsid w:val="00166186"/>
    <w:rsid w:val="001663F2"/>
    <w:rsid w:val="001664FD"/>
    <w:rsid w:val="001668DE"/>
    <w:rsid w:val="001669D1"/>
    <w:rsid w:val="00166F01"/>
    <w:rsid w:val="0017030E"/>
    <w:rsid w:val="00170902"/>
    <w:rsid w:val="001711CE"/>
    <w:rsid w:val="001714E0"/>
    <w:rsid w:val="001719C6"/>
    <w:rsid w:val="00171C54"/>
    <w:rsid w:val="00171D74"/>
    <w:rsid w:val="00171E39"/>
    <w:rsid w:val="001725D4"/>
    <w:rsid w:val="0017310A"/>
    <w:rsid w:val="00173408"/>
    <w:rsid w:val="00173866"/>
    <w:rsid w:val="00173896"/>
    <w:rsid w:val="00173F7C"/>
    <w:rsid w:val="00174394"/>
    <w:rsid w:val="00174A78"/>
    <w:rsid w:val="001756DA"/>
    <w:rsid w:val="00175768"/>
    <w:rsid w:val="00175A25"/>
    <w:rsid w:val="00176786"/>
    <w:rsid w:val="001767B5"/>
    <w:rsid w:val="00176B7B"/>
    <w:rsid w:val="00176CF4"/>
    <w:rsid w:val="00177D45"/>
    <w:rsid w:val="0018072D"/>
    <w:rsid w:val="00180A4A"/>
    <w:rsid w:val="00180BAC"/>
    <w:rsid w:val="00181211"/>
    <w:rsid w:val="0018158E"/>
    <w:rsid w:val="00181665"/>
    <w:rsid w:val="00182116"/>
    <w:rsid w:val="001821A1"/>
    <w:rsid w:val="00182270"/>
    <w:rsid w:val="00182296"/>
    <w:rsid w:val="0018281C"/>
    <w:rsid w:val="00182D23"/>
    <w:rsid w:val="00182F50"/>
    <w:rsid w:val="00183E91"/>
    <w:rsid w:val="00183EDD"/>
    <w:rsid w:val="0018506C"/>
    <w:rsid w:val="00185465"/>
    <w:rsid w:val="00185470"/>
    <w:rsid w:val="001859B5"/>
    <w:rsid w:val="00185C7F"/>
    <w:rsid w:val="00185F14"/>
    <w:rsid w:val="00186264"/>
    <w:rsid w:val="001867AA"/>
    <w:rsid w:val="00186D02"/>
    <w:rsid w:val="00187063"/>
    <w:rsid w:val="001876D7"/>
    <w:rsid w:val="00187941"/>
    <w:rsid w:val="001879B4"/>
    <w:rsid w:val="00187BB0"/>
    <w:rsid w:val="00187BD3"/>
    <w:rsid w:val="00190426"/>
    <w:rsid w:val="001909AA"/>
    <w:rsid w:val="00190B2B"/>
    <w:rsid w:val="00190B66"/>
    <w:rsid w:val="00190CDA"/>
    <w:rsid w:val="00191F7C"/>
    <w:rsid w:val="0019208B"/>
    <w:rsid w:val="00192153"/>
    <w:rsid w:val="00192A9F"/>
    <w:rsid w:val="00192B73"/>
    <w:rsid w:val="0019328B"/>
    <w:rsid w:val="00193589"/>
    <w:rsid w:val="0019387D"/>
    <w:rsid w:val="001939CA"/>
    <w:rsid w:val="00194221"/>
    <w:rsid w:val="001944E5"/>
    <w:rsid w:val="00194FE3"/>
    <w:rsid w:val="0019546B"/>
    <w:rsid w:val="0019574E"/>
    <w:rsid w:val="001957BC"/>
    <w:rsid w:val="00196412"/>
    <w:rsid w:val="00196912"/>
    <w:rsid w:val="00196D1B"/>
    <w:rsid w:val="00196DAF"/>
    <w:rsid w:val="00196E44"/>
    <w:rsid w:val="001972FC"/>
    <w:rsid w:val="00197368"/>
    <w:rsid w:val="0019748F"/>
    <w:rsid w:val="001974CC"/>
    <w:rsid w:val="00197CF6"/>
    <w:rsid w:val="001A03C4"/>
    <w:rsid w:val="001A08CC"/>
    <w:rsid w:val="001A0BC9"/>
    <w:rsid w:val="001A1087"/>
    <w:rsid w:val="001A12D0"/>
    <w:rsid w:val="001A1818"/>
    <w:rsid w:val="001A1ABA"/>
    <w:rsid w:val="001A2575"/>
    <w:rsid w:val="001A265B"/>
    <w:rsid w:val="001A2800"/>
    <w:rsid w:val="001A2801"/>
    <w:rsid w:val="001A2C95"/>
    <w:rsid w:val="001A2D19"/>
    <w:rsid w:val="001A2F72"/>
    <w:rsid w:val="001A31F2"/>
    <w:rsid w:val="001A364D"/>
    <w:rsid w:val="001A3718"/>
    <w:rsid w:val="001A3A52"/>
    <w:rsid w:val="001A3E5A"/>
    <w:rsid w:val="001A491F"/>
    <w:rsid w:val="001A4DDC"/>
    <w:rsid w:val="001A4EB3"/>
    <w:rsid w:val="001A5089"/>
    <w:rsid w:val="001A530B"/>
    <w:rsid w:val="001A553F"/>
    <w:rsid w:val="001A55B5"/>
    <w:rsid w:val="001A580D"/>
    <w:rsid w:val="001A59BF"/>
    <w:rsid w:val="001A5A35"/>
    <w:rsid w:val="001A6050"/>
    <w:rsid w:val="001A6314"/>
    <w:rsid w:val="001A6327"/>
    <w:rsid w:val="001A6C18"/>
    <w:rsid w:val="001A7660"/>
    <w:rsid w:val="001B001E"/>
    <w:rsid w:val="001B096E"/>
    <w:rsid w:val="001B09FC"/>
    <w:rsid w:val="001B0A9C"/>
    <w:rsid w:val="001B0BAD"/>
    <w:rsid w:val="001B0D29"/>
    <w:rsid w:val="001B234C"/>
    <w:rsid w:val="001B29E5"/>
    <w:rsid w:val="001B32A5"/>
    <w:rsid w:val="001B3459"/>
    <w:rsid w:val="001B3607"/>
    <w:rsid w:val="001B3DBC"/>
    <w:rsid w:val="001B3F42"/>
    <w:rsid w:val="001B4091"/>
    <w:rsid w:val="001B48A3"/>
    <w:rsid w:val="001B501F"/>
    <w:rsid w:val="001B54C6"/>
    <w:rsid w:val="001B5CB0"/>
    <w:rsid w:val="001B689D"/>
    <w:rsid w:val="001B694B"/>
    <w:rsid w:val="001B6A0D"/>
    <w:rsid w:val="001B7018"/>
    <w:rsid w:val="001B752F"/>
    <w:rsid w:val="001B75DE"/>
    <w:rsid w:val="001B766C"/>
    <w:rsid w:val="001B7837"/>
    <w:rsid w:val="001C02EB"/>
    <w:rsid w:val="001C0574"/>
    <w:rsid w:val="001C0B27"/>
    <w:rsid w:val="001C147C"/>
    <w:rsid w:val="001C18DF"/>
    <w:rsid w:val="001C1AE0"/>
    <w:rsid w:val="001C1ECF"/>
    <w:rsid w:val="001C2BA4"/>
    <w:rsid w:val="001C2BE8"/>
    <w:rsid w:val="001C2E08"/>
    <w:rsid w:val="001C2F46"/>
    <w:rsid w:val="001C32A5"/>
    <w:rsid w:val="001C33FA"/>
    <w:rsid w:val="001C3486"/>
    <w:rsid w:val="001C47EB"/>
    <w:rsid w:val="001C49FE"/>
    <w:rsid w:val="001C4A21"/>
    <w:rsid w:val="001C572C"/>
    <w:rsid w:val="001C5F79"/>
    <w:rsid w:val="001C61B9"/>
    <w:rsid w:val="001C64FD"/>
    <w:rsid w:val="001C6F21"/>
    <w:rsid w:val="001C7235"/>
    <w:rsid w:val="001C78B1"/>
    <w:rsid w:val="001C7A6F"/>
    <w:rsid w:val="001CCD1B"/>
    <w:rsid w:val="001D027F"/>
    <w:rsid w:val="001D06D9"/>
    <w:rsid w:val="001D0DAC"/>
    <w:rsid w:val="001D0E24"/>
    <w:rsid w:val="001D0E96"/>
    <w:rsid w:val="001D0FFA"/>
    <w:rsid w:val="001D133C"/>
    <w:rsid w:val="001D17E0"/>
    <w:rsid w:val="001D1B45"/>
    <w:rsid w:val="001D246B"/>
    <w:rsid w:val="001D2793"/>
    <w:rsid w:val="001D2A13"/>
    <w:rsid w:val="001D39BF"/>
    <w:rsid w:val="001D3BD9"/>
    <w:rsid w:val="001D3FC6"/>
    <w:rsid w:val="001D4A9B"/>
    <w:rsid w:val="001D4B96"/>
    <w:rsid w:val="001D504C"/>
    <w:rsid w:val="001D505B"/>
    <w:rsid w:val="001D585E"/>
    <w:rsid w:val="001D62A4"/>
    <w:rsid w:val="001D6838"/>
    <w:rsid w:val="001D7CF5"/>
    <w:rsid w:val="001D7D11"/>
    <w:rsid w:val="001D7E8B"/>
    <w:rsid w:val="001E0286"/>
    <w:rsid w:val="001E05F8"/>
    <w:rsid w:val="001E0CBA"/>
    <w:rsid w:val="001E0DF4"/>
    <w:rsid w:val="001E1393"/>
    <w:rsid w:val="001E1622"/>
    <w:rsid w:val="001E16B5"/>
    <w:rsid w:val="001E1961"/>
    <w:rsid w:val="001E20AA"/>
    <w:rsid w:val="001E224E"/>
    <w:rsid w:val="001E2EC9"/>
    <w:rsid w:val="001E368C"/>
    <w:rsid w:val="001E387F"/>
    <w:rsid w:val="001E4071"/>
    <w:rsid w:val="001E4553"/>
    <w:rsid w:val="001E4FEC"/>
    <w:rsid w:val="001E5C4D"/>
    <w:rsid w:val="001E5E41"/>
    <w:rsid w:val="001E623B"/>
    <w:rsid w:val="001E6842"/>
    <w:rsid w:val="001E690E"/>
    <w:rsid w:val="001E6DC1"/>
    <w:rsid w:val="001E77C9"/>
    <w:rsid w:val="001F020B"/>
    <w:rsid w:val="001F085F"/>
    <w:rsid w:val="001F1025"/>
    <w:rsid w:val="001F105A"/>
    <w:rsid w:val="001F1384"/>
    <w:rsid w:val="001F184E"/>
    <w:rsid w:val="001F1996"/>
    <w:rsid w:val="001F1B8E"/>
    <w:rsid w:val="001F1DBF"/>
    <w:rsid w:val="001F1EEC"/>
    <w:rsid w:val="001F20B1"/>
    <w:rsid w:val="001F2164"/>
    <w:rsid w:val="001F2D32"/>
    <w:rsid w:val="001F35B3"/>
    <w:rsid w:val="001F3819"/>
    <w:rsid w:val="001F38F8"/>
    <w:rsid w:val="001F3922"/>
    <w:rsid w:val="001F3D37"/>
    <w:rsid w:val="001F452A"/>
    <w:rsid w:val="001F480F"/>
    <w:rsid w:val="001F4ADC"/>
    <w:rsid w:val="001F4D82"/>
    <w:rsid w:val="001F5422"/>
    <w:rsid w:val="001F56C6"/>
    <w:rsid w:val="001F5D59"/>
    <w:rsid w:val="001F5DC3"/>
    <w:rsid w:val="001F604B"/>
    <w:rsid w:val="001F67AD"/>
    <w:rsid w:val="001F6E42"/>
    <w:rsid w:val="001F6EDF"/>
    <w:rsid w:val="001F7E83"/>
    <w:rsid w:val="002002E8"/>
    <w:rsid w:val="00200C3E"/>
    <w:rsid w:val="00200E19"/>
    <w:rsid w:val="00201D08"/>
    <w:rsid w:val="002021C6"/>
    <w:rsid w:val="0020274D"/>
    <w:rsid w:val="002027CC"/>
    <w:rsid w:val="0020365D"/>
    <w:rsid w:val="00203FEE"/>
    <w:rsid w:val="002040BA"/>
    <w:rsid w:val="00204405"/>
    <w:rsid w:val="002047A2"/>
    <w:rsid w:val="00204A1F"/>
    <w:rsid w:val="00204A36"/>
    <w:rsid w:val="00204D26"/>
    <w:rsid w:val="00204ED2"/>
    <w:rsid w:val="002065A8"/>
    <w:rsid w:val="00206669"/>
    <w:rsid w:val="00206B69"/>
    <w:rsid w:val="00206C39"/>
    <w:rsid w:val="00206CEE"/>
    <w:rsid w:val="002073F6"/>
    <w:rsid w:val="002074C4"/>
    <w:rsid w:val="00207FE8"/>
    <w:rsid w:val="0020ABB6"/>
    <w:rsid w:val="002100D3"/>
    <w:rsid w:val="0021045F"/>
    <w:rsid w:val="00210590"/>
    <w:rsid w:val="00210AF1"/>
    <w:rsid w:val="00210EA7"/>
    <w:rsid w:val="00211316"/>
    <w:rsid w:val="00211464"/>
    <w:rsid w:val="00211DAF"/>
    <w:rsid w:val="0021217A"/>
    <w:rsid w:val="00212787"/>
    <w:rsid w:val="00213D48"/>
    <w:rsid w:val="00214CDC"/>
    <w:rsid w:val="00214F6A"/>
    <w:rsid w:val="00215265"/>
    <w:rsid w:val="00215664"/>
    <w:rsid w:val="00215B5E"/>
    <w:rsid w:val="00215E2A"/>
    <w:rsid w:val="00216A5D"/>
    <w:rsid w:val="00217348"/>
    <w:rsid w:val="002173C0"/>
    <w:rsid w:val="00217472"/>
    <w:rsid w:val="0021770B"/>
    <w:rsid w:val="002178BF"/>
    <w:rsid w:val="00217BB1"/>
    <w:rsid w:val="00217C28"/>
    <w:rsid w:val="0022040B"/>
    <w:rsid w:val="0022088C"/>
    <w:rsid w:val="00220A55"/>
    <w:rsid w:val="00221322"/>
    <w:rsid w:val="00221792"/>
    <w:rsid w:val="00221DB5"/>
    <w:rsid w:val="00222181"/>
    <w:rsid w:val="0022226A"/>
    <w:rsid w:val="0022261A"/>
    <w:rsid w:val="00222624"/>
    <w:rsid w:val="00222C27"/>
    <w:rsid w:val="00222E46"/>
    <w:rsid w:val="00223962"/>
    <w:rsid w:val="0022438E"/>
    <w:rsid w:val="00224962"/>
    <w:rsid w:val="00225473"/>
    <w:rsid w:val="002257FB"/>
    <w:rsid w:val="002258B6"/>
    <w:rsid w:val="00227071"/>
    <w:rsid w:val="002277CA"/>
    <w:rsid w:val="0022786A"/>
    <w:rsid w:val="00227B5B"/>
    <w:rsid w:val="002308D7"/>
    <w:rsid w:val="002308FA"/>
    <w:rsid w:val="00231000"/>
    <w:rsid w:val="0023126B"/>
    <w:rsid w:val="00231819"/>
    <w:rsid w:val="002318C7"/>
    <w:rsid w:val="00231FBB"/>
    <w:rsid w:val="00232CB7"/>
    <w:rsid w:val="00232E9B"/>
    <w:rsid w:val="0023305B"/>
    <w:rsid w:val="0023358E"/>
    <w:rsid w:val="00233648"/>
    <w:rsid w:val="00233695"/>
    <w:rsid w:val="00233C30"/>
    <w:rsid w:val="00234430"/>
    <w:rsid w:val="002345A3"/>
    <w:rsid w:val="002346F6"/>
    <w:rsid w:val="00234B4B"/>
    <w:rsid w:val="002352C2"/>
    <w:rsid w:val="002357DB"/>
    <w:rsid w:val="002358BD"/>
    <w:rsid w:val="002358DA"/>
    <w:rsid w:val="00235B8B"/>
    <w:rsid w:val="0023606B"/>
    <w:rsid w:val="002362D8"/>
    <w:rsid w:val="0023664A"/>
    <w:rsid w:val="00236B56"/>
    <w:rsid w:val="00236D4B"/>
    <w:rsid w:val="00236FBE"/>
    <w:rsid w:val="0023702B"/>
    <w:rsid w:val="00237DB4"/>
    <w:rsid w:val="00237F63"/>
    <w:rsid w:val="0024033B"/>
    <w:rsid w:val="00240E0D"/>
    <w:rsid w:val="00240F6C"/>
    <w:rsid w:val="00241477"/>
    <w:rsid w:val="002417B1"/>
    <w:rsid w:val="00241BBF"/>
    <w:rsid w:val="00242435"/>
    <w:rsid w:val="002425F9"/>
    <w:rsid w:val="00242700"/>
    <w:rsid w:val="002427CF"/>
    <w:rsid w:val="00243479"/>
    <w:rsid w:val="00243C48"/>
    <w:rsid w:val="00243D4B"/>
    <w:rsid w:val="00243F76"/>
    <w:rsid w:val="00244735"/>
    <w:rsid w:val="00244FB1"/>
    <w:rsid w:val="002451D1"/>
    <w:rsid w:val="00245D8F"/>
    <w:rsid w:val="00245E20"/>
    <w:rsid w:val="00247182"/>
    <w:rsid w:val="00247B6F"/>
    <w:rsid w:val="00247BCF"/>
    <w:rsid w:val="00247D0C"/>
    <w:rsid w:val="00250001"/>
    <w:rsid w:val="00250C8A"/>
    <w:rsid w:val="00251127"/>
    <w:rsid w:val="002513B4"/>
    <w:rsid w:val="00251A07"/>
    <w:rsid w:val="00251B68"/>
    <w:rsid w:val="00251C0E"/>
    <w:rsid w:val="00252086"/>
    <w:rsid w:val="00252B76"/>
    <w:rsid w:val="002538A0"/>
    <w:rsid w:val="002539B7"/>
    <w:rsid w:val="00253C43"/>
    <w:rsid w:val="00253EA1"/>
    <w:rsid w:val="0025400D"/>
    <w:rsid w:val="002540DF"/>
    <w:rsid w:val="00254455"/>
    <w:rsid w:val="00254529"/>
    <w:rsid w:val="0025485A"/>
    <w:rsid w:val="00254AC5"/>
    <w:rsid w:val="00254B6A"/>
    <w:rsid w:val="00254BB5"/>
    <w:rsid w:val="0025503A"/>
    <w:rsid w:val="002551EF"/>
    <w:rsid w:val="00255786"/>
    <w:rsid w:val="00255CA4"/>
    <w:rsid w:val="0025664F"/>
    <w:rsid w:val="002566AB"/>
    <w:rsid w:val="00256B99"/>
    <w:rsid w:val="00256DC4"/>
    <w:rsid w:val="00256E41"/>
    <w:rsid w:val="00256FFD"/>
    <w:rsid w:val="00257428"/>
    <w:rsid w:val="00257706"/>
    <w:rsid w:val="00257D27"/>
    <w:rsid w:val="00257F07"/>
    <w:rsid w:val="00260FBF"/>
    <w:rsid w:val="00261DF8"/>
    <w:rsid w:val="00261FF9"/>
    <w:rsid w:val="0026293C"/>
    <w:rsid w:val="00262AF1"/>
    <w:rsid w:val="00262E65"/>
    <w:rsid w:val="00263444"/>
    <w:rsid w:val="002634FA"/>
    <w:rsid w:val="0026399A"/>
    <w:rsid w:val="002644C1"/>
    <w:rsid w:val="00264DE4"/>
    <w:rsid w:val="00265747"/>
    <w:rsid w:val="00265BFF"/>
    <w:rsid w:val="002661CD"/>
    <w:rsid w:val="00266AF7"/>
    <w:rsid w:val="00266BAD"/>
    <w:rsid w:val="00266CAF"/>
    <w:rsid w:val="00270872"/>
    <w:rsid w:val="00270915"/>
    <w:rsid w:val="00270E6C"/>
    <w:rsid w:val="00270EF0"/>
    <w:rsid w:val="002712C7"/>
    <w:rsid w:val="00272025"/>
    <w:rsid w:val="002726A0"/>
    <w:rsid w:val="00272918"/>
    <w:rsid w:val="00272C7B"/>
    <w:rsid w:val="00272E44"/>
    <w:rsid w:val="00272FF9"/>
    <w:rsid w:val="0027309F"/>
    <w:rsid w:val="00273BBC"/>
    <w:rsid w:val="00274755"/>
    <w:rsid w:val="00274C01"/>
    <w:rsid w:val="00274F3B"/>
    <w:rsid w:val="00275347"/>
    <w:rsid w:val="00275BA8"/>
    <w:rsid w:val="00275DDD"/>
    <w:rsid w:val="002762E7"/>
    <w:rsid w:val="002764F6"/>
    <w:rsid w:val="002769CB"/>
    <w:rsid w:val="0027747C"/>
    <w:rsid w:val="0027759D"/>
    <w:rsid w:val="002779B1"/>
    <w:rsid w:val="00277B50"/>
    <w:rsid w:val="00277C51"/>
    <w:rsid w:val="00277CA9"/>
    <w:rsid w:val="00277E50"/>
    <w:rsid w:val="002808FC"/>
    <w:rsid w:val="00280FA7"/>
    <w:rsid w:val="00281B43"/>
    <w:rsid w:val="002823B4"/>
    <w:rsid w:val="002824FF"/>
    <w:rsid w:val="00282C96"/>
    <w:rsid w:val="00282DF7"/>
    <w:rsid w:val="00282F13"/>
    <w:rsid w:val="002832DC"/>
    <w:rsid w:val="002833EB"/>
    <w:rsid w:val="00284A1A"/>
    <w:rsid w:val="00284A7E"/>
    <w:rsid w:val="00285553"/>
    <w:rsid w:val="0028579A"/>
    <w:rsid w:val="002859BB"/>
    <w:rsid w:val="00285A2A"/>
    <w:rsid w:val="00285A81"/>
    <w:rsid w:val="00285B80"/>
    <w:rsid w:val="00285E26"/>
    <w:rsid w:val="00285FC1"/>
    <w:rsid w:val="00287045"/>
    <w:rsid w:val="00287375"/>
    <w:rsid w:val="00287803"/>
    <w:rsid w:val="00287BB8"/>
    <w:rsid w:val="00287E8D"/>
    <w:rsid w:val="00287F18"/>
    <w:rsid w:val="00290031"/>
    <w:rsid w:val="00290358"/>
    <w:rsid w:val="002904B5"/>
    <w:rsid w:val="0029058B"/>
    <w:rsid w:val="0029059D"/>
    <w:rsid w:val="00290BC9"/>
    <w:rsid w:val="00290E93"/>
    <w:rsid w:val="002915D5"/>
    <w:rsid w:val="00291742"/>
    <w:rsid w:val="002919CE"/>
    <w:rsid w:val="00291F44"/>
    <w:rsid w:val="00291F8E"/>
    <w:rsid w:val="00292B3F"/>
    <w:rsid w:val="0029312F"/>
    <w:rsid w:val="002931A3"/>
    <w:rsid w:val="0029348A"/>
    <w:rsid w:val="00293919"/>
    <w:rsid w:val="00293BA7"/>
    <w:rsid w:val="00293DFB"/>
    <w:rsid w:val="002942D5"/>
    <w:rsid w:val="002943B1"/>
    <w:rsid w:val="00294DB9"/>
    <w:rsid w:val="00294FD1"/>
    <w:rsid w:val="0029511A"/>
    <w:rsid w:val="002956B0"/>
    <w:rsid w:val="00296154"/>
    <w:rsid w:val="00296EC9"/>
    <w:rsid w:val="00297187"/>
    <w:rsid w:val="002978E3"/>
    <w:rsid w:val="00297BE7"/>
    <w:rsid w:val="00297C9A"/>
    <w:rsid w:val="00297CC1"/>
    <w:rsid w:val="00297FD8"/>
    <w:rsid w:val="002A0038"/>
    <w:rsid w:val="002A012A"/>
    <w:rsid w:val="002A0CF1"/>
    <w:rsid w:val="002A0EBD"/>
    <w:rsid w:val="002A1602"/>
    <w:rsid w:val="002A1D4E"/>
    <w:rsid w:val="002A2D45"/>
    <w:rsid w:val="002A2DC4"/>
    <w:rsid w:val="002A2F93"/>
    <w:rsid w:val="002A3925"/>
    <w:rsid w:val="002A424D"/>
    <w:rsid w:val="002A513D"/>
    <w:rsid w:val="002A572F"/>
    <w:rsid w:val="002A5936"/>
    <w:rsid w:val="002A5CD9"/>
    <w:rsid w:val="002A5DFE"/>
    <w:rsid w:val="002A5E09"/>
    <w:rsid w:val="002A63D4"/>
    <w:rsid w:val="002A6C1D"/>
    <w:rsid w:val="002A7752"/>
    <w:rsid w:val="002A789E"/>
    <w:rsid w:val="002A7F2F"/>
    <w:rsid w:val="002B0CC5"/>
    <w:rsid w:val="002B0DCE"/>
    <w:rsid w:val="002B1237"/>
    <w:rsid w:val="002B12A7"/>
    <w:rsid w:val="002B1C09"/>
    <w:rsid w:val="002B2B77"/>
    <w:rsid w:val="002B2BB5"/>
    <w:rsid w:val="002B373A"/>
    <w:rsid w:val="002B380A"/>
    <w:rsid w:val="002B386B"/>
    <w:rsid w:val="002B3D31"/>
    <w:rsid w:val="002B3E72"/>
    <w:rsid w:val="002B44AE"/>
    <w:rsid w:val="002B4680"/>
    <w:rsid w:val="002B470A"/>
    <w:rsid w:val="002B4789"/>
    <w:rsid w:val="002B479E"/>
    <w:rsid w:val="002B4D27"/>
    <w:rsid w:val="002B5118"/>
    <w:rsid w:val="002B528F"/>
    <w:rsid w:val="002B53C3"/>
    <w:rsid w:val="002B5BFE"/>
    <w:rsid w:val="002B6319"/>
    <w:rsid w:val="002B6AC4"/>
    <w:rsid w:val="002B7235"/>
    <w:rsid w:val="002B72C2"/>
    <w:rsid w:val="002B7446"/>
    <w:rsid w:val="002B7A32"/>
    <w:rsid w:val="002C0084"/>
    <w:rsid w:val="002C018A"/>
    <w:rsid w:val="002C0376"/>
    <w:rsid w:val="002C0CD7"/>
    <w:rsid w:val="002C0F5C"/>
    <w:rsid w:val="002C1041"/>
    <w:rsid w:val="002C1507"/>
    <w:rsid w:val="002C1AD4"/>
    <w:rsid w:val="002C1FE0"/>
    <w:rsid w:val="002C20CF"/>
    <w:rsid w:val="002C2489"/>
    <w:rsid w:val="002C3898"/>
    <w:rsid w:val="002C38E0"/>
    <w:rsid w:val="002C39E0"/>
    <w:rsid w:val="002C3B66"/>
    <w:rsid w:val="002C42F9"/>
    <w:rsid w:val="002C4521"/>
    <w:rsid w:val="002C4549"/>
    <w:rsid w:val="002C460E"/>
    <w:rsid w:val="002C514E"/>
    <w:rsid w:val="002C54FA"/>
    <w:rsid w:val="002C56D3"/>
    <w:rsid w:val="002C5CB2"/>
    <w:rsid w:val="002C5DD4"/>
    <w:rsid w:val="002C5F37"/>
    <w:rsid w:val="002C6575"/>
    <w:rsid w:val="002C6926"/>
    <w:rsid w:val="002C696E"/>
    <w:rsid w:val="002C7705"/>
    <w:rsid w:val="002C77A1"/>
    <w:rsid w:val="002C79A9"/>
    <w:rsid w:val="002D03E0"/>
    <w:rsid w:val="002D04D8"/>
    <w:rsid w:val="002D058E"/>
    <w:rsid w:val="002D0AB3"/>
    <w:rsid w:val="002D0CFA"/>
    <w:rsid w:val="002D1354"/>
    <w:rsid w:val="002D1715"/>
    <w:rsid w:val="002D1C42"/>
    <w:rsid w:val="002D1D9B"/>
    <w:rsid w:val="002D1DD5"/>
    <w:rsid w:val="002D2134"/>
    <w:rsid w:val="002D24FF"/>
    <w:rsid w:val="002D2536"/>
    <w:rsid w:val="002D2A0F"/>
    <w:rsid w:val="002D2A76"/>
    <w:rsid w:val="002D2C38"/>
    <w:rsid w:val="002D30E3"/>
    <w:rsid w:val="002D3349"/>
    <w:rsid w:val="002D3B91"/>
    <w:rsid w:val="002D3BEC"/>
    <w:rsid w:val="002D3F13"/>
    <w:rsid w:val="002D3F5E"/>
    <w:rsid w:val="002D43F5"/>
    <w:rsid w:val="002D479C"/>
    <w:rsid w:val="002D528F"/>
    <w:rsid w:val="002D53CE"/>
    <w:rsid w:val="002D55E4"/>
    <w:rsid w:val="002D5E2C"/>
    <w:rsid w:val="002D614C"/>
    <w:rsid w:val="002D68D8"/>
    <w:rsid w:val="002D6E02"/>
    <w:rsid w:val="002D74CF"/>
    <w:rsid w:val="002D75CD"/>
    <w:rsid w:val="002D798F"/>
    <w:rsid w:val="002D7BFD"/>
    <w:rsid w:val="002D7EC9"/>
    <w:rsid w:val="002D7FDF"/>
    <w:rsid w:val="002E06C2"/>
    <w:rsid w:val="002E073B"/>
    <w:rsid w:val="002E0C92"/>
    <w:rsid w:val="002E0CDB"/>
    <w:rsid w:val="002E0D89"/>
    <w:rsid w:val="002E11E2"/>
    <w:rsid w:val="002E14A0"/>
    <w:rsid w:val="002E17AB"/>
    <w:rsid w:val="002E1FE6"/>
    <w:rsid w:val="002E2099"/>
    <w:rsid w:val="002E2360"/>
    <w:rsid w:val="002E35AA"/>
    <w:rsid w:val="002E3607"/>
    <w:rsid w:val="002E377E"/>
    <w:rsid w:val="002E38BA"/>
    <w:rsid w:val="002E3B13"/>
    <w:rsid w:val="002E3E95"/>
    <w:rsid w:val="002E3F73"/>
    <w:rsid w:val="002E3FEA"/>
    <w:rsid w:val="002E4264"/>
    <w:rsid w:val="002E480A"/>
    <w:rsid w:val="002E4E9C"/>
    <w:rsid w:val="002E596E"/>
    <w:rsid w:val="002E5E25"/>
    <w:rsid w:val="002E5E82"/>
    <w:rsid w:val="002E63A3"/>
    <w:rsid w:val="002E6BD1"/>
    <w:rsid w:val="002E6C7A"/>
    <w:rsid w:val="002E764E"/>
    <w:rsid w:val="002E781A"/>
    <w:rsid w:val="002E7A16"/>
    <w:rsid w:val="002E7A4D"/>
    <w:rsid w:val="002E7D0D"/>
    <w:rsid w:val="002E7EFD"/>
    <w:rsid w:val="002F0278"/>
    <w:rsid w:val="002F0805"/>
    <w:rsid w:val="002F083D"/>
    <w:rsid w:val="002F09FA"/>
    <w:rsid w:val="002F0DBC"/>
    <w:rsid w:val="002F2095"/>
    <w:rsid w:val="002F2504"/>
    <w:rsid w:val="002F2727"/>
    <w:rsid w:val="002F2F8F"/>
    <w:rsid w:val="002F30F1"/>
    <w:rsid w:val="002F3D4D"/>
    <w:rsid w:val="002F48B1"/>
    <w:rsid w:val="002F48B5"/>
    <w:rsid w:val="002F4BA8"/>
    <w:rsid w:val="002F4EA0"/>
    <w:rsid w:val="002F4ED0"/>
    <w:rsid w:val="002F51B5"/>
    <w:rsid w:val="002F52BD"/>
    <w:rsid w:val="002F55B3"/>
    <w:rsid w:val="002F56EE"/>
    <w:rsid w:val="002F57C5"/>
    <w:rsid w:val="002F66B1"/>
    <w:rsid w:val="002F6997"/>
    <w:rsid w:val="002F6BE3"/>
    <w:rsid w:val="002F6BFF"/>
    <w:rsid w:val="002F77F7"/>
    <w:rsid w:val="002F7D5E"/>
    <w:rsid w:val="002F7F32"/>
    <w:rsid w:val="002F7FCA"/>
    <w:rsid w:val="003006A3"/>
    <w:rsid w:val="003007F0"/>
    <w:rsid w:val="0030096F"/>
    <w:rsid w:val="00300A9E"/>
    <w:rsid w:val="00300B2B"/>
    <w:rsid w:val="00300BEF"/>
    <w:rsid w:val="0030119F"/>
    <w:rsid w:val="003016D1"/>
    <w:rsid w:val="00301A09"/>
    <w:rsid w:val="00301B09"/>
    <w:rsid w:val="00301BCD"/>
    <w:rsid w:val="0030204F"/>
    <w:rsid w:val="00302169"/>
    <w:rsid w:val="003027DE"/>
    <w:rsid w:val="00302CF9"/>
    <w:rsid w:val="00302F14"/>
    <w:rsid w:val="00303606"/>
    <w:rsid w:val="00303AD8"/>
    <w:rsid w:val="00303AE8"/>
    <w:rsid w:val="0030473A"/>
    <w:rsid w:val="003049FA"/>
    <w:rsid w:val="00304E57"/>
    <w:rsid w:val="00305001"/>
    <w:rsid w:val="00305280"/>
    <w:rsid w:val="003055DA"/>
    <w:rsid w:val="00305E01"/>
    <w:rsid w:val="0030628D"/>
    <w:rsid w:val="00306358"/>
    <w:rsid w:val="00306EE4"/>
    <w:rsid w:val="003073C2"/>
    <w:rsid w:val="003079A4"/>
    <w:rsid w:val="00310AEA"/>
    <w:rsid w:val="00310D9D"/>
    <w:rsid w:val="00310EC3"/>
    <w:rsid w:val="00310F83"/>
    <w:rsid w:val="003113EB"/>
    <w:rsid w:val="00311A98"/>
    <w:rsid w:val="00311C41"/>
    <w:rsid w:val="003129ED"/>
    <w:rsid w:val="003132CA"/>
    <w:rsid w:val="00313F50"/>
    <w:rsid w:val="00313FE8"/>
    <w:rsid w:val="00314C15"/>
    <w:rsid w:val="00315150"/>
    <w:rsid w:val="00315285"/>
    <w:rsid w:val="003152B0"/>
    <w:rsid w:val="00315364"/>
    <w:rsid w:val="003156B7"/>
    <w:rsid w:val="003156C9"/>
    <w:rsid w:val="003158BE"/>
    <w:rsid w:val="00315A3B"/>
    <w:rsid w:val="00315ACE"/>
    <w:rsid w:val="00315B53"/>
    <w:rsid w:val="00316139"/>
    <w:rsid w:val="00316268"/>
    <w:rsid w:val="0031635B"/>
    <w:rsid w:val="0031705D"/>
    <w:rsid w:val="003173BA"/>
    <w:rsid w:val="003173C6"/>
    <w:rsid w:val="00317816"/>
    <w:rsid w:val="00320661"/>
    <w:rsid w:val="00320C0C"/>
    <w:rsid w:val="00320C1A"/>
    <w:rsid w:val="00321438"/>
    <w:rsid w:val="00321CB8"/>
    <w:rsid w:val="00321DB9"/>
    <w:rsid w:val="0032213C"/>
    <w:rsid w:val="0032245A"/>
    <w:rsid w:val="0032258E"/>
    <w:rsid w:val="003228BF"/>
    <w:rsid w:val="00322EDC"/>
    <w:rsid w:val="0032308D"/>
    <w:rsid w:val="003231B6"/>
    <w:rsid w:val="003231FB"/>
    <w:rsid w:val="003233C2"/>
    <w:rsid w:val="0032343F"/>
    <w:rsid w:val="00323D78"/>
    <w:rsid w:val="003241A4"/>
    <w:rsid w:val="003241E2"/>
    <w:rsid w:val="00324E58"/>
    <w:rsid w:val="00325270"/>
    <w:rsid w:val="0032561F"/>
    <w:rsid w:val="00325D5F"/>
    <w:rsid w:val="00325DA9"/>
    <w:rsid w:val="00325F94"/>
    <w:rsid w:val="00326348"/>
    <w:rsid w:val="003266F7"/>
    <w:rsid w:val="00326EA6"/>
    <w:rsid w:val="00326F13"/>
    <w:rsid w:val="003272EB"/>
    <w:rsid w:val="00327C61"/>
    <w:rsid w:val="00330146"/>
    <w:rsid w:val="00330700"/>
    <w:rsid w:val="00330721"/>
    <w:rsid w:val="00331BAE"/>
    <w:rsid w:val="00331C89"/>
    <w:rsid w:val="003320CB"/>
    <w:rsid w:val="00332220"/>
    <w:rsid w:val="00332EA4"/>
    <w:rsid w:val="00333029"/>
    <w:rsid w:val="00333134"/>
    <w:rsid w:val="003331CF"/>
    <w:rsid w:val="0033326C"/>
    <w:rsid w:val="003336A9"/>
    <w:rsid w:val="00333F51"/>
    <w:rsid w:val="00334527"/>
    <w:rsid w:val="003347FE"/>
    <w:rsid w:val="003348B4"/>
    <w:rsid w:val="003349EB"/>
    <w:rsid w:val="00334D1D"/>
    <w:rsid w:val="00334DB2"/>
    <w:rsid w:val="00334E5B"/>
    <w:rsid w:val="003352C5"/>
    <w:rsid w:val="00335555"/>
    <w:rsid w:val="0033597D"/>
    <w:rsid w:val="00335B8E"/>
    <w:rsid w:val="003365B9"/>
    <w:rsid w:val="00336657"/>
    <w:rsid w:val="003366E5"/>
    <w:rsid w:val="00336A8C"/>
    <w:rsid w:val="003402C3"/>
    <w:rsid w:val="003404DE"/>
    <w:rsid w:val="00340B67"/>
    <w:rsid w:val="00340C8E"/>
    <w:rsid w:val="00340E0B"/>
    <w:rsid w:val="00340F0E"/>
    <w:rsid w:val="003415AC"/>
    <w:rsid w:val="00341B1F"/>
    <w:rsid w:val="00342180"/>
    <w:rsid w:val="00342737"/>
    <w:rsid w:val="00342948"/>
    <w:rsid w:val="00342D08"/>
    <w:rsid w:val="0034306A"/>
    <w:rsid w:val="00343A79"/>
    <w:rsid w:val="00344AF4"/>
    <w:rsid w:val="00344B02"/>
    <w:rsid w:val="00345260"/>
    <w:rsid w:val="0034543E"/>
    <w:rsid w:val="003457FC"/>
    <w:rsid w:val="003464E6"/>
    <w:rsid w:val="003466D8"/>
    <w:rsid w:val="00346A20"/>
    <w:rsid w:val="00346DE6"/>
    <w:rsid w:val="003470A6"/>
    <w:rsid w:val="0034732C"/>
    <w:rsid w:val="003479AE"/>
    <w:rsid w:val="00347AC1"/>
    <w:rsid w:val="00347BB9"/>
    <w:rsid w:val="00347BCA"/>
    <w:rsid w:val="00347C49"/>
    <w:rsid w:val="00347DC2"/>
    <w:rsid w:val="0035014F"/>
    <w:rsid w:val="00350647"/>
    <w:rsid w:val="003507F5"/>
    <w:rsid w:val="0035090F"/>
    <w:rsid w:val="00350F1A"/>
    <w:rsid w:val="00350F95"/>
    <w:rsid w:val="003511E8"/>
    <w:rsid w:val="00351277"/>
    <w:rsid w:val="00351A8A"/>
    <w:rsid w:val="00353195"/>
    <w:rsid w:val="00353906"/>
    <w:rsid w:val="003556FB"/>
    <w:rsid w:val="003557D3"/>
    <w:rsid w:val="003558E6"/>
    <w:rsid w:val="0035594B"/>
    <w:rsid w:val="00355DCB"/>
    <w:rsid w:val="00356435"/>
    <w:rsid w:val="003568E6"/>
    <w:rsid w:val="00357090"/>
    <w:rsid w:val="0035746D"/>
    <w:rsid w:val="003601B9"/>
    <w:rsid w:val="00360341"/>
    <w:rsid w:val="003604BA"/>
    <w:rsid w:val="0036077A"/>
    <w:rsid w:val="00360B48"/>
    <w:rsid w:val="00361403"/>
    <w:rsid w:val="0036156A"/>
    <w:rsid w:val="00361818"/>
    <w:rsid w:val="00361849"/>
    <w:rsid w:val="00361BA1"/>
    <w:rsid w:val="00361C01"/>
    <w:rsid w:val="003620AB"/>
    <w:rsid w:val="00362405"/>
    <w:rsid w:val="00362BB9"/>
    <w:rsid w:val="00362F17"/>
    <w:rsid w:val="003631B1"/>
    <w:rsid w:val="00363D1A"/>
    <w:rsid w:val="00365505"/>
    <w:rsid w:val="00365570"/>
    <w:rsid w:val="003658CC"/>
    <w:rsid w:val="00365ACA"/>
    <w:rsid w:val="00365B33"/>
    <w:rsid w:val="00366088"/>
    <w:rsid w:val="00366396"/>
    <w:rsid w:val="00366D4B"/>
    <w:rsid w:val="00367115"/>
    <w:rsid w:val="003671C3"/>
    <w:rsid w:val="003671CE"/>
    <w:rsid w:val="00367CCC"/>
    <w:rsid w:val="0037093A"/>
    <w:rsid w:val="00371881"/>
    <w:rsid w:val="00371A35"/>
    <w:rsid w:val="00371BE4"/>
    <w:rsid w:val="00371D8F"/>
    <w:rsid w:val="00371EB9"/>
    <w:rsid w:val="003721F4"/>
    <w:rsid w:val="00372221"/>
    <w:rsid w:val="003727E1"/>
    <w:rsid w:val="00372838"/>
    <w:rsid w:val="0037284D"/>
    <w:rsid w:val="003729F0"/>
    <w:rsid w:val="00372F12"/>
    <w:rsid w:val="00373956"/>
    <w:rsid w:val="00373D81"/>
    <w:rsid w:val="00373F75"/>
    <w:rsid w:val="003741A1"/>
    <w:rsid w:val="0037493F"/>
    <w:rsid w:val="00374A03"/>
    <w:rsid w:val="00375AD1"/>
    <w:rsid w:val="00376720"/>
    <w:rsid w:val="0037787C"/>
    <w:rsid w:val="00377971"/>
    <w:rsid w:val="003800AB"/>
    <w:rsid w:val="00380109"/>
    <w:rsid w:val="0038073C"/>
    <w:rsid w:val="00380799"/>
    <w:rsid w:val="00381AA6"/>
    <w:rsid w:val="00382657"/>
    <w:rsid w:val="00382828"/>
    <w:rsid w:val="00382FD1"/>
    <w:rsid w:val="0038395E"/>
    <w:rsid w:val="00383DC8"/>
    <w:rsid w:val="00383DCD"/>
    <w:rsid w:val="003841A8"/>
    <w:rsid w:val="00384795"/>
    <w:rsid w:val="00384D96"/>
    <w:rsid w:val="00385848"/>
    <w:rsid w:val="0038585A"/>
    <w:rsid w:val="003858CD"/>
    <w:rsid w:val="00385F56"/>
    <w:rsid w:val="00386465"/>
    <w:rsid w:val="00386539"/>
    <w:rsid w:val="003873D0"/>
    <w:rsid w:val="00390F3F"/>
    <w:rsid w:val="00391001"/>
    <w:rsid w:val="00391769"/>
    <w:rsid w:val="00392472"/>
    <w:rsid w:val="00392ECD"/>
    <w:rsid w:val="003930D8"/>
    <w:rsid w:val="003936A5"/>
    <w:rsid w:val="0039383C"/>
    <w:rsid w:val="003939A9"/>
    <w:rsid w:val="00393A2C"/>
    <w:rsid w:val="00393FDA"/>
    <w:rsid w:val="003941E2"/>
    <w:rsid w:val="00394A05"/>
    <w:rsid w:val="00394BDC"/>
    <w:rsid w:val="00394DDC"/>
    <w:rsid w:val="00394E16"/>
    <w:rsid w:val="0039536F"/>
    <w:rsid w:val="003958A9"/>
    <w:rsid w:val="00395C2D"/>
    <w:rsid w:val="00396A8A"/>
    <w:rsid w:val="00396F6B"/>
    <w:rsid w:val="003970FC"/>
    <w:rsid w:val="0039724A"/>
    <w:rsid w:val="0039726D"/>
    <w:rsid w:val="00397F0D"/>
    <w:rsid w:val="00399FE4"/>
    <w:rsid w:val="003A1497"/>
    <w:rsid w:val="003A18DA"/>
    <w:rsid w:val="003A2AA2"/>
    <w:rsid w:val="003A2BB8"/>
    <w:rsid w:val="003A3043"/>
    <w:rsid w:val="003A37C3"/>
    <w:rsid w:val="003A3917"/>
    <w:rsid w:val="003A41EE"/>
    <w:rsid w:val="003A42DF"/>
    <w:rsid w:val="003A444B"/>
    <w:rsid w:val="003A4B24"/>
    <w:rsid w:val="003A4B25"/>
    <w:rsid w:val="003A50CC"/>
    <w:rsid w:val="003A548C"/>
    <w:rsid w:val="003A5532"/>
    <w:rsid w:val="003A561B"/>
    <w:rsid w:val="003A59E2"/>
    <w:rsid w:val="003A5AAF"/>
    <w:rsid w:val="003A5FAF"/>
    <w:rsid w:val="003A6153"/>
    <w:rsid w:val="003A6488"/>
    <w:rsid w:val="003A6A94"/>
    <w:rsid w:val="003A7666"/>
    <w:rsid w:val="003B0326"/>
    <w:rsid w:val="003B0859"/>
    <w:rsid w:val="003B0A1F"/>
    <w:rsid w:val="003B0D35"/>
    <w:rsid w:val="003B16FB"/>
    <w:rsid w:val="003B174A"/>
    <w:rsid w:val="003B1A3C"/>
    <w:rsid w:val="003B1DE6"/>
    <w:rsid w:val="003B2220"/>
    <w:rsid w:val="003B2872"/>
    <w:rsid w:val="003B2A44"/>
    <w:rsid w:val="003B3496"/>
    <w:rsid w:val="003B3C10"/>
    <w:rsid w:val="003B453C"/>
    <w:rsid w:val="003B45E2"/>
    <w:rsid w:val="003B4A37"/>
    <w:rsid w:val="003B5272"/>
    <w:rsid w:val="003B54B6"/>
    <w:rsid w:val="003B5817"/>
    <w:rsid w:val="003B59D8"/>
    <w:rsid w:val="003B5DEF"/>
    <w:rsid w:val="003B5E11"/>
    <w:rsid w:val="003B6404"/>
    <w:rsid w:val="003B6992"/>
    <w:rsid w:val="003B6AA3"/>
    <w:rsid w:val="003B6B2D"/>
    <w:rsid w:val="003B6EEF"/>
    <w:rsid w:val="003C021C"/>
    <w:rsid w:val="003C0311"/>
    <w:rsid w:val="003C046A"/>
    <w:rsid w:val="003C0D5A"/>
    <w:rsid w:val="003C1166"/>
    <w:rsid w:val="003C1614"/>
    <w:rsid w:val="003C17A9"/>
    <w:rsid w:val="003C22AB"/>
    <w:rsid w:val="003C242B"/>
    <w:rsid w:val="003C2CB9"/>
    <w:rsid w:val="003C351C"/>
    <w:rsid w:val="003C3F55"/>
    <w:rsid w:val="003C425F"/>
    <w:rsid w:val="003C48A5"/>
    <w:rsid w:val="003C4A61"/>
    <w:rsid w:val="003C4C83"/>
    <w:rsid w:val="003C4D50"/>
    <w:rsid w:val="003C4E38"/>
    <w:rsid w:val="003C5608"/>
    <w:rsid w:val="003C5668"/>
    <w:rsid w:val="003C5B5E"/>
    <w:rsid w:val="003C5DE7"/>
    <w:rsid w:val="003C5E8E"/>
    <w:rsid w:val="003C65EC"/>
    <w:rsid w:val="003C6A43"/>
    <w:rsid w:val="003C71FE"/>
    <w:rsid w:val="003C76BA"/>
    <w:rsid w:val="003C7C2B"/>
    <w:rsid w:val="003D009E"/>
    <w:rsid w:val="003D0B69"/>
    <w:rsid w:val="003D0E7A"/>
    <w:rsid w:val="003D0EE8"/>
    <w:rsid w:val="003D11AA"/>
    <w:rsid w:val="003D11F0"/>
    <w:rsid w:val="003D18F1"/>
    <w:rsid w:val="003D1E33"/>
    <w:rsid w:val="003D2278"/>
    <w:rsid w:val="003D2598"/>
    <w:rsid w:val="003D3227"/>
    <w:rsid w:val="003D3851"/>
    <w:rsid w:val="003D4732"/>
    <w:rsid w:val="003D4ACC"/>
    <w:rsid w:val="003D4F73"/>
    <w:rsid w:val="003D5297"/>
    <w:rsid w:val="003D598A"/>
    <w:rsid w:val="003D5BC6"/>
    <w:rsid w:val="003D5BE3"/>
    <w:rsid w:val="003D5E77"/>
    <w:rsid w:val="003D607D"/>
    <w:rsid w:val="003D6191"/>
    <w:rsid w:val="003D6C09"/>
    <w:rsid w:val="003D6DE2"/>
    <w:rsid w:val="003D6F53"/>
    <w:rsid w:val="003D7354"/>
    <w:rsid w:val="003D7496"/>
    <w:rsid w:val="003D754A"/>
    <w:rsid w:val="003D7DB3"/>
    <w:rsid w:val="003D7DC4"/>
    <w:rsid w:val="003D7F75"/>
    <w:rsid w:val="003E006E"/>
    <w:rsid w:val="003E01FA"/>
    <w:rsid w:val="003E1894"/>
    <w:rsid w:val="003E1951"/>
    <w:rsid w:val="003E1A08"/>
    <w:rsid w:val="003E2011"/>
    <w:rsid w:val="003E207E"/>
    <w:rsid w:val="003E21E0"/>
    <w:rsid w:val="003E29C6"/>
    <w:rsid w:val="003E30EA"/>
    <w:rsid w:val="003E3371"/>
    <w:rsid w:val="003E3A71"/>
    <w:rsid w:val="003E3D4D"/>
    <w:rsid w:val="003E3DCE"/>
    <w:rsid w:val="003E4340"/>
    <w:rsid w:val="003E4968"/>
    <w:rsid w:val="003E505F"/>
    <w:rsid w:val="003E51A8"/>
    <w:rsid w:val="003E5265"/>
    <w:rsid w:val="003E54D5"/>
    <w:rsid w:val="003E5685"/>
    <w:rsid w:val="003E5C46"/>
    <w:rsid w:val="003E61E8"/>
    <w:rsid w:val="003E668D"/>
    <w:rsid w:val="003E730A"/>
    <w:rsid w:val="003E7BF2"/>
    <w:rsid w:val="003E7C59"/>
    <w:rsid w:val="003E7D92"/>
    <w:rsid w:val="003F0835"/>
    <w:rsid w:val="003F0FFD"/>
    <w:rsid w:val="003F18C4"/>
    <w:rsid w:val="003F24CC"/>
    <w:rsid w:val="003F2514"/>
    <w:rsid w:val="003F25DE"/>
    <w:rsid w:val="003F2933"/>
    <w:rsid w:val="003F32F4"/>
    <w:rsid w:val="003F3EA6"/>
    <w:rsid w:val="003F4266"/>
    <w:rsid w:val="003F4557"/>
    <w:rsid w:val="003F46E1"/>
    <w:rsid w:val="003F5412"/>
    <w:rsid w:val="003F5994"/>
    <w:rsid w:val="003F5B6D"/>
    <w:rsid w:val="003F5CEA"/>
    <w:rsid w:val="003F62B0"/>
    <w:rsid w:val="003F6448"/>
    <w:rsid w:val="003F6527"/>
    <w:rsid w:val="003F6685"/>
    <w:rsid w:val="003F69F1"/>
    <w:rsid w:val="003F6E6F"/>
    <w:rsid w:val="003F7627"/>
    <w:rsid w:val="003F78CB"/>
    <w:rsid w:val="004001C8"/>
    <w:rsid w:val="00400389"/>
    <w:rsid w:val="00400664"/>
    <w:rsid w:val="00400705"/>
    <w:rsid w:val="00401004"/>
    <w:rsid w:val="004011AA"/>
    <w:rsid w:val="00401570"/>
    <w:rsid w:val="004016B6"/>
    <w:rsid w:val="004017EC"/>
    <w:rsid w:val="00401A27"/>
    <w:rsid w:val="00401A9E"/>
    <w:rsid w:val="00401CFA"/>
    <w:rsid w:val="004025BE"/>
    <w:rsid w:val="004029E9"/>
    <w:rsid w:val="00402D78"/>
    <w:rsid w:val="004031A3"/>
    <w:rsid w:val="00403560"/>
    <w:rsid w:val="00403B73"/>
    <w:rsid w:val="00403D61"/>
    <w:rsid w:val="0040435B"/>
    <w:rsid w:val="00404505"/>
    <w:rsid w:val="00404B6E"/>
    <w:rsid w:val="00405054"/>
    <w:rsid w:val="00405EEB"/>
    <w:rsid w:val="00406520"/>
    <w:rsid w:val="00406E52"/>
    <w:rsid w:val="00406F2C"/>
    <w:rsid w:val="004073A1"/>
    <w:rsid w:val="004073C5"/>
    <w:rsid w:val="00407755"/>
    <w:rsid w:val="004077F2"/>
    <w:rsid w:val="00407976"/>
    <w:rsid w:val="00407CA4"/>
    <w:rsid w:val="0041073A"/>
    <w:rsid w:val="00410864"/>
    <w:rsid w:val="00411129"/>
    <w:rsid w:val="00411579"/>
    <w:rsid w:val="00411A21"/>
    <w:rsid w:val="00412153"/>
    <w:rsid w:val="00412293"/>
    <w:rsid w:val="00412496"/>
    <w:rsid w:val="004129CE"/>
    <w:rsid w:val="00412F7C"/>
    <w:rsid w:val="00413FB7"/>
    <w:rsid w:val="00414874"/>
    <w:rsid w:val="00414F8C"/>
    <w:rsid w:val="00415089"/>
    <w:rsid w:val="00415107"/>
    <w:rsid w:val="004152E6"/>
    <w:rsid w:val="00415539"/>
    <w:rsid w:val="004158E1"/>
    <w:rsid w:val="00415A18"/>
    <w:rsid w:val="00415F3E"/>
    <w:rsid w:val="00416315"/>
    <w:rsid w:val="00416CB0"/>
    <w:rsid w:val="0041764E"/>
    <w:rsid w:val="004177D5"/>
    <w:rsid w:val="00417D54"/>
    <w:rsid w:val="00417E09"/>
    <w:rsid w:val="00417E48"/>
    <w:rsid w:val="00420383"/>
    <w:rsid w:val="00420565"/>
    <w:rsid w:val="004211A9"/>
    <w:rsid w:val="00422215"/>
    <w:rsid w:val="00422340"/>
    <w:rsid w:val="004223FF"/>
    <w:rsid w:val="004227F3"/>
    <w:rsid w:val="00422984"/>
    <w:rsid w:val="004229E0"/>
    <w:rsid w:val="00422AA2"/>
    <w:rsid w:val="00423596"/>
    <w:rsid w:val="00423724"/>
    <w:rsid w:val="00423AD8"/>
    <w:rsid w:val="00424A53"/>
    <w:rsid w:val="00424F4B"/>
    <w:rsid w:val="004252BD"/>
    <w:rsid w:val="0042588F"/>
    <w:rsid w:val="00425936"/>
    <w:rsid w:val="00425964"/>
    <w:rsid w:val="00425982"/>
    <w:rsid w:val="00425D4D"/>
    <w:rsid w:val="0042600E"/>
    <w:rsid w:val="004260FC"/>
    <w:rsid w:val="0042659C"/>
    <w:rsid w:val="00427727"/>
    <w:rsid w:val="0043059D"/>
    <w:rsid w:val="00430A3C"/>
    <w:rsid w:val="00430B02"/>
    <w:rsid w:val="004310C6"/>
    <w:rsid w:val="004311CA"/>
    <w:rsid w:val="00431A97"/>
    <w:rsid w:val="004322F3"/>
    <w:rsid w:val="004324B2"/>
    <w:rsid w:val="004327ED"/>
    <w:rsid w:val="00432A8C"/>
    <w:rsid w:val="00432F06"/>
    <w:rsid w:val="0043335D"/>
    <w:rsid w:val="004333B6"/>
    <w:rsid w:val="00433452"/>
    <w:rsid w:val="004337C7"/>
    <w:rsid w:val="004345D4"/>
    <w:rsid w:val="004359B1"/>
    <w:rsid w:val="004360C4"/>
    <w:rsid w:val="004363F3"/>
    <w:rsid w:val="0043667F"/>
    <w:rsid w:val="00436C20"/>
    <w:rsid w:val="0043791B"/>
    <w:rsid w:val="00437E8E"/>
    <w:rsid w:val="0044003A"/>
    <w:rsid w:val="00440134"/>
    <w:rsid w:val="00440CF1"/>
    <w:rsid w:val="00440E0A"/>
    <w:rsid w:val="00441A77"/>
    <w:rsid w:val="0044212A"/>
    <w:rsid w:val="00442236"/>
    <w:rsid w:val="004424D9"/>
    <w:rsid w:val="00442A63"/>
    <w:rsid w:val="00442EEE"/>
    <w:rsid w:val="0044324E"/>
    <w:rsid w:val="00443720"/>
    <w:rsid w:val="004439DB"/>
    <w:rsid w:val="0044429A"/>
    <w:rsid w:val="00444361"/>
    <w:rsid w:val="00444926"/>
    <w:rsid w:val="00444DF3"/>
    <w:rsid w:val="0044531E"/>
    <w:rsid w:val="0044586D"/>
    <w:rsid w:val="004459DD"/>
    <w:rsid w:val="004459FF"/>
    <w:rsid w:val="00445B60"/>
    <w:rsid w:val="0044623F"/>
    <w:rsid w:val="00447282"/>
    <w:rsid w:val="00447448"/>
    <w:rsid w:val="00447794"/>
    <w:rsid w:val="00447E08"/>
    <w:rsid w:val="004502F4"/>
    <w:rsid w:val="00450D49"/>
    <w:rsid w:val="004510F0"/>
    <w:rsid w:val="00452005"/>
    <w:rsid w:val="004521D4"/>
    <w:rsid w:val="0045275A"/>
    <w:rsid w:val="00452AFD"/>
    <w:rsid w:val="00452F41"/>
    <w:rsid w:val="004536E1"/>
    <w:rsid w:val="00453CD3"/>
    <w:rsid w:val="00454D84"/>
    <w:rsid w:val="0045506C"/>
    <w:rsid w:val="00455075"/>
    <w:rsid w:val="0045598C"/>
    <w:rsid w:val="0045608E"/>
    <w:rsid w:val="004564C4"/>
    <w:rsid w:val="004567F4"/>
    <w:rsid w:val="00456BAB"/>
    <w:rsid w:val="00456D88"/>
    <w:rsid w:val="00456FA9"/>
    <w:rsid w:val="00457484"/>
    <w:rsid w:val="0045761E"/>
    <w:rsid w:val="00457945"/>
    <w:rsid w:val="0046033D"/>
    <w:rsid w:val="00460D21"/>
    <w:rsid w:val="00460E7C"/>
    <w:rsid w:val="004610B6"/>
    <w:rsid w:val="00461654"/>
    <w:rsid w:val="00461B49"/>
    <w:rsid w:val="00461B4D"/>
    <w:rsid w:val="00461E5C"/>
    <w:rsid w:val="004625B6"/>
    <w:rsid w:val="00462968"/>
    <w:rsid w:val="00463097"/>
    <w:rsid w:val="0046492E"/>
    <w:rsid w:val="00464CAA"/>
    <w:rsid w:val="00464DB3"/>
    <w:rsid w:val="00465047"/>
    <w:rsid w:val="00465073"/>
    <w:rsid w:val="00465140"/>
    <w:rsid w:val="00465444"/>
    <w:rsid w:val="00465847"/>
    <w:rsid w:val="0046600A"/>
    <w:rsid w:val="0046639A"/>
    <w:rsid w:val="004668B8"/>
    <w:rsid w:val="00466A14"/>
    <w:rsid w:val="00467B3B"/>
    <w:rsid w:val="00470798"/>
    <w:rsid w:val="00470D8E"/>
    <w:rsid w:val="00470F92"/>
    <w:rsid w:val="0047102E"/>
    <w:rsid w:val="004711F1"/>
    <w:rsid w:val="004713F7"/>
    <w:rsid w:val="00471B88"/>
    <w:rsid w:val="00471DC9"/>
    <w:rsid w:val="0047257F"/>
    <w:rsid w:val="004729E1"/>
    <w:rsid w:val="00472ABE"/>
    <w:rsid w:val="00472AD9"/>
    <w:rsid w:val="00472B5E"/>
    <w:rsid w:val="00473004"/>
    <w:rsid w:val="0047314E"/>
    <w:rsid w:val="00473471"/>
    <w:rsid w:val="004734D9"/>
    <w:rsid w:val="004737AA"/>
    <w:rsid w:val="00473C33"/>
    <w:rsid w:val="00473D0D"/>
    <w:rsid w:val="00473FF5"/>
    <w:rsid w:val="004747FD"/>
    <w:rsid w:val="00474895"/>
    <w:rsid w:val="00474D1E"/>
    <w:rsid w:val="004750C9"/>
    <w:rsid w:val="00475651"/>
    <w:rsid w:val="004766FC"/>
    <w:rsid w:val="00476ACE"/>
    <w:rsid w:val="00477627"/>
    <w:rsid w:val="00477CF5"/>
    <w:rsid w:val="00480993"/>
    <w:rsid w:val="00480BD3"/>
    <w:rsid w:val="004813C5"/>
    <w:rsid w:val="004813D8"/>
    <w:rsid w:val="00481405"/>
    <w:rsid w:val="00481603"/>
    <w:rsid w:val="00481610"/>
    <w:rsid w:val="0048164D"/>
    <w:rsid w:val="004816B8"/>
    <w:rsid w:val="00481702"/>
    <w:rsid w:val="00482573"/>
    <w:rsid w:val="004829F7"/>
    <w:rsid w:val="00482E7E"/>
    <w:rsid w:val="004833D3"/>
    <w:rsid w:val="004837A8"/>
    <w:rsid w:val="00483830"/>
    <w:rsid w:val="004839D6"/>
    <w:rsid w:val="004843BC"/>
    <w:rsid w:val="00484485"/>
    <w:rsid w:val="004848A4"/>
    <w:rsid w:val="00484AAC"/>
    <w:rsid w:val="00484C52"/>
    <w:rsid w:val="0048525A"/>
    <w:rsid w:val="004853EB"/>
    <w:rsid w:val="00486F77"/>
    <w:rsid w:val="00487113"/>
    <w:rsid w:val="004871E9"/>
    <w:rsid w:val="004877DA"/>
    <w:rsid w:val="004879D8"/>
    <w:rsid w:val="004902B3"/>
    <w:rsid w:val="004904A4"/>
    <w:rsid w:val="00490E3A"/>
    <w:rsid w:val="004911F7"/>
    <w:rsid w:val="00491569"/>
    <w:rsid w:val="004915FF"/>
    <w:rsid w:val="00491B35"/>
    <w:rsid w:val="00491D06"/>
    <w:rsid w:val="00491D5A"/>
    <w:rsid w:val="0049201D"/>
    <w:rsid w:val="004926CE"/>
    <w:rsid w:val="00492982"/>
    <w:rsid w:val="00492DD2"/>
    <w:rsid w:val="00493464"/>
    <w:rsid w:val="00493477"/>
    <w:rsid w:val="004934AA"/>
    <w:rsid w:val="004935C9"/>
    <w:rsid w:val="0049384E"/>
    <w:rsid w:val="00493C3D"/>
    <w:rsid w:val="004949ED"/>
    <w:rsid w:val="00495178"/>
    <w:rsid w:val="00495933"/>
    <w:rsid w:val="00496007"/>
    <w:rsid w:val="0049647B"/>
    <w:rsid w:val="0049669A"/>
    <w:rsid w:val="0049735A"/>
    <w:rsid w:val="00497CCE"/>
    <w:rsid w:val="004A0EB0"/>
    <w:rsid w:val="004A131E"/>
    <w:rsid w:val="004A164F"/>
    <w:rsid w:val="004A173F"/>
    <w:rsid w:val="004A17C9"/>
    <w:rsid w:val="004A1C4A"/>
    <w:rsid w:val="004A1E08"/>
    <w:rsid w:val="004A1F44"/>
    <w:rsid w:val="004A1F79"/>
    <w:rsid w:val="004A3070"/>
    <w:rsid w:val="004A3243"/>
    <w:rsid w:val="004A3290"/>
    <w:rsid w:val="004A35D0"/>
    <w:rsid w:val="004A3684"/>
    <w:rsid w:val="004A3A14"/>
    <w:rsid w:val="004A3DB4"/>
    <w:rsid w:val="004A57F1"/>
    <w:rsid w:val="004A669D"/>
    <w:rsid w:val="004A6AB9"/>
    <w:rsid w:val="004A70FE"/>
    <w:rsid w:val="004A762A"/>
    <w:rsid w:val="004A798C"/>
    <w:rsid w:val="004A7C8C"/>
    <w:rsid w:val="004B0014"/>
    <w:rsid w:val="004B017D"/>
    <w:rsid w:val="004B027F"/>
    <w:rsid w:val="004B0590"/>
    <w:rsid w:val="004B074D"/>
    <w:rsid w:val="004B0994"/>
    <w:rsid w:val="004B0A81"/>
    <w:rsid w:val="004B130A"/>
    <w:rsid w:val="004B1CC3"/>
    <w:rsid w:val="004B1DB4"/>
    <w:rsid w:val="004B239B"/>
    <w:rsid w:val="004B2D41"/>
    <w:rsid w:val="004B3015"/>
    <w:rsid w:val="004B325E"/>
    <w:rsid w:val="004B344C"/>
    <w:rsid w:val="004B3A10"/>
    <w:rsid w:val="004B3F63"/>
    <w:rsid w:val="004B410D"/>
    <w:rsid w:val="004B4121"/>
    <w:rsid w:val="004B42DA"/>
    <w:rsid w:val="004B4F69"/>
    <w:rsid w:val="004B535F"/>
    <w:rsid w:val="004B53BD"/>
    <w:rsid w:val="004B55A5"/>
    <w:rsid w:val="004B562F"/>
    <w:rsid w:val="004B61B9"/>
    <w:rsid w:val="004B6A8B"/>
    <w:rsid w:val="004B6A97"/>
    <w:rsid w:val="004B6E0E"/>
    <w:rsid w:val="004B7810"/>
    <w:rsid w:val="004B7A90"/>
    <w:rsid w:val="004B7C30"/>
    <w:rsid w:val="004C0016"/>
    <w:rsid w:val="004C06AA"/>
    <w:rsid w:val="004C0E93"/>
    <w:rsid w:val="004C0F13"/>
    <w:rsid w:val="004C1073"/>
    <w:rsid w:val="004C1095"/>
    <w:rsid w:val="004C12C3"/>
    <w:rsid w:val="004C1893"/>
    <w:rsid w:val="004C39FA"/>
    <w:rsid w:val="004C4C4D"/>
    <w:rsid w:val="004C4ECC"/>
    <w:rsid w:val="004C4F89"/>
    <w:rsid w:val="004C5004"/>
    <w:rsid w:val="004C57A2"/>
    <w:rsid w:val="004C58BE"/>
    <w:rsid w:val="004C5FD0"/>
    <w:rsid w:val="004C6CD0"/>
    <w:rsid w:val="004C6D11"/>
    <w:rsid w:val="004C74DE"/>
    <w:rsid w:val="004C7563"/>
    <w:rsid w:val="004C78B7"/>
    <w:rsid w:val="004C7974"/>
    <w:rsid w:val="004C7DF1"/>
    <w:rsid w:val="004D0152"/>
    <w:rsid w:val="004D01C0"/>
    <w:rsid w:val="004D03BD"/>
    <w:rsid w:val="004D08E3"/>
    <w:rsid w:val="004D0DBF"/>
    <w:rsid w:val="004D0E92"/>
    <w:rsid w:val="004D13F3"/>
    <w:rsid w:val="004D1990"/>
    <w:rsid w:val="004D208C"/>
    <w:rsid w:val="004D2245"/>
    <w:rsid w:val="004D2424"/>
    <w:rsid w:val="004D2D0A"/>
    <w:rsid w:val="004D2D96"/>
    <w:rsid w:val="004D2F19"/>
    <w:rsid w:val="004D306F"/>
    <w:rsid w:val="004D327D"/>
    <w:rsid w:val="004D3509"/>
    <w:rsid w:val="004D39A0"/>
    <w:rsid w:val="004D3C46"/>
    <w:rsid w:val="004D3F65"/>
    <w:rsid w:val="004D4389"/>
    <w:rsid w:val="004D4B01"/>
    <w:rsid w:val="004D4F24"/>
    <w:rsid w:val="004D50C5"/>
    <w:rsid w:val="004D52F7"/>
    <w:rsid w:val="004D55E0"/>
    <w:rsid w:val="004D66C0"/>
    <w:rsid w:val="004D6AA1"/>
    <w:rsid w:val="004D6B87"/>
    <w:rsid w:val="004D6D41"/>
    <w:rsid w:val="004D7127"/>
    <w:rsid w:val="004D73BF"/>
    <w:rsid w:val="004D73C7"/>
    <w:rsid w:val="004D7F3C"/>
    <w:rsid w:val="004D7FB9"/>
    <w:rsid w:val="004E03B2"/>
    <w:rsid w:val="004E03F2"/>
    <w:rsid w:val="004E054A"/>
    <w:rsid w:val="004E0681"/>
    <w:rsid w:val="004E11BA"/>
    <w:rsid w:val="004E16CA"/>
    <w:rsid w:val="004E17A5"/>
    <w:rsid w:val="004E1D52"/>
    <w:rsid w:val="004E1E10"/>
    <w:rsid w:val="004E22CF"/>
    <w:rsid w:val="004E257C"/>
    <w:rsid w:val="004E2711"/>
    <w:rsid w:val="004E29CC"/>
    <w:rsid w:val="004E2BD1"/>
    <w:rsid w:val="004E30F2"/>
    <w:rsid w:val="004E344F"/>
    <w:rsid w:val="004E3467"/>
    <w:rsid w:val="004E3483"/>
    <w:rsid w:val="004E374F"/>
    <w:rsid w:val="004E37B2"/>
    <w:rsid w:val="004E3FD8"/>
    <w:rsid w:val="004E4D4B"/>
    <w:rsid w:val="004E4E46"/>
    <w:rsid w:val="004E5558"/>
    <w:rsid w:val="004E5FA7"/>
    <w:rsid w:val="004E70C8"/>
    <w:rsid w:val="004E7287"/>
    <w:rsid w:val="004E7806"/>
    <w:rsid w:val="004F056B"/>
    <w:rsid w:val="004F0D6E"/>
    <w:rsid w:val="004F0EC7"/>
    <w:rsid w:val="004F0F2B"/>
    <w:rsid w:val="004F12E6"/>
    <w:rsid w:val="004F185B"/>
    <w:rsid w:val="004F1A75"/>
    <w:rsid w:val="004F1DA3"/>
    <w:rsid w:val="004F22CA"/>
    <w:rsid w:val="004F2EC9"/>
    <w:rsid w:val="004F2FE0"/>
    <w:rsid w:val="004F44CE"/>
    <w:rsid w:val="004F4B2A"/>
    <w:rsid w:val="004F4BD1"/>
    <w:rsid w:val="004F4E59"/>
    <w:rsid w:val="004F50CB"/>
    <w:rsid w:val="004F55C6"/>
    <w:rsid w:val="004F55DA"/>
    <w:rsid w:val="004F5E3E"/>
    <w:rsid w:val="004F5FF6"/>
    <w:rsid w:val="004F605E"/>
    <w:rsid w:val="004F6212"/>
    <w:rsid w:val="004F62F3"/>
    <w:rsid w:val="004F7A28"/>
    <w:rsid w:val="004F7CC3"/>
    <w:rsid w:val="004F7F5F"/>
    <w:rsid w:val="005003F7"/>
    <w:rsid w:val="0050078A"/>
    <w:rsid w:val="00500905"/>
    <w:rsid w:val="00500E29"/>
    <w:rsid w:val="005010F0"/>
    <w:rsid w:val="0050149C"/>
    <w:rsid w:val="00501AE0"/>
    <w:rsid w:val="00501AEF"/>
    <w:rsid w:val="00501B74"/>
    <w:rsid w:val="00502B85"/>
    <w:rsid w:val="0050304C"/>
    <w:rsid w:val="005032A7"/>
    <w:rsid w:val="00503738"/>
    <w:rsid w:val="00503A0E"/>
    <w:rsid w:val="005045AD"/>
    <w:rsid w:val="005046CE"/>
    <w:rsid w:val="0050504B"/>
    <w:rsid w:val="00505590"/>
    <w:rsid w:val="0050560E"/>
    <w:rsid w:val="005057AC"/>
    <w:rsid w:val="00506073"/>
    <w:rsid w:val="005063A6"/>
    <w:rsid w:val="00507438"/>
    <w:rsid w:val="00507610"/>
    <w:rsid w:val="00507638"/>
    <w:rsid w:val="00510470"/>
    <w:rsid w:val="00510A1A"/>
    <w:rsid w:val="00510AF2"/>
    <w:rsid w:val="00510F2A"/>
    <w:rsid w:val="005123B3"/>
    <w:rsid w:val="00512795"/>
    <w:rsid w:val="00512B5B"/>
    <w:rsid w:val="005138AA"/>
    <w:rsid w:val="00513E96"/>
    <w:rsid w:val="00514951"/>
    <w:rsid w:val="00514C58"/>
    <w:rsid w:val="00515582"/>
    <w:rsid w:val="005158E1"/>
    <w:rsid w:val="005161B5"/>
    <w:rsid w:val="00516D8A"/>
    <w:rsid w:val="005171DB"/>
    <w:rsid w:val="0051756C"/>
    <w:rsid w:val="00520355"/>
    <w:rsid w:val="005204DC"/>
    <w:rsid w:val="0052064D"/>
    <w:rsid w:val="005208FE"/>
    <w:rsid w:val="00520D9E"/>
    <w:rsid w:val="00521255"/>
    <w:rsid w:val="00521517"/>
    <w:rsid w:val="00521637"/>
    <w:rsid w:val="0052180D"/>
    <w:rsid w:val="00521AAC"/>
    <w:rsid w:val="00521ABE"/>
    <w:rsid w:val="005223DD"/>
    <w:rsid w:val="00522899"/>
    <w:rsid w:val="00522A0C"/>
    <w:rsid w:val="00522B50"/>
    <w:rsid w:val="0052302F"/>
    <w:rsid w:val="0052333A"/>
    <w:rsid w:val="00523AD2"/>
    <w:rsid w:val="00523D07"/>
    <w:rsid w:val="0052403B"/>
    <w:rsid w:val="00524532"/>
    <w:rsid w:val="005246B9"/>
    <w:rsid w:val="005247AD"/>
    <w:rsid w:val="00525A96"/>
    <w:rsid w:val="00525B14"/>
    <w:rsid w:val="00525C1C"/>
    <w:rsid w:val="00525E72"/>
    <w:rsid w:val="00526337"/>
    <w:rsid w:val="00526D26"/>
    <w:rsid w:val="00526D41"/>
    <w:rsid w:val="00526FA3"/>
    <w:rsid w:val="00527039"/>
    <w:rsid w:val="005273E9"/>
    <w:rsid w:val="00527A19"/>
    <w:rsid w:val="00527D35"/>
    <w:rsid w:val="0053096E"/>
    <w:rsid w:val="00530B06"/>
    <w:rsid w:val="00531011"/>
    <w:rsid w:val="0053128E"/>
    <w:rsid w:val="005315A5"/>
    <w:rsid w:val="00531673"/>
    <w:rsid w:val="00531FF8"/>
    <w:rsid w:val="0053228C"/>
    <w:rsid w:val="00532573"/>
    <w:rsid w:val="00532704"/>
    <w:rsid w:val="00532D26"/>
    <w:rsid w:val="00532F0A"/>
    <w:rsid w:val="00533DCE"/>
    <w:rsid w:val="00534C23"/>
    <w:rsid w:val="00535E5D"/>
    <w:rsid w:val="00536B6C"/>
    <w:rsid w:val="00536EC8"/>
    <w:rsid w:val="00537BB1"/>
    <w:rsid w:val="00537F27"/>
    <w:rsid w:val="00537FE1"/>
    <w:rsid w:val="00540068"/>
    <w:rsid w:val="005404B4"/>
    <w:rsid w:val="00540ABD"/>
    <w:rsid w:val="00540C58"/>
    <w:rsid w:val="00540D8E"/>
    <w:rsid w:val="00541105"/>
    <w:rsid w:val="005416FC"/>
    <w:rsid w:val="00543B84"/>
    <w:rsid w:val="005440A7"/>
    <w:rsid w:val="00544250"/>
    <w:rsid w:val="005443FE"/>
    <w:rsid w:val="0054440F"/>
    <w:rsid w:val="00544518"/>
    <w:rsid w:val="00544597"/>
    <w:rsid w:val="00544BAC"/>
    <w:rsid w:val="00544E23"/>
    <w:rsid w:val="0054524E"/>
    <w:rsid w:val="00545400"/>
    <w:rsid w:val="005454E7"/>
    <w:rsid w:val="0054574A"/>
    <w:rsid w:val="00545B5C"/>
    <w:rsid w:val="00546C11"/>
    <w:rsid w:val="00547335"/>
    <w:rsid w:val="00547798"/>
    <w:rsid w:val="005477E0"/>
    <w:rsid w:val="00547990"/>
    <w:rsid w:val="005479FB"/>
    <w:rsid w:val="00547F2C"/>
    <w:rsid w:val="00550308"/>
    <w:rsid w:val="005503B4"/>
    <w:rsid w:val="005505F7"/>
    <w:rsid w:val="005506E8"/>
    <w:rsid w:val="0055093C"/>
    <w:rsid w:val="00550E76"/>
    <w:rsid w:val="00551511"/>
    <w:rsid w:val="00551CF8"/>
    <w:rsid w:val="00551CFF"/>
    <w:rsid w:val="0055255B"/>
    <w:rsid w:val="0055295B"/>
    <w:rsid w:val="00552A94"/>
    <w:rsid w:val="00552C0D"/>
    <w:rsid w:val="00552E60"/>
    <w:rsid w:val="00552EA7"/>
    <w:rsid w:val="005533F4"/>
    <w:rsid w:val="0055345E"/>
    <w:rsid w:val="005534DE"/>
    <w:rsid w:val="00553C05"/>
    <w:rsid w:val="0055440D"/>
    <w:rsid w:val="00554673"/>
    <w:rsid w:val="0055492A"/>
    <w:rsid w:val="00554E68"/>
    <w:rsid w:val="0055515B"/>
    <w:rsid w:val="005553E9"/>
    <w:rsid w:val="005559C0"/>
    <w:rsid w:val="00555E38"/>
    <w:rsid w:val="00555FD0"/>
    <w:rsid w:val="0055623A"/>
    <w:rsid w:val="0055626A"/>
    <w:rsid w:val="005562EF"/>
    <w:rsid w:val="0055654E"/>
    <w:rsid w:val="005568C6"/>
    <w:rsid w:val="00556E18"/>
    <w:rsid w:val="00556EFB"/>
    <w:rsid w:val="0055702B"/>
    <w:rsid w:val="005570EC"/>
    <w:rsid w:val="005572B7"/>
    <w:rsid w:val="005579A9"/>
    <w:rsid w:val="0056034C"/>
    <w:rsid w:val="00560794"/>
    <w:rsid w:val="0056098D"/>
    <w:rsid w:val="005609F6"/>
    <w:rsid w:val="00561097"/>
    <w:rsid w:val="00561298"/>
    <w:rsid w:val="00561B24"/>
    <w:rsid w:val="00561BE3"/>
    <w:rsid w:val="00561F8F"/>
    <w:rsid w:val="00562487"/>
    <w:rsid w:val="00562706"/>
    <w:rsid w:val="005634F0"/>
    <w:rsid w:val="005635AA"/>
    <w:rsid w:val="005647DD"/>
    <w:rsid w:val="00564B1B"/>
    <w:rsid w:val="00564C8E"/>
    <w:rsid w:val="00564F91"/>
    <w:rsid w:val="0056509A"/>
    <w:rsid w:val="0056563C"/>
    <w:rsid w:val="0056565B"/>
    <w:rsid w:val="00565669"/>
    <w:rsid w:val="0056575C"/>
    <w:rsid w:val="00565B41"/>
    <w:rsid w:val="00565EAD"/>
    <w:rsid w:val="00565F25"/>
    <w:rsid w:val="00565FEB"/>
    <w:rsid w:val="00566271"/>
    <w:rsid w:val="005663FD"/>
    <w:rsid w:val="0056657A"/>
    <w:rsid w:val="005666C3"/>
    <w:rsid w:val="005667D0"/>
    <w:rsid w:val="00566813"/>
    <w:rsid w:val="0056794E"/>
    <w:rsid w:val="00567E2C"/>
    <w:rsid w:val="00570168"/>
    <w:rsid w:val="0057067A"/>
    <w:rsid w:val="0057077D"/>
    <w:rsid w:val="00570996"/>
    <w:rsid w:val="00570A41"/>
    <w:rsid w:val="00570C7F"/>
    <w:rsid w:val="00572065"/>
    <w:rsid w:val="005729A3"/>
    <w:rsid w:val="00572AED"/>
    <w:rsid w:val="00572FF5"/>
    <w:rsid w:val="00573309"/>
    <w:rsid w:val="00573366"/>
    <w:rsid w:val="00573B82"/>
    <w:rsid w:val="00574B81"/>
    <w:rsid w:val="0057504D"/>
    <w:rsid w:val="00575305"/>
    <w:rsid w:val="005757C5"/>
    <w:rsid w:val="00575869"/>
    <w:rsid w:val="0057591A"/>
    <w:rsid w:val="00575CC6"/>
    <w:rsid w:val="00575D0C"/>
    <w:rsid w:val="00575D41"/>
    <w:rsid w:val="0057612F"/>
    <w:rsid w:val="005761FB"/>
    <w:rsid w:val="00576534"/>
    <w:rsid w:val="005777F6"/>
    <w:rsid w:val="0057781B"/>
    <w:rsid w:val="00577BD6"/>
    <w:rsid w:val="00577F38"/>
    <w:rsid w:val="00580113"/>
    <w:rsid w:val="0058019A"/>
    <w:rsid w:val="0058065D"/>
    <w:rsid w:val="005807C9"/>
    <w:rsid w:val="00581066"/>
    <w:rsid w:val="0058115E"/>
    <w:rsid w:val="00581446"/>
    <w:rsid w:val="0058184A"/>
    <w:rsid w:val="00581949"/>
    <w:rsid w:val="00582318"/>
    <w:rsid w:val="005824B5"/>
    <w:rsid w:val="0058281A"/>
    <w:rsid w:val="005829E4"/>
    <w:rsid w:val="0058358E"/>
    <w:rsid w:val="00583C8E"/>
    <w:rsid w:val="00583D3D"/>
    <w:rsid w:val="0058404A"/>
    <w:rsid w:val="00584233"/>
    <w:rsid w:val="005846A3"/>
    <w:rsid w:val="00584DA2"/>
    <w:rsid w:val="00585375"/>
    <w:rsid w:val="00585B6F"/>
    <w:rsid w:val="00585F77"/>
    <w:rsid w:val="00586228"/>
    <w:rsid w:val="00586860"/>
    <w:rsid w:val="0058692D"/>
    <w:rsid w:val="00586EDB"/>
    <w:rsid w:val="00587391"/>
    <w:rsid w:val="005874A0"/>
    <w:rsid w:val="005874BD"/>
    <w:rsid w:val="00587703"/>
    <w:rsid w:val="00587CBE"/>
    <w:rsid w:val="0059079A"/>
    <w:rsid w:val="00590BCF"/>
    <w:rsid w:val="00591A1A"/>
    <w:rsid w:val="00591A2A"/>
    <w:rsid w:val="00593392"/>
    <w:rsid w:val="00593551"/>
    <w:rsid w:val="00593909"/>
    <w:rsid w:val="0059403E"/>
    <w:rsid w:val="005947CB"/>
    <w:rsid w:val="0059481F"/>
    <w:rsid w:val="005948F5"/>
    <w:rsid w:val="00594BD6"/>
    <w:rsid w:val="00594D9B"/>
    <w:rsid w:val="005964E1"/>
    <w:rsid w:val="005966C1"/>
    <w:rsid w:val="005967E7"/>
    <w:rsid w:val="005967FE"/>
    <w:rsid w:val="005968A6"/>
    <w:rsid w:val="00597505"/>
    <w:rsid w:val="00597682"/>
    <w:rsid w:val="0059788D"/>
    <w:rsid w:val="005A003F"/>
    <w:rsid w:val="005A02F1"/>
    <w:rsid w:val="005A050D"/>
    <w:rsid w:val="005A05F5"/>
    <w:rsid w:val="005A10D9"/>
    <w:rsid w:val="005A1220"/>
    <w:rsid w:val="005A16CC"/>
    <w:rsid w:val="005A1977"/>
    <w:rsid w:val="005A2135"/>
    <w:rsid w:val="005A2216"/>
    <w:rsid w:val="005A22A2"/>
    <w:rsid w:val="005A250F"/>
    <w:rsid w:val="005A288D"/>
    <w:rsid w:val="005A29C0"/>
    <w:rsid w:val="005A2B01"/>
    <w:rsid w:val="005A2CDF"/>
    <w:rsid w:val="005A378A"/>
    <w:rsid w:val="005A3E38"/>
    <w:rsid w:val="005A4BA3"/>
    <w:rsid w:val="005A4D7B"/>
    <w:rsid w:val="005A4EB0"/>
    <w:rsid w:val="005A51DB"/>
    <w:rsid w:val="005A53F5"/>
    <w:rsid w:val="005A5408"/>
    <w:rsid w:val="005A559D"/>
    <w:rsid w:val="005A58F0"/>
    <w:rsid w:val="005A5949"/>
    <w:rsid w:val="005A6308"/>
    <w:rsid w:val="005A658C"/>
    <w:rsid w:val="005A6D4A"/>
    <w:rsid w:val="005A6D9E"/>
    <w:rsid w:val="005A6FCA"/>
    <w:rsid w:val="005A714C"/>
    <w:rsid w:val="005A7643"/>
    <w:rsid w:val="005A7887"/>
    <w:rsid w:val="005A7D7D"/>
    <w:rsid w:val="005A7EC7"/>
    <w:rsid w:val="005B008F"/>
    <w:rsid w:val="005B00F0"/>
    <w:rsid w:val="005B0453"/>
    <w:rsid w:val="005B0747"/>
    <w:rsid w:val="005B0E05"/>
    <w:rsid w:val="005B0E1C"/>
    <w:rsid w:val="005B1B27"/>
    <w:rsid w:val="005B1C22"/>
    <w:rsid w:val="005B1D30"/>
    <w:rsid w:val="005B2377"/>
    <w:rsid w:val="005B2727"/>
    <w:rsid w:val="005B2E0E"/>
    <w:rsid w:val="005B300E"/>
    <w:rsid w:val="005B34E7"/>
    <w:rsid w:val="005B3C53"/>
    <w:rsid w:val="005B3CEE"/>
    <w:rsid w:val="005B419A"/>
    <w:rsid w:val="005B42DB"/>
    <w:rsid w:val="005B4774"/>
    <w:rsid w:val="005B47E0"/>
    <w:rsid w:val="005B4855"/>
    <w:rsid w:val="005B4D1B"/>
    <w:rsid w:val="005B4F5C"/>
    <w:rsid w:val="005B54A5"/>
    <w:rsid w:val="005B57F2"/>
    <w:rsid w:val="005B5C97"/>
    <w:rsid w:val="005B5CD0"/>
    <w:rsid w:val="005B68C0"/>
    <w:rsid w:val="005B6973"/>
    <w:rsid w:val="005B6B62"/>
    <w:rsid w:val="005B769B"/>
    <w:rsid w:val="005B7FA6"/>
    <w:rsid w:val="005C0493"/>
    <w:rsid w:val="005C05D7"/>
    <w:rsid w:val="005C08D9"/>
    <w:rsid w:val="005C0B83"/>
    <w:rsid w:val="005C0D57"/>
    <w:rsid w:val="005C1641"/>
    <w:rsid w:val="005C1CE6"/>
    <w:rsid w:val="005C24A9"/>
    <w:rsid w:val="005C28A1"/>
    <w:rsid w:val="005C2960"/>
    <w:rsid w:val="005C2B3B"/>
    <w:rsid w:val="005C2E91"/>
    <w:rsid w:val="005C2F00"/>
    <w:rsid w:val="005C330D"/>
    <w:rsid w:val="005C3BAC"/>
    <w:rsid w:val="005C3CA5"/>
    <w:rsid w:val="005C413F"/>
    <w:rsid w:val="005C467A"/>
    <w:rsid w:val="005C4732"/>
    <w:rsid w:val="005C4A64"/>
    <w:rsid w:val="005C5256"/>
    <w:rsid w:val="005C55BC"/>
    <w:rsid w:val="005C5D16"/>
    <w:rsid w:val="005C5F7F"/>
    <w:rsid w:val="005C65E6"/>
    <w:rsid w:val="005C6822"/>
    <w:rsid w:val="005C6972"/>
    <w:rsid w:val="005C6996"/>
    <w:rsid w:val="005C6BA9"/>
    <w:rsid w:val="005C751B"/>
    <w:rsid w:val="005C7A51"/>
    <w:rsid w:val="005C7D6B"/>
    <w:rsid w:val="005D03F2"/>
    <w:rsid w:val="005D05BF"/>
    <w:rsid w:val="005D0DD5"/>
    <w:rsid w:val="005D11E4"/>
    <w:rsid w:val="005D186A"/>
    <w:rsid w:val="005D2805"/>
    <w:rsid w:val="005D2BDF"/>
    <w:rsid w:val="005D2BE2"/>
    <w:rsid w:val="005D2CFB"/>
    <w:rsid w:val="005D3074"/>
    <w:rsid w:val="005D3223"/>
    <w:rsid w:val="005D34AD"/>
    <w:rsid w:val="005D3731"/>
    <w:rsid w:val="005D390B"/>
    <w:rsid w:val="005D3A7D"/>
    <w:rsid w:val="005D437A"/>
    <w:rsid w:val="005D46EC"/>
    <w:rsid w:val="005D4B2E"/>
    <w:rsid w:val="005D5292"/>
    <w:rsid w:val="005D56B6"/>
    <w:rsid w:val="005D61DF"/>
    <w:rsid w:val="005D6675"/>
    <w:rsid w:val="005D671C"/>
    <w:rsid w:val="005D69A7"/>
    <w:rsid w:val="005D6AA7"/>
    <w:rsid w:val="005D72D5"/>
    <w:rsid w:val="005D757D"/>
    <w:rsid w:val="005D77CD"/>
    <w:rsid w:val="005D79C1"/>
    <w:rsid w:val="005E0442"/>
    <w:rsid w:val="005E173B"/>
    <w:rsid w:val="005E18FC"/>
    <w:rsid w:val="005E2440"/>
    <w:rsid w:val="005E266A"/>
    <w:rsid w:val="005E26DB"/>
    <w:rsid w:val="005E273B"/>
    <w:rsid w:val="005E2A19"/>
    <w:rsid w:val="005E2CC4"/>
    <w:rsid w:val="005E2DCF"/>
    <w:rsid w:val="005E3736"/>
    <w:rsid w:val="005E396B"/>
    <w:rsid w:val="005E3A2E"/>
    <w:rsid w:val="005E3D80"/>
    <w:rsid w:val="005E3D8E"/>
    <w:rsid w:val="005E404D"/>
    <w:rsid w:val="005E4133"/>
    <w:rsid w:val="005E5039"/>
    <w:rsid w:val="005E5298"/>
    <w:rsid w:val="005E56E8"/>
    <w:rsid w:val="005E56F7"/>
    <w:rsid w:val="005E5CA8"/>
    <w:rsid w:val="005E5D22"/>
    <w:rsid w:val="005E5FA0"/>
    <w:rsid w:val="005E668C"/>
    <w:rsid w:val="005E67B3"/>
    <w:rsid w:val="005E733E"/>
    <w:rsid w:val="005E7426"/>
    <w:rsid w:val="005E78BF"/>
    <w:rsid w:val="005E7B4E"/>
    <w:rsid w:val="005E7E2E"/>
    <w:rsid w:val="005E7FED"/>
    <w:rsid w:val="005F02AE"/>
    <w:rsid w:val="005F03C1"/>
    <w:rsid w:val="005F05C4"/>
    <w:rsid w:val="005F062E"/>
    <w:rsid w:val="005F068E"/>
    <w:rsid w:val="005F1489"/>
    <w:rsid w:val="005F171E"/>
    <w:rsid w:val="005F1765"/>
    <w:rsid w:val="005F18A1"/>
    <w:rsid w:val="005F1A40"/>
    <w:rsid w:val="005F1CB7"/>
    <w:rsid w:val="005F2549"/>
    <w:rsid w:val="005F2E98"/>
    <w:rsid w:val="005F3550"/>
    <w:rsid w:val="005F39A3"/>
    <w:rsid w:val="005F4252"/>
    <w:rsid w:val="005F487F"/>
    <w:rsid w:val="005F4BAB"/>
    <w:rsid w:val="005F556B"/>
    <w:rsid w:val="005F56C7"/>
    <w:rsid w:val="005F58B7"/>
    <w:rsid w:val="005F5BC5"/>
    <w:rsid w:val="005F5CA0"/>
    <w:rsid w:val="005F6318"/>
    <w:rsid w:val="005F6629"/>
    <w:rsid w:val="005F6BA0"/>
    <w:rsid w:val="005F6CEB"/>
    <w:rsid w:val="005F7744"/>
    <w:rsid w:val="005F78E0"/>
    <w:rsid w:val="005F7C05"/>
    <w:rsid w:val="005F7FCE"/>
    <w:rsid w:val="006002B5"/>
    <w:rsid w:val="006009D8"/>
    <w:rsid w:val="0060104B"/>
    <w:rsid w:val="00601F54"/>
    <w:rsid w:val="00602F08"/>
    <w:rsid w:val="00603727"/>
    <w:rsid w:val="00603C9B"/>
    <w:rsid w:val="00603CA3"/>
    <w:rsid w:val="00603E7E"/>
    <w:rsid w:val="006040E4"/>
    <w:rsid w:val="00604491"/>
    <w:rsid w:val="006045A1"/>
    <w:rsid w:val="006045AF"/>
    <w:rsid w:val="00604997"/>
    <w:rsid w:val="00604B01"/>
    <w:rsid w:val="00604EE9"/>
    <w:rsid w:val="006051A3"/>
    <w:rsid w:val="006061A9"/>
    <w:rsid w:val="00606272"/>
    <w:rsid w:val="00606AD7"/>
    <w:rsid w:val="00606C98"/>
    <w:rsid w:val="0060733A"/>
    <w:rsid w:val="0061009C"/>
    <w:rsid w:val="00610356"/>
    <w:rsid w:val="006103BC"/>
    <w:rsid w:val="0061054F"/>
    <w:rsid w:val="0061098F"/>
    <w:rsid w:val="00610A1A"/>
    <w:rsid w:val="00610EEC"/>
    <w:rsid w:val="00610F4B"/>
    <w:rsid w:val="0061134E"/>
    <w:rsid w:val="00611D6A"/>
    <w:rsid w:val="00611E49"/>
    <w:rsid w:val="00611FB1"/>
    <w:rsid w:val="00612294"/>
    <w:rsid w:val="00612306"/>
    <w:rsid w:val="00612449"/>
    <w:rsid w:val="006125B1"/>
    <w:rsid w:val="00612B2A"/>
    <w:rsid w:val="00613A0C"/>
    <w:rsid w:val="00613AC4"/>
    <w:rsid w:val="00613DE2"/>
    <w:rsid w:val="006144CB"/>
    <w:rsid w:val="00614B78"/>
    <w:rsid w:val="00614E7A"/>
    <w:rsid w:val="006152F3"/>
    <w:rsid w:val="00615BD6"/>
    <w:rsid w:val="00615EC0"/>
    <w:rsid w:val="0061655A"/>
    <w:rsid w:val="006168CD"/>
    <w:rsid w:val="00616D4B"/>
    <w:rsid w:val="00617171"/>
    <w:rsid w:val="006209D8"/>
    <w:rsid w:val="00620F26"/>
    <w:rsid w:val="0062207F"/>
    <w:rsid w:val="006220E5"/>
    <w:rsid w:val="00622D63"/>
    <w:rsid w:val="00622D9D"/>
    <w:rsid w:val="00622DC4"/>
    <w:rsid w:val="0062320C"/>
    <w:rsid w:val="00623B18"/>
    <w:rsid w:val="00623F0E"/>
    <w:rsid w:val="00623FD1"/>
    <w:rsid w:val="00624179"/>
    <w:rsid w:val="00624512"/>
    <w:rsid w:val="00624A2D"/>
    <w:rsid w:val="00624EAD"/>
    <w:rsid w:val="00624F4C"/>
    <w:rsid w:val="006251AF"/>
    <w:rsid w:val="0062568E"/>
    <w:rsid w:val="00625833"/>
    <w:rsid w:val="00625C94"/>
    <w:rsid w:val="00625E15"/>
    <w:rsid w:val="00626A59"/>
    <w:rsid w:val="00626EE1"/>
    <w:rsid w:val="00627080"/>
    <w:rsid w:val="00627794"/>
    <w:rsid w:val="00630987"/>
    <w:rsid w:val="00630C91"/>
    <w:rsid w:val="00630D0E"/>
    <w:rsid w:val="00630E8C"/>
    <w:rsid w:val="00630F52"/>
    <w:rsid w:val="00630FA6"/>
    <w:rsid w:val="0063123F"/>
    <w:rsid w:val="0063139C"/>
    <w:rsid w:val="006317C3"/>
    <w:rsid w:val="00631956"/>
    <w:rsid w:val="0063198E"/>
    <w:rsid w:val="006322B2"/>
    <w:rsid w:val="006326AE"/>
    <w:rsid w:val="006326E1"/>
    <w:rsid w:val="0063274B"/>
    <w:rsid w:val="0063284E"/>
    <w:rsid w:val="00632AE8"/>
    <w:rsid w:val="00632B79"/>
    <w:rsid w:val="00632C46"/>
    <w:rsid w:val="00633090"/>
    <w:rsid w:val="0063349D"/>
    <w:rsid w:val="00633673"/>
    <w:rsid w:val="00633DB9"/>
    <w:rsid w:val="00634137"/>
    <w:rsid w:val="0063461F"/>
    <w:rsid w:val="00634DFD"/>
    <w:rsid w:val="00634F8A"/>
    <w:rsid w:val="00635362"/>
    <w:rsid w:val="0063564E"/>
    <w:rsid w:val="006359C4"/>
    <w:rsid w:val="00635BA9"/>
    <w:rsid w:val="00635BB9"/>
    <w:rsid w:val="00635C42"/>
    <w:rsid w:val="00635FBC"/>
    <w:rsid w:val="0063602A"/>
    <w:rsid w:val="00636967"/>
    <w:rsid w:val="00637049"/>
    <w:rsid w:val="006370EF"/>
    <w:rsid w:val="006371C6"/>
    <w:rsid w:val="006378BF"/>
    <w:rsid w:val="00637B43"/>
    <w:rsid w:val="0064041B"/>
    <w:rsid w:val="006407DE"/>
    <w:rsid w:val="006408FD"/>
    <w:rsid w:val="00641901"/>
    <w:rsid w:val="00642299"/>
    <w:rsid w:val="00642BF8"/>
    <w:rsid w:val="00642FC3"/>
    <w:rsid w:val="00643C06"/>
    <w:rsid w:val="00643F46"/>
    <w:rsid w:val="00643FA6"/>
    <w:rsid w:val="006443F5"/>
    <w:rsid w:val="006449C6"/>
    <w:rsid w:val="00644E0C"/>
    <w:rsid w:val="00644F50"/>
    <w:rsid w:val="0064542D"/>
    <w:rsid w:val="00645822"/>
    <w:rsid w:val="00645A31"/>
    <w:rsid w:val="00645ACA"/>
    <w:rsid w:val="00645DF2"/>
    <w:rsid w:val="006460B6"/>
    <w:rsid w:val="00646293"/>
    <w:rsid w:val="00646D25"/>
    <w:rsid w:val="00647715"/>
    <w:rsid w:val="00647886"/>
    <w:rsid w:val="00650050"/>
    <w:rsid w:val="00650118"/>
    <w:rsid w:val="00650338"/>
    <w:rsid w:val="00650405"/>
    <w:rsid w:val="00650674"/>
    <w:rsid w:val="006507D7"/>
    <w:rsid w:val="00650865"/>
    <w:rsid w:val="00650882"/>
    <w:rsid w:val="00651118"/>
    <w:rsid w:val="006517C8"/>
    <w:rsid w:val="00651834"/>
    <w:rsid w:val="006519F1"/>
    <w:rsid w:val="00651D81"/>
    <w:rsid w:val="00651D92"/>
    <w:rsid w:val="006526AB"/>
    <w:rsid w:val="00652BB6"/>
    <w:rsid w:val="00652DBA"/>
    <w:rsid w:val="00652EFF"/>
    <w:rsid w:val="00653386"/>
    <w:rsid w:val="0065382E"/>
    <w:rsid w:val="006545C3"/>
    <w:rsid w:val="00654856"/>
    <w:rsid w:val="00654877"/>
    <w:rsid w:val="00654B12"/>
    <w:rsid w:val="00655470"/>
    <w:rsid w:val="00655CDE"/>
    <w:rsid w:val="006561AB"/>
    <w:rsid w:val="00656425"/>
    <w:rsid w:val="00656639"/>
    <w:rsid w:val="006568D1"/>
    <w:rsid w:val="00656987"/>
    <w:rsid w:val="00656B0E"/>
    <w:rsid w:val="00656C54"/>
    <w:rsid w:val="00656E65"/>
    <w:rsid w:val="006570BF"/>
    <w:rsid w:val="00657295"/>
    <w:rsid w:val="00660436"/>
    <w:rsid w:val="00661236"/>
    <w:rsid w:val="00661CB7"/>
    <w:rsid w:val="00661EF8"/>
    <w:rsid w:val="00661F9D"/>
    <w:rsid w:val="006621C1"/>
    <w:rsid w:val="006628D0"/>
    <w:rsid w:val="00662E24"/>
    <w:rsid w:val="00663358"/>
    <w:rsid w:val="006634AC"/>
    <w:rsid w:val="006638A8"/>
    <w:rsid w:val="0066404A"/>
    <w:rsid w:val="006643D3"/>
    <w:rsid w:val="00664441"/>
    <w:rsid w:val="00665527"/>
    <w:rsid w:val="0066574E"/>
    <w:rsid w:val="006657EC"/>
    <w:rsid w:val="006659C0"/>
    <w:rsid w:val="00665ED4"/>
    <w:rsid w:val="00666043"/>
    <w:rsid w:val="0066674D"/>
    <w:rsid w:val="0066683F"/>
    <w:rsid w:val="00666B83"/>
    <w:rsid w:val="00666D1B"/>
    <w:rsid w:val="00667469"/>
    <w:rsid w:val="00667A78"/>
    <w:rsid w:val="006707F7"/>
    <w:rsid w:val="00670E50"/>
    <w:rsid w:val="00670EBD"/>
    <w:rsid w:val="006712B9"/>
    <w:rsid w:val="006716E1"/>
    <w:rsid w:val="00671972"/>
    <w:rsid w:val="006721F5"/>
    <w:rsid w:val="00672DA8"/>
    <w:rsid w:val="00672DFF"/>
    <w:rsid w:val="00672E48"/>
    <w:rsid w:val="00673762"/>
    <w:rsid w:val="00673A0E"/>
    <w:rsid w:val="00673A48"/>
    <w:rsid w:val="00673A81"/>
    <w:rsid w:val="00673EA8"/>
    <w:rsid w:val="0067409F"/>
    <w:rsid w:val="00674400"/>
    <w:rsid w:val="00674505"/>
    <w:rsid w:val="006745F0"/>
    <w:rsid w:val="006746E4"/>
    <w:rsid w:val="00674BA5"/>
    <w:rsid w:val="00674CE2"/>
    <w:rsid w:val="00674DA6"/>
    <w:rsid w:val="006766B9"/>
    <w:rsid w:val="00676CFD"/>
    <w:rsid w:val="0067724D"/>
    <w:rsid w:val="00677890"/>
    <w:rsid w:val="006815C9"/>
    <w:rsid w:val="00681AA4"/>
    <w:rsid w:val="00681BCA"/>
    <w:rsid w:val="006824AE"/>
    <w:rsid w:val="00682A96"/>
    <w:rsid w:val="00682BCD"/>
    <w:rsid w:val="00683DE6"/>
    <w:rsid w:val="00683F11"/>
    <w:rsid w:val="00684268"/>
    <w:rsid w:val="0068464B"/>
    <w:rsid w:val="006847CD"/>
    <w:rsid w:val="00684C60"/>
    <w:rsid w:val="00685172"/>
    <w:rsid w:val="006852D8"/>
    <w:rsid w:val="0068546D"/>
    <w:rsid w:val="0068593E"/>
    <w:rsid w:val="00686582"/>
    <w:rsid w:val="00686A16"/>
    <w:rsid w:val="00687917"/>
    <w:rsid w:val="00687ADC"/>
    <w:rsid w:val="006906BA"/>
    <w:rsid w:val="006907A2"/>
    <w:rsid w:val="00690E10"/>
    <w:rsid w:val="0069124C"/>
    <w:rsid w:val="00691537"/>
    <w:rsid w:val="00691960"/>
    <w:rsid w:val="00691CBE"/>
    <w:rsid w:val="00691ED3"/>
    <w:rsid w:val="006920CB"/>
    <w:rsid w:val="00692428"/>
    <w:rsid w:val="0069291C"/>
    <w:rsid w:val="00692AC4"/>
    <w:rsid w:val="00692E25"/>
    <w:rsid w:val="00692EAF"/>
    <w:rsid w:val="0069359F"/>
    <w:rsid w:val="00693605"/>
    <w:rsid w:val="00693B26"/>
    <w:rsid w:val="00693CDF"/>
    <w:rsid w:val="00694090"/>
    <w:rsid w:val="006942C1"/>
    <w:rsid w:val="00694E21"/>
    <w:rsid w:val="00695197"/>
    <w:rsid w:val="006953FB"/>
    <w:rsid w:val="00696279"/>
    <w:rsid w:val="0069660B"/>
    <w:rsid w:val="00696917"/>
    <w:rsid w:val="00696AA8"/>
    <w:rsid w:val="00696C35"/>
    <w:rsid w:val="00696CEC"/>
    <w:rsid w:val="00696D33"/>
    <w:rsid w:val="00696E59"/>
    <w:rsid w:val="00696F1A"/>
    <w:rsid w:val="006970AD"/>
    <w:rsid w:val="006977C3"/>
    <w:rsid w:val="00697C07"/>
    <w:rsid w:val="00697F2C"/>
    <w:rsid w:val="006A004D"/>
    <w:rsid w:val="006A0830"/>
    <w:rsid w:val="006A0EB7"/>
    <w:rsid w:val="006A15ED"/>
    <w:rsid w:val="006A195B"/>
    <w:rsid w:val="006A21A2"/>
    <w:rsid w:val="006A21E3"/>
    <w:rsid w:val="006A2528"/>
    <w:rsid w:val="006A26AA"/>
    <w:rsid w:val="006A2726"/>
    <w:rsid w:val="006A27DC"/>
    <w:rsid w:val="006A29A4"/>
    <w:rsid w:val="006A2D8D"/>
    <w:rsid w:val="006A328D"/>
    <w:rsid w:val="006A3567"/>
    <w:rsid w:val="006A4302"/>
    <w:rsid w:val="006A4546"/>
    <w:rsid w:val="006A4ED3"/>
    <w:rsid w:val="006A4FCD"/>
    <w:rsid w:val="006A56FE"/>
    <w:rsid w:val="006A5835"/>
    <w:rsid w:val="006A588D"/>
    <w:rsid w:val="006A59DA"/>
    <w:rsid w:val="006A623D"/>
    <w:rsid w:val="006A7329"/>
    <w:rsid w:val="006A7BD2"/>
    <w:rsid w:val="006A7CDE"/>
    <w:rsid w:val="006A7DB1"/>
    <w:rsid w:val="006A7DB5"/>
    <w:rsid w:val="006B03B7"/>
    <w:rsid w:val="006B0487"/>
    <w:rsid w:val="006B07E1"/>
    <w:rsid w:val="006B0E08"/>
    <w:rsid w:val="006B1375"/>
    <w:rsid w:val="006B13C2"/>
    <w:rsid w:val="006B1686"/>
    <w:rsid w:val="006B16BD"/>
    <w:rsid w:val="006B17C0"/>
    <w:rsid w:val="006B1800"/>
    <w:rsid w:val="006B221C"/>
    <w:rsid w:val="006B2453"/>
    <w:rsid w:val="006B36C3"/>
    <w:rsid w:val="006B3EA2"/>
    <w:rsid w:val="006B412F"/>
    <w:rsid w:val="006B43F7"/>
    <w:rsid w:val="006B4C8C"/>
    <w:rsid w:val="006B5272"/>
    <w:rsid w:val="006B550C"/>
    <w:rsid w:val="006B5983"/>
    <w:rsid w:val="006B6441"/>
    <w:rsid w:val="006B6961"/>
    <w:rsid w:val="006B6A6B"/>
    <w:rsid w:val="006B7609"/>
    <w:rsid w:val="006B78B2"/>
    <w:rsid w:val="006B7B32"/>
    <w:rsid w:val="006B7E8B"/>
    <w:rsid w:val="006C0CDB"/>
    <w:rsid w:val="006C10BF"/>
    <w:rsid w:val="006C1BA5"/>
    <w:rsid w:val="006C1F0B"/>
    <w:rsid w:val="006C1FDB"/>
    <w:rsid w:val="006C21DD"/>
    <w:rsid w:val="006C2351"/>
    <w:rsid w:val="006C24C4"/>
    <w:rsid w:val="006C271E"/>
    <w:rsid w:val="006C2F19"/>
    <w:rsid w:val="006C3E3A"/>
    <w:rsid w:val="006C42F4"/>
    <w:rsid w:val="006C4356"/>
    <w:rsid w:val="006C481E"/>
    <w:rsid w:val="006C5866"/>
    <w:rsid w:val="006C59F5"/>
    <w:rsid w:val="006C5BB3"/>
    <w:rsid w:val="006C5E13"/>
    <w:rsid w:val="006C5E47"/>
    <w:rsid w:val="006C7D24"/>
    <w:rsid w:val="006C7F66"/>
    <w:rsid w:val="006C7FDD"/>
    <w:rsid w:val="006D037F"/>
    <w:rsid w:val="006D0CA8"/>
    <w:rsid w:val="006D1547"/>
    <w:rsid w:val="006D1AE9"/>
    <w:rsid w:val="006D1FEF"/>
    <w:rsid w:val="006D2389"/>
    <w:rsid w:val="006D286E"/>
    <w:rsid w:val="006D294F"/>
    <w:rsid w:val="006D2A21"/>
    <w:rsid w:val="006D2A87"/>
    <w:rsid w:val="006D2AF8"/>
    <w:rsid w:val="006D2C09"/>
    <w:rsid w:val="006D2CD0"/>
    <w:rsid w:val="006D2FBA"/>
    <w:rsid w:val="006D2FD3"/>
    <w:rsid w:val="006D30CF"/>
    <w:rsid w:val="006D3BD3"/>
    <w:rsid w:val="006D4117"/>
    <w:rsid w:val="006D4354"/>
    <w:rsid w:val="006D4442"/>
    <w:rsid w:val="006D48D4"/>
    <w:rsid w:val="006D4F68"/>
    <w:rsid w:val="006D5ABC"/>
    <w:rsid w:val="006D5F3D"/>
    <w:rsid w:val="006D5F8C"/>
    <w:rsid w:val="006D64FF"/>
    <w:rsid w:val="006D6BD7"/>
    <w:rsid w:val="006D6DF5"/>
    <w:rsid w:val="006D7451"/>
    <w:rsid w:val="006D7E5E"/>
    <w:rsid w:val="006D7E80"/>
    <w:rsid w:val="006E0215"/>
    <w:rsid w:val="006E02BB"/>
    <w:rsid w:val="006E044F"/>
    <w:rsid w:val="006E05BF"/>
    <w:rsid w:val="006E09C2"/>
    <w:rsid w:val="006E0CA7"/>
    <w:rsid w:val="006E16C8"/>
    <w:rsid w:val="006E1EC8"/>
    <w:rsid w:val="006E1FF4"/>
    <w:rsid w:val="006E2A4F"/>
    <w:rsid w:val="006E2D9A"/>
    <w:rsid w:val="006E2F43"/>
    <w:rsid w:val="006E3039"/>
    <w:rsid w:val="006E3337"/>
    <w:rsid w:val="006E39BD"/>
    <w:rsid w:val="006E41C2"/>
    <w:rsid w:val="006E478C"/>
    <w:rsid w:val="006E4796"/>
    <w:rsid w:val="006E4AD9"/>
    <w:rsid w:val="006E4C4B"/>
    <w:rsid w:val="006E5B43"/>
    <w:rsid w:val="006E5C3A"/>
    <w:rsid w:val="006E5E6B"/>
    <w:rsid w:val="006E60EF"/>
    <w:rsid w:val="006E61FE"/>
    <w:rsid w:val="006E65F3"/>
    <w:rsid w:val="006E69EE"/>
    <w:rsid w:val="006E7611"/>
    <w:rsid w:val="006E7AA5"/>
    <w:rsid w:val="006E7E8E"/>
    <w:rsid w:val="006F0068"/>
    <w:rsid w:val="006F0B55"/>
    <w:rsid w:val="006F0DC1"/>
    <w:rsid w:val="006F0DE0"/>
    <w:rsid w:val="006F0F9D"/>
    <w:rsid w:val="006F1096"/>
    <w:rsid w:val="006F11EA"/>
    <w:rsid w:val="006F12AB"/>
    <w:rsid w:val="006F16CE"/>
    <w:rsid w:val="006F3062"/>
    <w:rsid w:val="006F36AD"/>
    <w:rsid w:val="006F3DB2"/>
    <w:rsid w:val="006F4D85"/>
    <w:rsid w:val="006F5335"/>
    <w:rsid w:val="006F5467"/>
    <w:rsid w:val="006F5496"/>
    <w:rsid w:val="006F5883"/>
    <w:rsid w:val="006F6089"/>
    <w:rsid w:val="006F61C8"/>
    <w:rsid w:val="006F6A9A"/>
    <w:rsid w:val="006F6E16"/>
    <w:rsid w:val="006F71E5"/>
    <w:rsid w:val="006F73DC"/>
    <w:rsid w:val="006F74F0"/>
    <w:rsid w:val="006F75B7"/>
    <w:rsid w:val="006F7B30"/>
    <w:rsid w:val="006F7DA5"/>
    <w:rsid w:val="00700346"/>
    <w:rsid w:val="0070045C"/>
    <w:rsid w:val="00700E7B"/>
    <w:rsid w:val="00701518"/>
    <w:rsid w:val="0070179D"/>
    <w:rsid w:val="00701D95"/>
    <w:rsid w:val="007023BB"/>
    <w:rsid w:val="00702B95"/>
    <w:rsid w:val="007032F0"/>
    <w:rsid w:val="00703E7B"/>
    <w:rsid w:val="007042A1"/>
    <w:rsid w:val="007047AA"/>
    <w:rsid w:val="0070535C"/>
    <w:rsid w:val="007059A0"/>
    <w:rsid w:val="007059E7"/>
    <w:rsid w:val="00705F3D"/>
    <w:rsid w:val="007072A4"/>
    <w:rsid w:val="0070736E"/>
    <w:rsid w:val="0070742B"/>
    <w:rsid w:val="007074D1"/>
    <w:rsid w:val="007077D2"/>
    <w:rsid w:val="007102FD"/>
    <w:rsid w:val="007107F6"/>
    <w:rsid w:val="00710CAD"/>
    <w:rsid w:val="00711864"/>
    <w:rsid w:val="00711CA0"/>
    <w:rsid w:val="00711D55"/>
    <w:rsid w:val="007121D2"/>
    <w:rsid w:val="007122CF"/>
    <w:rsid w:val="00712312"/>
    <w:rsid w:val="00712624"/>
    <w:rsid w:val="007127A2"/>
    <w:rsid w:val="00712AE7"/>
    <w:rsid w:val="00713008"/>
    <w:rsid w:val="007135C2"/>
    <w:rsid w:val="0071371B"/>
    <w:rsid w:val="007139BD"/>
    <w:rsid w:val="00713DD6"/>
    <w:rsid w:val="00713DFA"/>
    <w:rsid w:val="00713E62"/>
    <w:rsid w:val="00714127"/>
    <w:rsid w:val="0071413F"/>
    <w:rsid w:val="007141AF"/>
    <w:rsid w:val="00714536"/>
    <w:rsid w:val="00714978"/>
    <w:rsid w:val="00714A82"/>
    <w:rsid w:val="00714FC3"/>
    <w:rsid w:val="00716322"/>
    <w:rsid w:val="00716522"/>
    <w:rsid w:val="00716697"/>
    <w:rsid w:val="00716AF6"/>
    <w:rsid w:val="007177C1"/>
    <w:rsid w:val="0071A056"/>
    <w:rsid w:val="00720110"/>
    <w:rsid w:val="007204C1"/>
    <w:rsid w:val="00720AFC"/>
    <w:rsid w:val="00721568"/>
    <w:rsid w:val="00721A1B"/>
    <w:rsid w:val="00721B41"/>
    <w:rsid w:val="007225C8"/>
    <w:rsid w:val="00722643"/>
    <w:rsid w:val="00722678"/>
    <w:rsid w:val="00722B7C"/>
    <w:rsid w:val="00722F05"/>
    <w:rsid w:val="00723178"/>
    <w:rsid w:val="00723516"/>
    <w:rsid w:val="007238C4"/>
    <w:rsid w:val="007240CD"/>
    <w:rsid w:val="00724469"/>
    <w:rsid w:val="0072450C"/>
    <w:rsid w:val="007246DC"/>
    <w:rsid w:val="00724825"/>
    <w:rsid w:val="00724A2A"/>
    <w:rsid w:val="00724C06"/>
    <w:rsid w:val="007253DA"/>
    <w:rsid w:val="00725686"/>
    <w:rsid w:val="00725D13"/>
    <w:rsid w:val="00725D1E"/>
    <w:rsid w:val="00725DDA"/>
    <w:rsid w:val="007260E4"/>
    <w:rsid w:val="00726289"/>
    <w:rsid w:val="00726AC1"/>
    <w:rsid w:val="00726D5E"/>
    <w:rsid w:val="007275FF"/>
    <w:rsid w:val="007277A5"/>
    <w:rsid w:val="007300B4"/>
    <w:rsid w:val="00730370"/>
    <w:rsid w:val="00730D2A"/>
    <w:rsid w:val="007310C4"/>
    <w:rsid w:val="007311CE"/>
    <w:rsid w:val="007314C2"/>
    <w:rsid w:val="00731DF5"/>
    <w:rsid w:val="00731E9A"/>
    <w:rsid w:val="0073202E"/>
    <w:rsid w:val="00732170"/>
    <w:rsid w:val="007322AC"/>
    <w:rsid w:val="00732575"/>
    <w:rsid w:val="00732BD6"/>
    <w:rsid w:val="0073310E"/>
    <w:rsid w:val="0073441F"/>
    <w:rsid w:val="0073446A"/>
    <w:rsid w:val="00734C83"/>
    <w:rsid w:val="00734DC1"/>
    <w:rsid w:val="00735BA6"/>
    <w:rsid w:val="007361DC"/>
    <w:rsid w:val="00736685"/>
    <w:rsid w:val="00736E66"/>
    <w:rsid w:val="0073770F"/>
    <w:rsid w:val="00737CD5"/>
    <w:rsid w:val="0074005E"/>
    <w:rsid w:val="00740121"/>
    <w:rsid w:val="00740421"/>
    <w:rsid w:val="00740F7D"/>
    <w:rsid w:val="007410AC"/>
    <w:rsid w:val="007414C9"/>
    <w:rsid w:val="007417C4"/>
    <w:rsid w:val="00742697"/>
    <w:rsid w:val="007438F5"/>
    <w:rsid w:val="00743A80"/>
    <w:rsid w:val="00743B42"/>
    <w:rsid w:val="0074444D"/>
    <w:rsid w:val="00744BCD"/>
    <w:rsid w:val="00744D06"/>
    <w:rsid w:val="00745422"/>
    <w:rsid w:val="00745A22"/>
    <w:rsid w:val="007465BF"/>
    <w:rsid w:val="0074735A"/>
    <w:rsid w:val="007476C7"/>
    <w:rsid w:val="00747991"/>
    <w:rsid w:val="00747A43"/>
    <w:rsid w:val="007500B6"/>
    <w:rsid w:val="00750384"/>
    <w:rsid w:val="00750444"/>
    <w:rsid w:val="00750524"/>
    <w:rsid w:val="00750919"/>
    <w:rsid w:val="00750B69"/>
    <w:rsid w:val="00750C3D"/>
    <w:rsid w:val="00750D89"/>
    <w:rsid w:val="007515C6"/>
    <w:rsid w:val="00752268"/>
    <w:rsid w:val="007527FE"/>
    <w:rsid w:val="007528B2"/>
    <w:rsid w:val="00752C09"/>
    <w:rsid w:val="00752E3B"/>
    <w:rsid w:val="00752F42"/>
    <w:rsid w:val="00753054"/>
    <w:rsid w:val="007532DA"/>
    <w:rsid w:val="00753AA1"/>
    <w:rsid w:val="0075426A"/>
    <w:rsid w:val="00754438"/>
    <w:rsid w:val="007552DD"/>
    <w:rsid w:val="00755749"/>
    <w:rsid w:val="007559AF"/>
    <w:rsid w:val="00755DD6"/>
    <w:rsid w:val="007565F3"/>
    <w:rsid w:val="00756BEF"/>
    <w:rsid w:val="00757DDA"/>
    <w:rsid w:val="0076004E"/>
    <w:rsid w:val="00760A8A"/>
    <w:rsid w:val="00760BF7"/>
    <w:rsid w:val="007611AC"/>
    <w:rsid w:val="00761353"/>
    <w:rsid w:val="007619D3"/>
    <w:rsid w:val="00762087"/>
    <w:rsid w:val="0076286D"/>
    <w:rsid w:val="00762B30"/>
    <w:rsid w:val="00762EEA"/>
    <w:rsid w:val="007634EE"/>
    <w:rsid w:val="0076400F"/>
    <w:rsid w:val="007648D2"/>
    <w:rsid w:val="007649BC"/>
    <w:rsid w:val="00764F24"/>
    <w:rsid w:val="00764F46"/>
    <w:rsid w:val="00765655"/>
    <w:rsid w:val="00765C88"/>
    <w:rsid w:val="00765FDD"/>
    <w:rsid w:val="00766177"/>
    <w:rsid w:val="0076653E"/>
    <w:rsid w:val="00766713"/>
    <w:rsid w:val="00766C27"/>
    <w:rsid w:val="00766FA9"/>
    <w:rsid w:val="007671AF"/>
    <w:rsid w:val="00767D3F"/>
    <w:rsid w:val="00770108"/>
    <w:rsid w:val="0077039B"/>
    <w:rsid w:val="0077060E"/>
    <w:rsid w:val="00770DA4"/>
    <w:rsid w:val="00770EB5"/>
    <w:rsid w:val="00771448"/>
    <w:rsid w:val="00771854"/>
    <w:rsid w:val="00771EF7"/>
    <w:rsid w:val="00771F4C"/>
    <w:rsid w:val="00772005"/>
    <w:rsid w:val="007723F3"/>
    <w:rsid w:val="0077261B"/>
    <w:rsid w:val="00773279"/>
    <w:rsid w:val="007732AF"/>
    <w:rsid w:val="007738AA"/>
    <w:rsid w:val="00774C4A"/>
    <w:rsid w:val="007751A7"/>
    <w:rsid w:val="0077520C"/>
    <w:rsid w:val="00775380"/>
    <w:rsid w:val="00775E14"/>
    <w:rsid w:val="00775EF3"/>
    <w:rsid w:val="00776213"/>
    <w:rsid w:val="007767FA"/>
    <w:rsid w:val="0077783B"/>
    <w:rsid w:val="00777AE4"/>
    <w:rsid w:val="007807AD"/>
    <w:rsid w:val="007808EB"/>
    <w:rsid w:val="00780A55"/>
    <w:rsid w:val="007814D4"/>
    <w:rsid w:val="0078168E"/>
    <w:rsid w:val="007819CA"/>
    <w:rsid w:val="00781E4D"/>
    <w:rsid w:val="0078219D"/>
    <w:rsid w:val="00782454"/>
    <w:rsid w:val="00782844"/>
    <w:rsid w:val="00782993"/>
    <w:rsid w:val="0078299D"/>
    <w:rsid w:val="00782C20"/>
    <w:rsid w:val="00782D88"/>
    <w:rsid w:val="00782D8C"/>
    <w:rsid w:val="00782F9F"/>
    <w:rsid w:val="0078316E"/>
    <w:rsid w:val="007833A7"/>
    <w:rsid w:val="007834C2"/>
    <w:rsid w:val="00783BED"/>
    <w:rsid w:val="007847A4"/>
    <w:rsid w:val="007849A5"/>
    <w:rsid w:val="0078510A"/>
    <w:rsid w:val="00785B3B"/>
    <w:rsid w:val="00786392"/>
    <w:rsid w:val="0078660B"/>
    <w:rsid w:val="007866E7"/>
    <w:rsid w:val="00786A58"/>
    <w:rsid w:val="00786B2D"/>
    <w:rsid w:val="00786CA0"/>
    <w:rsid w:val="00786DD2"/>
    <w:rsid w:val="00786E4E"/>
    <w:rsid w:val="00787582"/>
    <w:rsid w:val="00787BA7"/>
    <w:rsid w:val="00787FC2"/>
    <w:rsid w:val="00790019"/>
    <w:rsid w:val="00790AA7"/>
    <w:rsid w:val="00790D51"/>
    <w:rsid w:val="00791DE4"/>
    <w:rsid w:val="007920B9"/>
    <w:rsid w:val="007920CC"/>
    <w:rsid w:val="0079248E"/>
    <w:rsid w:val="00792B3B"/>
    <w:rsid w:val="00793DBA"/>
    <w:rsid w:val="00793F06"/>
    <w:rsid w:val="00793F93"/>
    <w:rsid w:val="0079439D"/>
    <w:rsid w:val="00794445"/>
    <w:rsid w:val="007946BE"/>
    <w:rsid w:val="00794A10"/>
    <w:rsid w:val="00794CF7"/>
    <w:rsid w:val="00795010"/>
    <w:rsid w:val="00795C07"/>
    <w:rsid w:val="00795D03"/>
    <w:rsid w:val="00795ECB"/>
    <w:rsid w:val="007968BA"/>
    <w:rsid w:val="00796C55"/>
    <w:rsid w:val="00797262"/>
    <w:rsid w:val="00797381"/>
    <w:rsid w:val="0079751A"/>
    <w:rsid w:val="007A0A53"/>
    <w:rsid w:val="007A0B18"/>
    <w:rsid w:val="007A0CB5"/>
    <w:rsid w:val="007A145C"/>
    <w:rsid w:val="007A15F7"/>
    <w:rsid w:val="007A1680"/>
    <w:rsid w:val="007A1A01"/>
    <w:rsid w:val="007A1B53"/>
    <w:rsid w:val="007A281F"/>
    <w:rsid w:val="007A2B56"/>
    <w:rsid w:val="007A31CB"/>
    <w:rsid w:val="007A3548"/>
    <w:rsid w:val="007A3A7D"/>
    <w:rsid w:val="007A3B03"/>
    <w:rsid w:val="007A412E"/>
    <w:rsid w:val="007A5064"/>
    <w:rsid w:val="007A509F"/>
    <w:rsid w:val="007A5B6E"/>
    <w:rsid w:val="007A5DFE"/>
    <w:rsid w:val="007A61CD"/>
    <w:rsid w:val="007A632D"/>
    <w:rsid w:val="007A664C"/>
    <w:rsid w:val="007A69A8"/>
    <w:rsid w:val="007A7A2E"/>
    <w:rsid w:val="007A7B9A"/>
    <w:rsid w:val="007A7FC8"/>
    <w:rsid w:val="007A7FF6"/>
    <w:rsid w:val="007B0030"/>
    <w:rsid w:val="007B0236"/>
    <w:rsid w:val="007B0419"/>
    <w:rsid w:val="007B04F4"/>
    <w:rsid w:val="007B0506"/>
    <w:rsid w:val="007B055B"/>
    <w:rsid w:val="007B070B"/>
    <w:rsid w:val="007B0F01"/>
    <w:rsid w:val="007B0F6A"/>
    <w:rsid w:val="007B1894"/>
    <w:rsid w:val="007B1920"/>
    <w:rsid w:val="007B24E5"/>
    <w:rsid w:val="007B280B"/>
    <w:rsid w:val="007B2FAA"/>
    <w:rsid w:val="007B3934"/>
    <w:rsid w:val="007B3DA9"/>
    <w:rsid w:val="007B42AC"/>
    <w:rsid w:val="007B457A"/>
    <w:rsid w:val="007B4CD2"/>
    <w:rsid w:val="007B4E03"/>
    <w:rsid w:val="007B5030"/>
    <w:rsid w:val="007B5B8F"/>
    <w:rsid w:val="007B5F09"/>
    <w:rsid w:val="007B68FA"/>
    <w:rsid w:val="007B751D"/>
    <w:rsid w:val="007C022F"/>
    <w:rsid w:val="007C065F"/>
    <w:rsid w:val="007C1428"/>
    <w:rsid w:val="007C1D09"/>
    <w:rsid w:val="007C36C1"/>
    <w:rsid w:val="007C36C8"/>
    <w:rsid w:val="007C37F9"/>
    <w:rsid w:val="007C3CB6"/>
    <w:rsid w:val="007C4697"/>
    <w:rsid w:val="007C4718"/>
    <w:rsid w:val="007C4B31"/>
    <w:rsid w:val="007C4EFB"/>
    <w:rsid w:val="007C52D4"/>
    <w:rsid w:val="007C54DB"/>
    <w:rsid w:val="007C550D"/>
    <w:rsid w:val="007C5B84"/>
    <w:rsid w:val="007C5E4E"/>
    <w:rsid w:val="007C691C"/>
    <w:rsid w:val="007C6E41"/>
    <w:rsid w:val="007C71E1"/>
    <w:rsid w:val="007C7288"/>
    <w:rsid w:val="007D02B0"/>
    <w:rsid w:val="007D0B82"/>
    <w:rsid w:val="007D12DA"/>
    <w:rsid w:val="007D13A5"/>
    <w:rsid w:val="007D1AF2"/>
    <w:rsid w:val="007D1BCB"/>
    <w:rsid w:val="007D2810"/>
    <w:rsid w:val="007D29A3"/>
    <w:rsid w:val="007D2BE6"/>
    <w:rsid w:val="007D2CC7"/>
    <w:rsid w:val="007D2FD3"/>
    <w:rsid w:val="007D3433"/>
    <w:rsid w:val="007D37A1"/>
    <w:rsid w:val="007D3837"/>
    <w:rsid w:val="007D3B6F"/>
    <w:rsid w:val="007D3EA6"/>
    <w:rsid w:val="007D3FF0"/>
    <w:rsid w:val="007D40ED"/>
    <w:rsid w:val="007D4352"/>
    <w:rsid w:val="007D5AC8"/>
    <w:rsid w:val="007D5E5C"/>
    <w:rsid w:val="007D5F21"/>
    <w:rsid w:val="007D6148"/>
    <w:rsid w:val="007D6DCF"/>
    <w:rsid w:val="007D7329"/>
    <w:rsid w:val="007D76D0"/>
    <w:rsid w:val="007E0040"/>
    <w:rsid w:val="007E03E4"/>
    <w:rsid w:val="007E06C8"/>
    <w:rsid w:val="007E07B1"/>
    <w:rsid w:val="007E07D7"/>
    <w:rsid w:val="007E0DB2"/>
    <w:rsid w:val="007E1C84"/>
    <w:rsid w:val="007E32A9"/>
    <w:rsid w:val="007E332D"/>
    <w:rsid w:val="007E3659"/>
    <w:rsid w:val="007E3762"/>
    <w:rsid w:val="007E3C10"/>
    <w:rsid w:val="007E4076"/>
    <w:rsid w:val="007E413B"/>
    <w:rsid w:val="007E42A0"/>
    <w:rsid w:val="007E4550"/>
    <w:rsid w:val="007E46F6"/>
    <w:rsid w:val="007E4C30"/>
    <w:rsid w:val="007E55ED"/>
    <w:rsid w:val="007E56E4"/>
    <w:rsid w:val="007E5C10"/>
    <w:rsid w:val="007E66FB"/>
    <w:rsid w:val="007E6741"/>
    <w:rsid w:val="007E70E3"/>
    <w:rsid w:val="007E7292"/>
    <w:rsid w:val="007E75E7"/>
    <w:rsid w:val="007E7AA1"/>
    <w:rsid w:val="007E7E40"/>
    <w:rsid w:val="007F0216"/>
    <w:rsid w:val="007F0AB1"/>
    <w:rsid w:val="007F0BEB"/>
    <w:rsid w:val="007F1887"/>
    <w:rsid w:val="007F1A3F"/>
    <w:rsid w:val="007F1A93"/>
    <w:rsid w:val="007F1AA7"/>
    <w:rsid w:val="007F25EC"/>
    <w:rsid w:val="007F2632"/>
    <w:rsid w:val="007F2FC2"/>
    <w:rsid w:val="007F3618"/>
    <w:rsid w:val="007F4509"/>
    <w:rsid w:val="007F510F"/>
    <w:rsid w:val="007F5233"/>
    <w:rsid w:val="007F55A1"/>
    <w:rsid w:val="007F564E"/>
    <w:rsid w:val="007F62FA"/>
    <w:rsid w:val="007F63C4"/>
    <w:rsid w:val="007F682E"/>
    <w:rsid w:val="007F6D73"/>
    <w:rsid w:val="007F70DF"/>
    <w:rsid w:val="007F7155"/>
    <w:rsid w:val="007F79B1"/>
    <w:rsid w:val="007F7D76"/>
    <w:rsid w:val="008001CF"/>
    <w:rsid w:val="00800826"/>
    <w:rsid w:val="0080092F"/>
    <w:rsid w:val="008014D1"/>
    <w:rsid w:val="00801D25"/>
    <w:rsid w:val="00802353"/>
    <w:rsid w:val="00802AB8"/>
    <w:rsid w:val="00802BD2"/>
    <w:rsid w:val="00802CDC"/>
    <w:rsid w:val="008037BD"/>
    <w:rsid w:val="0080462C"/>
    <w:rsid w:val="00804DDC"/>
    <w:rsid w:val="008053E3"/>
    <w:rsid w:val="008053F9"/>
    <w:rsid w:val="00805435"/>
    <w:rsid w:val="00805695"/>
    <w:rsid w:val="008057DA"/>
    <w:rsid w:val="00805885"/>
    <w:rsid w:val="0080615C"/>
    <w:rsid w:val="008062EF"/>
    <w:rsid w:val="00806A5D"/>
    <w:rsid w:val="00806CF1"/>
    <w:rsid w:val="00807088"/>
    <w:rsid w:val="008071E7"/>
    <w:rsid w:val="00807423"/>
    <w:rsid w:val="008076D3"/>
    <w:rsid w:val="0080777C"/>
    <w:rsid w:val="008101E3"/>
    <w:rsid w:val="00811160"/>
    <w:rsid w:val="00811923"/>
    <w:rsid w:val="00811A70"/>
    <w:rsid w:val="00811E9C"/>
    <w:rsid w:val="00812529"/>
    <w:rsid w:val="00812F92"/>
    <w:rsid w:val="008131C4"/>
    <w:rsid w:val="00813635"/>
    <w:rsid w:val="00814291"/>
    <w:rsid w:val="008147E0"/>
    <w:rsid w:val="00814A3D"/>
    <w:rsid w:val="00814AFB"/>
    <w:rsid w:val="008150A1"/>
    <w:rsid w:val="0081583F"/>
    <w:rsid w:val="00815DAC"/>
    <w:rsid w:val="00816523"/>
    <w:rsid w:val="0081680B"/>
    <w:rsid w:val="008169B6"/>
    <w:rsid w:val="0081707F"/>
    <w:rsid w:val="008174ED"/>
    <w:rsid w:val="00817917"/>
    <w:rsid w:val="00817985"/>
    <w:rsid w:val="00820268"/>
    <w:rsid w:val="00820C30"/>
    <w:rsid w:val="008212F9"/>
    <w:rsid w:val="00821845"/>
    <w:rsid w:val="0082199A"/>
    <w:rsid w:val="00822518"/>
    <w:rsid w:val="00822574"/>
    <w:rsid w:val="008229A6"/>
    <w:rsid w:val="00822F54"/>
    <w:rsid w:val="008232B3"/>
    <w:rsid w:val="0082357F"/>
    <w:rsid w:val="008237E3"/>
    <w:rsid w:val="008238BA"/>
    <w:rsid w:val="00823DA4"/>
    <w:rsid w:val="00824472"/>
    <w:rsid w:val="0082464F"/>
    <w:rsid w:val="00824B9A"/>
    <w:rsid w:val="00825A88"/>
    <w:rsid w:val="00825AE9"/>
    <w:rsid w:val="00825B13"/>
    <w:rsid w:val="00825D8B"/>
    <w:rsid w:val="00826864"/>
    <w:rsid w:val="00826B7B"/>
    <w:rsid w:val="00826B94"/>
    <w:rsid w:val="0082764B"/>
    <w:rsid w:val="00827685"/>
    <w:rsid w:val="00827BA6"/>
    <w:rsid w:val="00827D89"/>
    <w:rsid w:val="00827FB7"/>
    <w:rsid w:val="00830020"/>
    <w:rsid w:val="00830DE7"/>
    <w:rsid w:val="00831609"/>
    <w:rsid w:val="00831733"/>
    <w:rsid w:val="008318D2"/>
    <w:rsid w:val="0083191E"/>
    <w:rsid w:val="00831A87"/>
    <w:rsid w:val="00831FAF"/>
    <w:rsid w:val="00831FF9"/>
    <w:rsid w:val="008321DB"/>
    <w:rsid w:val="00832B8E"/>
    <w:rsid w:val="00832F58"/>
    <w:rsid w:val="008331E9"/>
    <w:rsid w:val="008338A8"/>
    <w:rsid w:val="008349F8"/>
    <w:rsid w:val="00834D29"/>
    <w:rsid w:val="00834F54"/>
    <w:rsid w:val="00834FCB"/>
    <w:rsid w:val="00835630"/>
    <w:rsid w:val="008361FC"/>
    <w:rsid w:val="0083628D"/>
    <w:rsid w:val="00836781"/>
    <w:rsid w:val="00836E1E"/>
    <w:rsid w:val="00836E27"/>
    <w:rsid w:val="0083711D"/>
    <w:rsid w:val="00837263"/>
    <w:rsid w:val="008375D3"/>
    <w:rsid w:val="008376D6"/>
    <w:rsid w:val="00837917"/>
    <w:rsid w:val="00837DAE"/>
    <w:rsid w:val="00837F2C"/>
    <w:rsid w:val="0084062C"/>
    <w:rsid w:val="00840765"/>
    <w:rsid w:val="008408ED"/>
    <w:rsid w:val="00840AD3"/>
    <w:rsid w:val="00841218"/>
    <w:rsid w:val="00841A05"/>
    <w:rsid w:val="00841E1E"/>
    <w:rsid w:val="00841FC8"/>
    <w:rsid w:val="00842391"/>
    <w:rsid w:val="00842670"/>
    <w:rsid w:val="00842806"/>
    <w:rsid w:val="00842A4D"/>
    <w:rsid w:val="0084330C"/>
    <w:rsid w:val="00843345"/>
    <w:rsid w:val="00843888"/>
    <w:rsid w:val="00843DD3"/>
    <w:rsid w:val="00844A8F"/>
    <w:rsid w:val="00844F3E"/>
    <w:rsid w:val="00845EE3"/>
    <w:rsid w:val="00845EE9"/>
    <w:rsid w:val="00846292"/>
    <w:rsid w:val="0084736A"/>
    <w:rsid w:val="008505CA"/>
    <w:rsid w:val="0085089F"/>
    <w:rsid w:val="00850A0E"/>
    <w:rsid w:val="0085115B"/>
    <w:rsid w:val="008514E5"/>
    <w:rsid w:val="00851733"/>
    <w:rsid w:val="00851BAA"/>
    <w:rsid w:val="00852113"/>
    <w:rsid w:val="00852151"/>
    <w:rsid w:val="00852162"/>
    <w:rsid w:val="008522E7"/>
    <w:rsid w:val="00852DC0"/>
    <w:rsid w:val="00853057"/>
    <w:rsid w:val="00853310"/>
    <w:rsid w:val="00853592"/>
    <w:rsid w:val="008539C9"/>
    <w:rsid w:val="00853B30"/>
    <w:rsid w:val="00853BD2"/>
    <w:rsid w:val="00854D29"/>
    <w:rsid w:val="008557FF"/>
    <w:rsid w:val="00855AE7"/>
    <w:rsid w:val="00855AFA"/>
    <w:rsid w:val="00855C70"/>
    <w:rsid w:val="00855F74"/>
    <w:rsid w:val="00856403"/>
    <w:rsid w:val="00856490"/>
    <w:rsid w:val="0085689D"/>
    <w:rsid w:val="008569C9"/>
    <w:rsid w:val="0085710E"/>
    <w:rsid w:val="0085711A"/>
    <w:rsid w:val="0085748D"/>
    <w:rsid w:val="00857ABC"/>
    <w:rsid w:val="008600A4"/>
    <w:rsid w:val="00860305"/>
    <w:rsid w:val="008603E4"/>
    <w:rsid w:val="0086050A"/>
    <w:rsid w:val="0086082F"/>
    <w:rsid w:val="00860A26"/>
    <w:rsid w:val="00860F15"/>
    <w:rsid w:val="00861433"/>
    <w:rsid w:val="00861644"/>
    <w:rsid w:val="0086210A"/>
    <w:rsid w:val="00862696"/>
    <w:rsid w:val="00863037"/>
    <w:rsid w:val="008632A2"/>
    <w:rsid w:val="00863586"/>
    <w:rsid w:val="0086362E"/>
    <w:rsid w:val="00863791"/>
    <w:rsid w:val="008638B8"/>
    <w:rsid w:val="00864055"/>
    <w:rsid w:val="0086428B"/>
    <w:rsid w:val="00864891"/>
    <w:rsid w:val="00864F4E"/>
    <w:rsid w:val="00865D30"/>
    <w:rsid w:val="008661C4"/>
    <w:rsid w:val="00866C28"/>
    <w:rsid w:val="00866CBD"/>
    <w:rsid w:val="00867170"/>
    <w:rsid w:val="00867712"/>
    <w:rsid w:val="008677B0"/>
    <w:rsid w:val="00867C35"/>
    <w:rsid w:val="00867C7D"/>
    <w:rsid w:val="00867D63"/>
    <w:rsid w:val="00867ECF"/>
    <w:rsid w:val="008703EE"/>
    <w:rsid w:val="008706AF"/>
    <w:rsid w:val="00870A79"/>
    <w:rsid w:val="00870BA9"/>
    <w:rsid w:val="00871203"/>
    <w:rsid w:val="00871345"/>
    <w:rsid w:val="00872111"/>
    <w:rsid w:val="00872A8A"/>
    <w:rsid w:val="00872B43"/>
    <w:rsid w:val="00872D3C"/>
    <w:rsid w:val="008737A9"/>
    <w:rsid w:val="00873B8F"/>
    <w:rsid w:val="00873D82"/>
    <w:rsid w:val="008742D7"/>
    <w:rsid w:val="00874380"/>
    <w:rsid w:val="00874F72"/>
    <w:rsid w:val="008755F1"/>
    <w:rsid w:val="008759A5"/>
    <w:rsid w:val="00875A8A"/>
    <w:rsid w:val="00875EBF"/>
    <w:rsid w:val="008766F2"/>
    <w:rsid w:val="00876781"/>
    <w:rsid w:val="00876D2E"/>
    <w:rsid w:val="00876D57"/>
    <w:rsid w:val="00876D74"/>
    <w:rsid w:val="008772FD"/>
    <w:rsid w:val="00880002"/>
    <w:rsid w:val="008800E4"/>
    <w:rsid w:val="0088049A"/>
    <w:rsid w:val="0088064C"/>
    <w:rsid w:val="00881311"/>
    <w:rsid w:val="008814DC"/>
    <w:rsid w:val="0088180D"/>
    <w:rsid w:val="00882653"/>
    <w:rsid w:val="008832AF"/>
    <w:rsid w:val="0088346B"/>
    <w:rsid w:val="00883706"/>
    <w:rsid w:val="00883BE8"/>
    <w:rsid w:val="00883BFD"/>
    <w:rsid w:val="0088409B"/>
    <w:rsid w:val="008844DE"/>
    <w:rsid w:val="0088459C"/>
    <w:rsid w:val="0088478A"/>
    <w:rsid w:val="00884B8E"/>
    <w:rsid w:val="00885368"/>
    <w:rsid w:val="008857BF"/>
    <w:rsid w:val="0088638B"/>
    <w:rsid w:val="008867A8"/>
    <w:rsid w:val="00886808"/>
    <w:rsid w:val="00886950"/>
    <w:rsid w:val="00886EE3"/>
    <w:rsid w:val="008871C6"/>
    <w:rsid w:val="00887220"/>
    <w:rsid w:val="0088769B"/>
    <w:rsid w:val="00887954"/>
    <w:rsid w:val="00890745"/>
    <w:rsid w:val="00890906"/>
    <w:rsid w:val="00890A44"/>
    <w:rsid w:val="008917E9"/>
    <w:rsid w:val="00891A1C"/>
    <w:rsid w:val="00891A72"/>
    <w:rsid w:val="00891B4C"/>
    <w:rsid w:val="008931BD"/>
    <w:rsid w:val="008933E9"/>
    <w:rsid w:val="00893891"/>
    <w:rsid w:val="00893921"/>
    <w:rsid w:val="00893CA3"/>
    <w:rsid w:val="00893CCA"/>
    <w:rsid w:val="00894AB2"/>
    <w:rsid w:val="00895B16"/>
    <w:rsid w:val="00896F0B"/>
    <w:rsid w:val="00896FE9"/>
    <w:rsid w:val="008970C0"/>
    <w:rsid w:val="008971B6"/>
    <w:rsid w:val="00897652"/>
    <w:rsid w:val="00897959"/>
    <w:rsid w:val="008A02BD"/>
    <w:rsid w:val="008A0A6C"/>
    <w:rsid w:val="008A11A4"/>
    <w:rsid w:val="008A1346"/>
    <w:rsid w:val="008A162C"/>
    <w:rsid w:val="008A1646"/>
    <w:rsid w:val="008A1700"/>
    <w:rsid w:val="008A17F0"/>
    <w:rsid w:val="008A1E63"/>
    <w:rsid w:val="008A1EBC"/>
    <w:rsid w:val="008A2074"/>
    <w:rsid w:val="008A2CF1"/>
    <w:rsid w:val="008A3132"/>
    <w:rsid w:val="008A332B"/>
    <w:rsid w:val="008A4469"/>
    <w:rsid w:val="008A5B71"/>
    <w:rsid w:val="008A5C9F"/>
    <w:rsid w:val="008A6186"/>
    <w:rsid w:val="008A668A"/>
    <w:rsid w:val="008A66D5"/>
    <w:rsid w:val="008B0448"/>
    <w:rsid w:val="008B0468"/>
    <w:rsid w:val="008B0587"/>
    <w:rsid w:val="008B0612"/>
    <w:rsid w:val="008B0938"/>
    <w:rsid w:val="008B0CE3"/>
    <w:rsid w:val="008B1394"/>
    <w:rsid w:val="008B1599"/>
    <w:rsid w:val="008B1AA1"/>
    <w:rsid w:val="008B1B2E"/>
    <w:rsid w:val="008B2045"/>
    <w:rsid w:val="008B24F7"/>
    <w:rsid w:val="008B2527"/>
    <w:rsid w:val="008B266B"/>
    <w:rsid w:val="008B26C1"/>
    <w:rsid w:val="008B2E2B"/>
    <w:rsid w:val="008B3137"/>
    <w:rsid w:val="008B39ED"/>
    <w:rsid w:val="008B4093"/>
    <w:rsid w:val="008B41BC"/>
    <w:rsid w:val="008B48AF"/>
    <w:rsid w:val="008B4B12"/>
    <w:rsid w:val="008B4D10"/>
    <w:rsid w:val="008B4D5E"/>
    <w:rsid w:val="008B4F3A"/>
    <w:rsid w:val="008B5789"/>
    <w:rsid w:val="008B579E"/>
    <w:rsid w:val="008B5896"/>
    <w:rsid w:val="008B5904"/>
    <w:rsid w:val="008B5BB6"/>
    <w:rsid w:val="008B60D4"/>
    <w:rsid w:val="008B62C8"/>
    <w:rsid w:val="008B7DC7"/>
    <w:rsid w:val="008C05A5"/>
    <w:rsid w:val="008C0ECC"/>
    <w:rsid w:val="008C146D"/>
    <w:rsid w:val="008C1845"/>
    <w:rsid w:val="008C1AAB"/>
    <w:rsid w:val="008C2014"/>
    <w:rsid w:val="008C20C8"/>
    <w:rsid w:val="008C243A"/>
    <w:rsid w:val="008C2B69"/>
    <w:rsid w:val="008C2C35"/>
    <w:rsid w:val="008C2D57"/>
    <w:rsid w:val="008C3341"/>
    <w:rsid w:val="008C38BB"/>
    <w:rsid w:val="008C3995"/>
    <w:rsid w:val="008C416F"/>
    <w:rsid w:val="008C4E01"/>
    <w:rsid w:val="008C575D"/>
    <w:rsid w:val="008C65C8"/>
    <w:rsid w:val="008C671E"/>
    <w:rsid w:val="008C6D6B"/>
    <w:rsid w:val="008C6D6E"/>
    <w:rsid w:val="008C71DC"/>
    <w:rsid w:val="008C71E9"/>
    <w:rsid w:val="008C73C1"/>
    <w:rsid w:val="008C7764"/>
    <w:rsid w:val="008C77BE"/>
    <w:rsid w:val="008C7D3D"/>
    <w:rsid w:val="008D0731"/>
    <w:rsid w:val="008D0F63"/>
    <w:rsid w:val="008D12B0"/>
    <w:rsid w:val="008D13E6"/>
    <w:rsid w:val="008D1585"/>
    <w:rsid w:val="008D16D2"/>
    <w:rsid w:val="008D1725"/>
    <w:rsid w:val="008D1C74"/>
    <w:rsid w:val="008D1C88"/>
    <w:rsid w:val="008D1F07"/>
    <w:rsid w:val="008D3767"/>
    <w:rsid w:val="008D393A"/>
    <w:rsid w:val="008D3DBA"/>
    <w:rsid w:val="008D412B"/>
    <w:rsid w:val="008D41DA"/>
    <w:rsid w:val="008D4730"/>
    <w:rsid w:val="008D4A6D"/>
    <w:rsid w:val="008D4EBD"/>
    <w:rsid w:val="008D5975"/>
    <w:rsid w:val="008D5E42"/>
    <w:rsid w:val="008D64A7"/>
    <w:rsid w:val="008D64EE"/>
    <w:rsid w:val="008D6807"/>
    <w:rsid w:val="008D69CA"/>
    <w:rsid w:val="008D6A8F"/>
    <w:rsid w:val="008D7906"/>
    <w:rsid w:val="008D7EA7"/>
    <w:rsid w:val="008D7F22"/>
    <w:rsid w:val="008D7FC6"/>
    <w:rsid w:val="008E01BF"/>
    <w:rsid w:val="008E021C"/>
    <w:rsid w:val="008E073B"/>
    <w:rsid w:val="008E0762"/>
    <w:rsid w:val="008E0D81"/>
    <w:rsid w:val="008E1662"/>
    <w:rsid w:val="008E1AFC"/>
    <w:rsid w:val="008E1B15"/>
    <w:rsid w:val="008E1E19"/>
    <w:rsid w:val="008E209D"/>
    <w:rsid w:val="008E2284"/>
    <w:rsid w:val="008E25F5"/>
    <w:rsid w:val="008E2F63"/>
    <w:rsid w:val="008E310B"/>
    <w:rsid w:val="008E32EE"/>
    <w:rsid w:val="008E33D1"/>
    <w:rsid w:val="008E390F"/>
    <w:rsid w:val="008E3965"/>
    <w:rsid w:val="008E3BB3"/>
    <w:rsid w:val="008E3BC4"/>
    <w:rsid w:val="008E45D9"/>
    <w:rsid w:val="008E4AD4"/>
    <w:rsid w:val="008E4AFC"/>
    <w:rsid w:val="008E62E4"/>
    <w:rsid w:val="008E632B"/>
    <w:rsid w:val="008E6677"/>
    <w:rsid w:val="008E6780"/>
    <w:rsid w:val="008E68A6"/>
    <w:rsid w:val="008E6BF2"/>
    <w:rsid w:val="008E6CB3"/>
    <w:rsid w:val="008E7196"/>
    <w:rsid w:val="008E72C0"/>
    <w:rsid w:val="008E742A"/>
    <w:rsid w:val="008E7888"/>
    <w:rsid w:val="008E7966"/>
    <w:rsid w:val="008E7AD0"/>
    <w:rsid w:val="008E7CC7"/>
    <w:rsid w:val="008E7EA1"/>
    <w:rsid w:val="008F0234"/>
    <w:rsid w:val="008F03AB"/>
    <w:rsid w:val="008F058D"/>
    <w:rsid w:val="008F07DF"/>
    <w:rsid w:val="008F136C"/>
    <w:rsid w:val="008F17A2"/>
    <w:rsid w:val="008F1A92"/>
    <w:rsid w:val="008F1C8A"/>
    <w:rsid w:val="008F1F5D"/>
    <w:rsid w:val="008F204A"/>
    <w:rsid w:val="008F2430"/>
    <w:rsid w:val="008F2CD0"/>
    <w:rsid w:val="008F3049"/>
    <w:rsid w:val="008F3606"/>
    <w:rsid w:val="008F430A"/>
    <w:rsid w:val="008F442B"/>
    <w:rsid w:val="008F4A74"/>
    <w:rsid w:val="008F4C98"/>
    <w:rsid w:val="008F5ED8"/>
    <w:rsid w:val="008F61C1"/>
    <w:rsid w:val="008F6E6D"/>
    <w:rsid w:val="008F7438"/>
    <w:rsid w:val="008F7D4C"/>
    <w:rsid w:val="008FD564"/>
    <w:rsid w:val="009003FB"/>
    <w:rsid w:val="00900D75"/>
    <w:rsid w:val="00900FE7"/>
    <w:rsid w:val="009010CD"/>
    <w:rsid w:val="00901816"/>
    <w:rsid w:val="00901B47"/>
    <w:rsid w:val="00901D3B"/>
    <w:rsid w:val="00902015"/>
    <w:rsid w:val="009021B8"/>
    <w:rsid w:val="009022D6"/>
    <w:rsid w:val="00902C81"/>
    <w:rsid w:val="0090303F"/>
    <w:rsid w:val="009030E1"/>
    <w:rsid w:val="0090372E"/>
    <w:rsid w:val="00903BE8"/>
    <w:rsid w:val="009046EF"/>
    <w:rsid w:val="00904756"/>
    <w:rsid w:val="009048E3"/>
    <w:rsid w:val="00904C09"/>
    <w:rsid w:val="00905449"/>
    <w:rsid w:val="009054C5"/>
    <w:rsid w:val="00905C6A"/>
    <w:rsid w:val="00905CCE"/>
    <w:rsid w:val="00906636"/>
    <w:rsid w:val="00906641"/>
    <w:rsid w:val="00906A32"/>
    <w:rsid w:val="00906F7D"/>
    <w:rsid w:val="0090781D"/>
    <w:rsid w:val="0090792B"/>
    <w:rsid w:val="00907B66"/>
    <w:rsid w:val="00907FF4"/>
    <w:rsid w:val="009108D0"/>
    <w:rsid w:val="00910A10"/>
    <w:rsid w:val="00910B27"/>
    <w:rsid w:val="00910E26"/>
    <w:rsid w:val="00910E2A"/>
    <w:rsid w:val="00911A27"/>
    <w:rsid w:val="00912257"/>
    <w:rsid w:val="0091229D"/>
    <w:rsid w:val="009123DA"/>
    <w:rsid w:val="00912BC6"/>
    <w:rsid w:val="00912CAC"/>
    <w:rsid w:val="00912FD9"/>
    <w:rsid w:val="009139C4"/>
    <w:rsid w:val="00913CD2"/>
    <w:rsid w:val="009147DD"/>
    <w:rsid w:val="009162F9"/>
    <w:rsid w:val="0091665E"/>
    <w:rsid w:val="00917DBB"/>
    <w:rsid w:val="009201D2"/>
    <w:rsid w:val="009203BB"/>
    <w:rsid w:val="00920CEC"/>
    <w:rsid w:val="009212D2"/>
    <w:rsid w:val="009212EE"/>
    <w:rsid w:val="00921585"/>
    <w:rsid w:val="0092176A"/>
    <w:rsid w:val="0092192E"/>
    <w:rsid w:val="00921B3F"/>
    <w:rsid w:val="009227B8"/>
    <w:rsid w:val="009236D7"/>
    <w:rsid w:val="00923727"/>
    <w:rsid w:val="00923B9F"/>
    <w:rsid w:val="00924942"/>
    <w:rsid w:val="00925109"/>
    <w:rsid w:val="00925208"/>
    <w:rsid w:val="009259D9"/>
    <w:rsid w:val="00925C6B"/>
    <w:rsid w:val="00925CD1"/>
    <w:rsid w:val="0092613D"/>
    <w:rsid w:val="00926310"/>
    <w:rsid w:val="009264AB"/>
    <w:rsid w:val="00926C99"/>
    <w:rsid w:val="009272A9"/>
    <w:rsid w:val="009307B2"/>
    <w:rsid w:val="00930B56"/>
    <w:rsid w:val="00931786"/>
    <w:rsid w:val="00932E8F"/>
    <w:rsid w:val="00932FBD"/>
    <w:rsid w:val="00933269"/>
    <w:rsid w:val="00933AB1"/>
    <w:rsid w:val="00934720"/>
    <w:rsid w:val="0093497B"/>
    <w:rsid w:val="009357EC"/>
    <w:rsid w:val="0093620B"/>
    <w:rsid w:val="009367D1"/>
    <w:rsid w:val="00937329"/>
    <w:rsid w:val="00937557"/>
    <w:rsid w:val="00937F9D"/>
    <w:rsid w:val="0094039F"/>
    <w:rsid w:val="00940BDD"/>
    <w:rsid w:val="00941485"/>
    <w:rsid w:val="009414D8"/>
    <w:rsid w:val="009416E6"/>
    <w:rsid w:val="009418DD"/>
    <w:rsid w:val="00941CFC"/>
    <w:rsid w:val="009424E2"/>
    <w:rsid w:val="00942594"/>
    <w:rsid w:val="00942980"/>
    <w:rsid w:val="00942C1A"/>
    <w:rsid w:val="00943028"/>
    <w:rsid w:val="009438F0"/>
    <w:rsid w:val="00944741"/>
    <w:rsid w:val="00944AA8"/>
    <w:rsid w:val="00944B87"/>
    <w:rsid w:val="00944E67"/>
    <w:rsid w:val="00945A1C"/>
    <w:rsid w:val="00945AA7"/>
    <w:rsid w:val="00945C82"/>
    <w:rsid w:val="009467FD"/>
    <w:rsid w:val="00946845"/>
    <w:rsid w:val="00946E54"/>
    <w:rsid w:val="009471AE"/>
    <w:rsid w:val="009471C8"/>
    <w:rsid w:val="0094720C"/>
    <w:rsid w:val="00947362"/>
    <w:rsid w:val="0094751A"/>
    <w:rsid w:val="00947788"/>
    <w:rsid w:val="00947833"/>
    <w:rsid w:val="009478BA"/>
    <w:rsid w:val="00947E14"/>
    <w:rsid w:val="00950EF5"/>
    <w:rsid w:val="009519A7"/>
    <w:rsid w:val="00951B0B"/>
    <w:rsid w:val="0095242F"/>
    <w:rsid w:val="0095309D"/>
    <w:rsid w:val="009531E8"/>
    <w:rsid w:val="00953B71"/>
    <w:rsid w:val="00953ECA"/>
    <w:rsid w:val="009543C4"/>
    <w:rsid w:val="00954459"/>
    <w:rsid w:val="00954EA1"/>
    <w:rsid w:val="009554AC"/>
    <w:rsid w:val="009558F2"/>
    <w:rsid w:val="00955925"/>
    <w:rsid w:val="00955E7C"/>
    <w:rsid w:val="00955F92"/>
    <w:rsid w:val="0095641D"/>
    <w:rsid w:val="00956675"/>
    <w:rsid w:val="00956E0D"/>
    <w:rsid w:val="00956EDB"/>
    <w:rsid w:val="00957250"/>
    <w:rsid w:val="009572D4"/>
    <w:rsid w:val="009575FF"/>
    <w:rsid w:val="00957806"/>
    <w:rsid w:val="00957B8B"/>
    <w:rsid w:val="00960B37"/>
    <w:rsid w:val="00961390"/>
    <w:rsid w:val="00961E80"/>
    <w:rsid w:val="009628D9"/>
    <w:rsid w:val="00962B34"/>
    <w:rsid w:val="00962D9A"/>
    <w:rsid w:val="00962EBD"/>
    <w:rsid w:val="0096318E"/>
    <w:rsid w:val="00963575"/>
    <w:rsid w:val="00963AF7"/>
    <w:rsid w:val="00964590"/>
    <w:rsid w:val="00964BFB"/>
    <w:rsid w:val="0096508F"/>
    <w:rsid w:val="00965229"/>
    <w:rsid w:val="009656FF"/>
    <w:rsid w:val="00965D9A"/>
    <w:rsid w:val="00965E69"/>
    <w:rsid w:val="0096600D"/>
    <w:rsid w:val="009666A6"/>
    <w:rsid w:val="00966A16"/>
    <w:rsid w:val="00966CC0"/>
    <w:rsid w:val="0096760E"/>
    <w:rsid w:val="00967728"/>
    <w:rsid w:val="0096793F"/>
    <w:rsid w:val="00967C93"/>
    <w:rsid w:val="0097051D"/>
    <w:rsid w:val="009705E3"/>
    <w:rsid w:val="009706FC"/>
    <w:rsid w:val="00970D3C"/>
    <w:rsid w:val="009712F2"/>
    <w:rsid w:val="009724D7"/>
    <w:rsid w:val="009727BE"/>
    <w:rsid w:val="00972F76"/>
    <w:rsid w:val="009731F3"/>
    <w:rsid w:val="009734D9"/>
    <w:rsid w:val="009743C0"/>
    <w:rsid w:val="00974708"/>
    <w:rsid w:val="00974949"/>
    <w:rsid w:val="0097525F"/>
    <w:rsid w:val="00976077"/>
    <w:rsid w:val="00976149"/>
    <w:rsid w:val="0097660E"/>
    <w:rsid w:val="0097674A"/>
    <w:rsid w:val="00977495"/>
    <w:rsid w:val="009774EA"/>
    <w:rsid w:val="00977B55"/>
    <w:rsid w:val="00977DD8"/>
    <w:rsid w:val="00980C32"/>
    <w:rsid w:val="00980D2B"/>
    <w:rsid w:val="00981098"/>
    <w:rsid w:val="009811AA"/>
    <w:rsid w:val="0098272D"/>
    <w:rsid w:val="009827BE"/>
    <w:rsid w:val="009828B4"/>
    <w:rsid w:val="00982CE5"/>
    <w:rsid w:val="00982D23"/>
    <w:rsid w:val="009836CB"/>
    <w:rsid w:val="0098381F"/>
    <w:rsid w:val="00983C45"/>
    <w:rsid w:val="00983E32"/>
    <w:rsid w:val="00983EF8"/>
    <w:rsid w:val="00985105"/>
    <w:rsid w:val="00985243"/>
    <w:rsid w:val="00986869"/>
    <w:rsid w:val="00986A7D"/>
    <w:rsid w:val="00986C8C"/>
    <w:rsid w:val="00987487"/>
    <w:rsid w:val="00987CF4"/>
    <w:rsid w:val="009903AE"/>
    <w:rsid w:val="00990405"/>
    <w:rsid w:val="00990591"/>
    <w:rsid w:val="00990C03"/>
    <w:rsid w:val="00990D16"/>
    <w:rsid w:val="00991155"/>
    <w:rsid w:val="0099119F"/>
    <w:rsid w:val="009911D6"/>
    <w:rsid w:val="00991311"/>
    <w:rsid w:val="00991357"/>
    <w:rsid w:val="0099164B"/>
    <w:rsid w:val="00991B42"/>
    <w:rsid w:val="009920AB"/>
    <w:rsid w:val="00992126"/>
    <w:rsid w:val="00992138"/>
    <w:rsid w:val="00992204"/>
    <w:rsid w:val="00992649"/>
    <w:rsid w:val="009927BE"/>
    <w:rsid w:val="00992856"/>
    <w:rsid w:val="0099292F"/>
    <w:rsid w:val="00992E38"/>
    <w:rsid w:val="009931C8"/>
    <w:rsid w:val="009934EF"/>
    <w:rsid w:val="00993872"/>
    <w:rsid w:val="00993B82"/>
    <w:rsid w:val="00994368"/>
    <w:rsid w:val="009946E6"/>
    <w:rsid w:val="00994BD8"/>
    <w:rsid w:val="00994E95"/>
    <w:rsid w:val="009950AA"/>
    <w:rsid w:val="009952E3"/>
    <w:rsid w:val="00995326"/>
    <w:rsid w:val="00995828"/>
    <w:rsid w:val="00997434"/>
    <w:rsid w:val="00997AF9"/>
    <w:rsid w:val="00997CA5"/>
    <w:rsid w:val="009A0121"/>
    <w:rsid w:val="009A0A6C"/>
    <w:rsid w:val="009A0B5E"/>
    <w:rsid w:val="009A0BB3"/>
    <w:rsid w:val="009A13E9"/>
    <w:rsid w:val="009A1BB9"/>
    <w:rsid w:val="009A2232"/>
    <w:rsid w:val="009A2743"/>
    <w:rsid w:val="009A2E23"/>
    <w:rsid w:val="009A313A"/>
    <w:rsid w:val="009A3966"/>
    <w:rsid w:val="009A3A82"/>
    <w:rsid w:val="009A3B4B"/>
    <w:rsid w:val="009A3C32"/>
    <w:rsid w:val="009A4BE0"/>
    <w:rsid w:val="009A4D19"/>
    <w:rsid w:val="009A4DC4"/>
    <w:rsid w:val="009A5580"/>
    <w:rsid w:val="009A5762"/>
    <w:rsid w:val="009A57A5"/>
    <w:rsid w:val="009A6153"/>
    <w:rsid w:val="009A61BA"/>
    <w:rsid w:val="009A62A8"/>
    <w:rsid w:val="009A6720"/>
    <w:rsid w:val="009A6847"/>
    <w:rsid w:val="009A68AA"/>
    <w:rsid w:val="009A69ED"/>
    <w:rsid w:val="009A6D34"/>
    <w:rsid w:val="009A7361"/>
    <w:rsid w:val="009A7410"/>
    <w:rsid w:val="009A7B5A"/>
    <w:rsid w:val="009A7EDF"/>
    <w:rsid w:val="009B00EA"/>
    <w:rsid w:val="009B0A30"/>
    <w:rsid w:val="009B0D6D"/>
    <w:rsid w:val="009B1608"/>
    <w:rsid w:val="009B18F9"/>
    <w:rsid w:val="009B2464"/>
    <w:rsid w:val="009B289C"/>
    <w:rsid w:val="009B28AB"/>
    <w:rsid w:val="009B29ED"/>
    <w:rsid w:val="009B2B55"/>
    <w:rsid w:val="009B464B"/>
    <w:rsid w:val="009B49FC"/>
    <w:rsid w:val="009B4B5A"/>
    <w:rsid w:val="009B4EFA"/>
    <w:rsid w:val="009B501E"/>
    <w:rsid w:val="009B5279"/>
    <w:rsid w:val="009B592D"/>
    <w:rsid w:val="009B5B69"/>
    <w:rsid w:val="009B6B13"/>
    <w:rsid w:val="009B7161"/>
    <w:rsid w:val="009B716D"/>
    <w:rsid w:val="009B7193"/>
    <w:rsid w:val="009B761E"/>
    <w:rsid w:val="009B7897"/>
    <w:rsid w:val="009BA795"/>
    <w:rsid w:val="009C025B"/>
    <w:rsid w:val="009C02A0"/>
    <w:rsid w:val="009C02F6"/>
    <w:rsid w:val="009C07D1"/>
    <w:rsid w:val="009C09FF"/>
    <w:rsid w:val="009C11C7"/>
    <w:rsid w:val="009C1650"/>
    <w:rsid w:val="009C1678"/>
    <w:rsid w:val="009C21A7"/>
    <w:rsid w:val="009C266C"/>
    <w:rsid w:val="009C2CC1"/>
    <w:rsid w:val="009C327D"/>
    <w:rsid w:val="009C32EF"/>
    <w:rsid w:val="009C390B"/>
    <w:rsid w:val="009C395D"/>
    <w:rsid w:val="009C3A77"/>
    <w:rsid w:val="009C3BF4"/>
    <w:rsid w:val="009C42CC"/>
    <w:rsid w:val="009C44D3"/>
    <w:rsid w:val="009C4BFA"/>
    <w:rsid w:val="009C5411"/>
    <w:rsid w:val="009C6378"/>
    <w:rsid w:val="009C66D8"/>
    <w:rsid w:val="009C6749"/>
    <w:rsid w:val="009C7268"/>
    <w:rsid w:val="009C7540"/>
    <w:rsid w:val="009C7BEC"/>
    <w:rsid w:val="009D0ABF"/>
    <w:rsid w:val="009D0C10"/>
    <w:rsid w:val="009D1729"/>
    <w:rsid w:val="009D17B3"/>
    <w:rsid w:val="009D1C54"/>
    <w:rsid w:val="009D2003"/>
    <w:rsid w:val="009D2228"/>
    <w:rsid w:val="009D2232"/>
    <w:rsid w:val="009D2630"/>
    <w:rsid w:val="009D2CD3"/>
    <w:rsid w:val="009D2F52"/>
    <w:rsid w:val="009D3304"/>
    <w:rsid w:val="009D36EC"/>
    <w:rsid w:val="009D3F80"/>
    <w:rsid w:val="009D5A02"/>
    <w:rsid w:val="009D5CAD"/>
    <w:rsid w:val="009D5CF4"/>
    <w:rsid w:val="009D605B"/>
    <w:rsid w:val="009D6B3A"/>
    <w:rsid w:val="009D7002"/>
    <w:rsid w:val="009D70CF"/>
    <w:rsid w:val="009D74A4"/>
    <w:rsid w:val="009D750B"/>
    <w:rsid w:val="009D76E7"/>
    <w:rsid w:val="009D7AFC"/>
    <w:rsid w:val="009D7CD5"/>
    <w:rsid w:val="009D7DD0"/>
    <w:rsid w:val="009D7F21"/>
    <w:rsid w:val="009D7FB6"/>
    <w:rsid w:val="009E0027"/>
    <w:rsid w:val="009E03C0"/>
    <w:rsid w:val="009E06E2"/>
    <w:rsid w:val="009E0B61"/>
    <w:rsid w:val="009E0C0E"/>
    <w:rsid w:val="009E0C76"/>
    <w:rsid w:val="009E0E36"/>
    <w:rsid w:val="009E18DA"/>
    <w:rsid w:val="009E1AFC"/>
    <w:rsid w:val="009E20E3"/>
    <w:rsid w:val="009E219A"/>
    <w:rsid w:val="009E2380"/>
    <w:rsid w:val="009E2829"/>
    <w:rsid w:val="009E2AD1"/>
    <w:rsid w:val="009E2D34"/>
    <w:rsid w:val="009E3286"/>
    <w:rsid w:val="009E3BBB"/>
    <w:rsid w:val="009E3BD7"/>
    <w:rsid w:val="009E4654"/>
    <w:rsid w:val="009E4946"/>
    <w:rsid w:val="009E4A27"/>
    <w:rsid w:val="009E5412"/>
    <w:rsid w:val="009E5B6C"/>
    <w:rsid w:val="009E5D3D"/>
    <w:rsid w:val="009E66C8"/>
    <w:rsid w:val="009E676D"/>
    <w:rsid w:val="009E6CD4"/>
    <w:rsid w:val="009E72E2"/>
    <w:rsid w:val="009E7485"/>
    <w:rsid w:val="009E766F"/>
    <w:rsid w:val="009E7670"/>
    <w:rsid w:val="009E7705"/>
    <w:rsid w:val="009E7E84"/>
    <w:rsid w:val="009F02B3"/>
    <w:rsid w:val="009F04F5"/>
    <w:rsid w:val="009F0F16"/>
    <w:rsid w:val="009F16EF"/>
    <w:rsid w:val="009F287A"/>
    <w:rsid w:val="009F2BA6"/>
    <w:rsid w:val="009F2FB1"/>
    <w:rsid w:val="009F3036"/>
    <w:rsid w:val="009F3CFA"/>
    <w:rsid w:val="009F3EE1"/>
    <w:rsid w:val="009F4F89"/>
    <w:rsid w:val="009F4FBF"/>
    <w:rsid w:val="009F507A"/>
    <w:rsid w:val="009F529E"/>
    <w:rsid w:val="009F5D25"/>
    <w:rsid w:val="009F6463"/>
    <w:rsid w:val="009F7127"/>
    <w:rsid w:val="009F7290"/>
    <w:rsid w:val="009F7C62"/>
    <w:rsid w:val="00A0029E"/>
    <w:rsid w:val="00A013F8"/>
    <w:rsid w:val="00A0145F"/>
    <w:rsid w:val="00A01D30"/>
    <w:rsid w:val="00A02677"/>
    <w:rsid w:val="00A02974"/>
    <w:rsid w:val="00A02E06"/>
    <w:rsid w:val="00A03009"/>
    <w:rsid w:val="00A034D6"/>
    <w:rsid w:val="00A03958"/>
    <w:rsid w:val="00A03C4C"/>
    <w:rsid w:val="00A03D89"/>
    <w:rsid w:val="00A043D2"/>
    <w:rsid w:val="00A044FB"/>
    <w:rsid w:val="00A05030"/>
    <w:rsid w:val="00A05805"/>
    <w:rsid w:val="00A05E2E"/>
    <w:rsid w:val="00A06937"/>
    <w:rsid w:val="00A069E1"/>
    <w:rsid w:val="00A07147"/>
    <w:rsid w:val="00A07258"/>
    <w:rsid w:val="00A076D6"/>
    <w:rsid w:val="00A077B2"/>
    <w:rsid w:val="00A07896"/>
    <w:rsid w:val="00A07988"/>
    <w:rsid w:val="00A1038C"/>
    <w:rsid w:val="00A10CAB"/>
    <w:rsid w:val="00A10D4A"/>
    <w:rsid w:val="00A10DD3"/>
    <w:rsid w:val="00A1145D"/>
    <w:rsid w:val="00A12BD6"/>
    <w:rsid w:val="00A13248"/>
    <w:rsid w:val="00A13513"/>
    <w:rsid w:val="00A1369D"/>
    <w:rsid w:val="00A13790"/>
    <w:rsid w:val="00A1380D"/>
    <w:rsid w:val="00A13B35"/>
    <w:rsid w:val="00A13DF2"/>
    <w:rsid w:val="00A14313"/>
    <w:rsid w:val="00A15591"/>
    <w:rsid w:val="00A15CDC"/>
    <w:rsid w:val="00A1641E"/>
    <w:rsid w:val="00A164AB"/>
    <w:rsid w:val="00A16572"/>
    <w:rsid w:val="00A16626"/>
    <w:rsid w:val="00A177A0"/>
    <w:rsid w:val="00A200AF"/>
    <w:rsid w:val="00A2100B"/>
    <w:rsid w:val="00A21523"/>
    <w:rsid w:val="00A217CB"/>
    <w:rsid w:val="00A21ED4"/>
    <w:rsid w:val="00A223E3"/>
    <w:rsid w:val="00A224FF"/>
    <w:rsid w:val="00A22F69"/>
    <w:rsid w:val="00A23023"/>
    <w:rsid w:val="00A23612"/>
    <w:rsid w:val="00A23F8D"/>
    <w:rsid w:val="00A243C0"/>
    <w:rsid w:val="00A24500"/>
    <w:rsid w:val="00A2489B"/>
    <w:rsid w:val="00A24C57"/>
    <w:rsid w:val="00A2506A"/>
    <w:rsid w:val="00A25688"/>
    <w:rsid w:val="00A2599C"/>
    <w:rsid w:val="00A25DBD"/>
    <w:rsid w:val="00A25E7C"/>
    <w:rsid w:val="00A25F3C"/>
    <w:rsid w:val="00A263AB"/>
    <w:rsid w:val="00A26449"/>
    <w:rsid w:val="00A26469"/>
    <w:rsid w:val="00A2681D"/>
    <w:rsid w:val="00A26A6F"/>
    <w:rsid w:val="00A26B6F"/>
    <w:rsid w:val="00A26DD6"/>
    <w:rsid w:val="00A27475"/>
    <w:rsid w:val="00A2766A"/>
    <w:rsid w:val="00A2798C"/>
    <w:rsid w:val="00A3018E"/>
    <w:rsid w:val="00A303E2"/>
    <w:rsid w:val="00A3158C"/>
    <w:rsid w:val="00A3162B"/>
    <w:rsid w:val="00A31874"/>
    <w:rsid w:val="00A3214B"/>
    <w:rsid w:val="00A32586"/>
    <w:rsid w:val="00A3294B"/>
    <w:rsid w:val="00A32E25"/>
    <w:rsid w:val="00A33172"/>
    <w:rsid w:val="00A3351C"/>
    <w:rsid w:val="00A3419F"/>
    <w:rsid w:val="00A343BC"/>
    <w:rsid w:val="00A34759"/>
    <w:rsid w:val="00A34973"/>
    <w:rsid w:val="00A35255"/>
    <w:rsid w:val="00A36263"/>
    <w:rsid w:val="00A366CE"/>
    <w:rsid w:val="00A36BC7"/>
    <w:rsid w:val="00A36C76"/>
    <w:rsid w:val="00A36DFF"/>
    <w:rsid w:val="00A36F32"/>
    <w:rsid w:val="00A37112"/>
    <w:rsid w:val="00A373ED"/>
    <w:rsid w:val="00A377C0"/>
    <w:rsid w:val="00A40215"/>
    <w:rsid w:val="00A40880"/>
    <w:rsid w:val="00A417F1"/>
    <w:rsid w:val="00A41DBA"/>
    <w:rsid w:val="00A422CF"/>
    <w:rsid w:val="00A439BF"/>
    <w:rsid w:val="00A43FF1"/>
    <w:rsid w:val="00A44466"/>
    <w:rsid w:val="00A44B5D"/>
    <w:rsid w:val="00A44C5A"/>
    <w:rsid w:val="00A44D35"/>
    <w:rsid w:val="00A453AC"/>
    <w:rsid w:val="00A455BA"/>
    <w:rsid w:val="00A45728"/>
    <w:rsid w:val="00A4586D"/>
    <w:rsid w:val="00A4598B"/>
    <w:rsid w:val="00A459BB"/>
    <w:rsid w:val="00A45C88"/>
    <w:rsid w:val="00A45DDE"/>
    <w:rsid w:val="00A46458"/>
    <w:rsid w:val="00A46C9E"/>
    <w:rsid w:val="00A46CDA"/>
    <w:rsid w:val="00A471BE"/>
    <w:rsid w:val="00A4728A"/>
    <w:rsid w:val="00A47D91"/>
    <w:rsid w:val="00A47DD5"/>
    <w:rsid w:val="00A47E55"/>
    <w:rsid w:val="00A47FCF"/>
    <w:rsid w:val="00A50381"/>
    <w:rsid w:val="00A503F3"/>
    <w:rsid w:val="00A50542"/>
    <w:rsid w:val="00A50570"/>
    <w:rsid w:val="00A5088D"/>
    <w:rsid w:val="00A50A86"/>
    <w:rsid w:val="00A51245"/>
    <w:rsid w:val="00A512A2"/>
    <w:rsid w:val="00A51A23"/>
    <w:rsid w:val="00A51CEC"/>
    <w:rsid w:val="00A51EE1"/>
    <w:rsid w:val="00A52519"/>
    <w:rsid w:val="00A52885"/>
    <w:rsid w:val="00A52F6A"/>
    <w:rsid w:val="00A53189"/>
    <w:rsid w:val="00A532F0"/>
    <w:rsid w:val="00A53517"/>
    <w:rsid w:val="00A53967"/>
    <w:rsid w:val="00A54117"/>
    <w:rsid w:val="00A545B8"/>
    <w:rsid w:val="00A54E35"/>
    <w:rsid w:val="00A55326"/>
    <w:rsid w:val="00A55594"/>
    <w:rsid w:val="00A556AA"/>
    <w:rsid w:val="00A5599B"/>
    <w:rsid w:val="00A55A8B"/>
    <w:rsid w:val="00A55DC8"/>
    <w:rsid w:val="00A56194"/>
    <w:rsid w:val="00A570D5"/>
    <w:rsid w:val="00A571CA"/>
    <w:rsid w:val="00A60241"/>
    <w:rsid w:val="00A6090B"/>
    <w:rsid w:val="00A60DAC"/>
    <w:rsid w:val="00A60EE3"/>
    <w:rsid w:val="00A61114"/>
    <w:rsid w:val="00A615C7"/>
    <w:rsid w:val="00A61DFF"/>
    <w:rsid w:val="00A62E68"/>
    <w:rsid w:val="00A6322A"/>
    <w:rsid w:val="00A63367"/>
    <w:rsid w:val="00A633E4"/>
    <w:rsid w:val="00A63EF9"/>
    <w:rsid w:val="00A645E8"/>
    <w:rsid w:val="00A64713"/>
    <w:rsid w:val="00A64C6C"/>
    <w:rsid w:val="00A659A8"/>
    <w:rsid w:val="00A66141"/>
    <w:rsid w:val="00A667F8"/>
    <w:rsid w:val="00A66C7F"/>
    <w:rsid w:val="00A66FAF"/>
    <w:rsid w:val="00A6714E"/>
    <w:rsid w:val="00A67E25"/>
    <w:rsid w:val="00A707BD"/>
    <w:rsid w:val="00A7085D"/>
    <w:rsid w:val="00A71076"/>
    <w:rsid w:val="00A71B6B"/>
    <w:rsid w:val="00A7223A"/>
    <w:rsid w:val="00A7260E"/>
    <w:rsid w:val="00A7290A"/>
    <w:rsid w:val="00A72EF8"/>
    <w:rsid w:val="00A7369F"/>
    <w:rsid w:val="00A73A8A"/>
    <w:rsid w:val="00A73F2F"/>
    <w:rsid w:val="00A73FB7"/>
    <w:rsid w:val="00A74439"/>
    <w:rsid w:val="00A74564"/>
    <w:rsid w:val="00A74720"/>
    <w:rsid w:val="00A74AB6"/>
    <w:rsid w:val="00A753AB"/>
    <w:rsid w:val="00A75679"/>
    <w:rsid w:val="00A75E31"/>
    <w:rsid w:val="00A76285"/>
    <w:rsid w:val="00A766D3"/>
    <w:rsid w:val="00A767B7"/>
    <w:rsid w:val="00A76AA1"/>
    <w:rsid w:val="00A76B40"/>
    <w:rsid w:val="00A77096"/>
    <w:rsid w:val="00A77212"/>
    <w:rsid w:val="00A77256"/>
    <w:rsid w:val="00A80733"/>
    <w:rsid w:val="00A808E8"/>
    <w:rsid w:val="00A81461"/>
    <w:rsid w:val="00A81541"/>
    <w:rsid w:val="00A81664"/>
    <w:rsid w:val="00A816C9"/>
    <w:rsid w:val="00A81D4A"/>
    <w:rsid w:val="00A82432"/>
    <w:rsid w:val="00A831D0"/>
    <w:rsid w:val="00A8413C"/>
    <w:rsid w:val="00A844F5"/>
    <w:rsid w:val="00A84BD2"/>
    <w:rsid w:val="00A84C86"/>
    <w:rsid w:val="00A84D53"/>
    <w:rsid w:val="00A8554D"/>
    <w:rsid w:val="00A855E8"/>
    <w:rsid w:val="00A857E4"/>
    <w:rsid w:val="00A85BFE"/>
    <w:rsid w:val="00A86255"/>
    <w:rsid w:val="00A86648"/>
    <w:rsid w:val="00A86DBD"/>
    <w:rsid w:val="00A86F6D"/>
    <w:rsid w:val="00A87318"/>
    <w:rsid w:val="00A87879"/>
    <w:rsid w:val="00A878B8"/>
    <w:rsid w:val="00A87DF5"/>
    <w:rsid w:val="00A90537"/>
    <w:rsid w:val="00A90CAF"/>
    <w:rsid w:val="00A90EEA"/>
    <w:rsid w:val="00A90F24"/>
    <w:rsid w:val="00A91415"/>
    <w:rsid w:val="00A9174F"/>
    <w:rsid w:val="00A91FDD"/>
    <w:rsid w:val="00A921CC"/>
    <w:rsid w:val="00A92344"/>
    <w:rsid w:val="00A9236C"/>
    <w:rsid w:val="00A9236D"/>
    <w:rsid w:val="00A92455"/>
    <w:rsid w:val="00A92A28"/>
    <w:rsid w:val="00A92B1D"/>
    <w:rsid w:val="00A92C3E"/>
    <w:rsid w:val="00A931B9"/>
    <w:rsid w:val="00A93244"/>
    <w:rsid w:val="00A93A4E"/>
    <w:rsid w:val="00A93A78"/>
    <w:rsid w:val="00A9408B"/>
    <w:rsid w:val="00A94174"/>
    <w:rsid w:val="00A94AD4"/>
    <w:rsid w:val="00A9507B"/>
    <w:rsid w:val="00A95B75"/>
    <w:rsid w:val="00A96861"/>
    <w:rsid w:val="00A968DA"/>
    <w:rsid w:val="00A96B44"/>
    <w:rsid w:val="00A96F74"/>
    <w:rsid w:val="00A9710E"/>
    <w:rsid w:val="00A97393"/>
    <w:rsid w:val="00A9746D"/>
    <w:rsid w:val="00A97594"/>
    <w:rsid w:val="00A975C7"/>
    <w:rsid w:val="00A97DE5"/>
    <w:rsid w:val="00AA03DC"/>
    <w:rsid w:val="00AA0608"/>
    <w:rsid w:val="00AA07C6"/>
    <w:rsid w:val="00AA0C5C"/>
    <w:rsid w:val="00AA1617"/>
    <w:rsid w:val="00AA1F3C"/>
    <w:rsid w:val="00AA21DA"/>
    <w:rsid w:val="00AA256F"/>
    <w:rsid w:val="00AA2DFB"/>
    <w:rsid w:val="00AA2EF7"/>
    <w:rsid w:val="00AA346D"/>
    <w:rsid w:val="00AA3830"/>
    <w:rsid w:val="00AA3A54"/>
    <w:rsid w:val="00AA41EC"/>
    <w:rsid w:val="00AA4F4C"/>
    <w:rsid w:val="00AA5ED3"/>
    <w:rsid w:val="00AA6267"/>
    <w:rsid w:val="00AA640D"/>
    <w:rsid w:val="00AA65D9"/>
    <w:rsid w:val="00AA6920"/>
    <w:rsid w:val="00AA6E19"/>
    <w:rsid w:val="00AA7517"/>
    <w:rsid w:val="00AA7F3D"/>
    <w:rsid w:val="00AB000C"/>
    <w:rsid w:val="00AB01D0"/>
    <w:rsid w:val="00AB08A7"/>
    <w:rsid w:val="00AB097F"/>
    <w:rsid w:val="00AB0A41"/>
    <w:rsid w:val="00AB1AE6"/>
    <w:rsid w:val="00AB1C5F"/>
    <w:rsid w:val="00AB1F05"/>
    <w:rsid w:val="00AB2102"/>
    <w:rsid w:val="00AB2521"/>
    <w:rsid w:val="00AB2F40"/>
    <w:rsid w:val="00AB2F93"/>
    <w:rsid w:val="00AB3C8A"/>
    <w:rsid w:val="00AB4923"/>
    <w:rsid w:val="00AB52CA"/>
    <w:rsid w:val="00AB5431"/>
    <w:rsid w:val="00AB6945"/>
    <w:rsid w:val="00AB6D2C"/>
    <w:rsid w:val="00AB724B"/>
    <w:rsid w:val="00AB7252"/>
    <w:rsid w:val="00AB7A8A"/>
    <w:rsid w:val="00AB7C68"/>
    <w:rsid w:val="00AB7E97"/>
    <w:rsid w:val="00AC0014"/>
    <w:rsid w:val="00AC024A"/>
    <w:rsid w:val="00AC0593"/>
    <w:rsid w:val="00AC06B0"/>
    <w:rsid w:val="00AC0EAC"/>
    <w:rsid w:val="00AC162B"/>
    <w:rsid w:val="00AC1669"/>
    <w:rsid w:val="00AC1743"/>
    <w:rsid w:val="00AC187E"/>
    <w:rsid w:val="00AC1D92"/>
    <w:rsid w:val="00AC2097"/>
    <w:rsid w:val="00AC2219"/>
    <w:rsid w:val="00AC22D9"/>
    <w:rsid w:val="00AC2BA6"/>
    <w:rsid w:val="00AC2D09"/>
    <w:rsid w:val="00AC323A"/>
    <w:rsid w:val="00AC337D"/>
    <w:rsid w:val="00AC33CD"/>
    <w:rsid w:val="00AC3852"/>
    <w:rsid w:val="00AC389F"/>
    <w:rsid w:val="00AC3A61"/>
    <w:rsid w:val="00AC3BC6"/>
    <w:rsid w:val="00AC3DA0"/>
    <w:rsid w:val="00AC475D"/>
    <w:rsid w:val="00AC5386"/>
    <w:rsid w:val="00AC55C4"/>
    <w:rsid w:val="00AC579E"/>
    <w:rsid w:val="00AC60D9"/>
    <w:rsid w:val="00AC60ED"/>
    <w:rsid w:val="00AC62A2"/>
    <w:rsid w:val="00AC6A88"/>
    <w:rsid w:val="00AC71E5"/>
    <w:rsid w:val="00AC7AEE"/>
    <w:rsid w:val="00AD0645"/>
    <w:rsid w:val="00AD08D9"/>
    <w:rsid w:val="00AD0BCC"/>
    <w:rsid w:val="00AD0E3C"/>
    <w:rsid w:val="00AD193E"/>
    <w:rsid w:val="00AD2608"/>
    <w:rsid w:val="00AD2AFB"/>
    <w:rsid w:val="00AD32DE"/>
    <w:rsid w:val="00AD3410"/>
    <w:rsid w:val="00AD38E7"/>
    <w:rsid w:val="00AD4151"/>
    <w:rsid w:val="00AD4600"/>
    <w:rsid w:val="00AD4B80"/>
    <w:rsid w:val="00AD4E94"/>
    <w:rsid w:val="00AD5025"/>
    <w:rsid w:val="00AD5245"/>
    <w:rsid w:val="00AD5569"/>
    <w:rsid w:val="00AD6882"/>
    <w:rsid w:val="00AD6E2F"/>
    <w:rsid w:val="00AD708A"/>
    <w:rsid w:val="00AD711A"/>
    <w:rsid w:val="00AE0065"/>
    <w:rsid w:val="00AE02A8"/>
    <w:rsid w:val="00AE0BF9"/>
    <w:rsid w:val="00AE0CF6"/>
    <w:rsid w:val="00AE13C0"/>
    <w:rsid w:val="00AE1454"/>
    <w:rsid w:val="00AE213B"/>
    <w:rsid w:val="00AE2816"/>
    <w:rsid w:val="00AE3218"/>
    <w:rsid w:val="00AE3B15"/>
    <w:rsid w:val="00AE3FE5"/>
    <w:rsid w:val="00AE408E"/>
    <w:rsid w:val="00AE46B3"/>
    <w:rsid w:val="00AE4A3C"/>
    <w:rsid w:val="00AE51A9"/>
    <w:rsid w:val="00AE52A9"/>
    <w:rsid w:val="00AE5E3C"/>
    <w:rsid w:val="00AE5F49"/>
    <w:rsid w:val="00AE6043"/>
    <w:rsid w:val="00AE630B"/>
    <w:rsid w:val="00AE64DF"/>
    <w:rsid w:val="00AE6894"/>
    <w:rsid w:val="00AE69C0"/>
    <w:rsid w:val="00AE6AD5"/>
    <w:rsid w:val="00AE7166"/>
    <w:rsid w:val="00AE7276"/>
    <w:rsid w:val="00AE7291"/>
    <w:rsid w:val="00AE72C5"/>
    <w:rsid w:val="00AE7303"/>
    <w:rsid w:val="00AF13E3"/>
    <w:rsid w:val="00AF275C"/>
    <w:rsid w:val="00AF2C5C"/>
    <w:rsid w:val="00AF2CD5"/>
    <w:rsid w:val="00AF300C"/>
    <w:rsid w:val="00AF319F"/>
    <w:rsid w:val="00AF34F0"/>
    <w:rsid w:val="00AF366D"/>
    <w:rsid w:val="00AF39E3"/>
    <w:rsid w:val="00AF3F57"/>
    <w:rsid w:val="00AF43F4"/>
    <w:rsid w:val="00AF44BA"/>
    <w:rsid w:val="00AF453E"/>
    <w:rsid w:val="00AF47BC"/>
    <w:rsid w:val="00AF4E1A"/>
    <w:rsid w:val="00AF5034"/>
    <w:rsid w:val="00AF5196"/>
    <w:rsid w:val="00AF52FD"/>
    <w:rsid w:val="00AF5428"/>
    <w:rsid w:val="00AF5A90"/>
    <w:rsid w:val="00AF5B15"/>
    <w:rsid w:val="00AF6525"/>
    <w:rsid w:val="00AF719A"/>
    <w:rsid w:val="00AF7A2D"/>
    <w:rsid w:val="00B00447"/>
    <w:rsid w:val="00B005E7"/>
    <w:rsid w:val="00B00C7A"/>
    <w:rsid w:val="00B010FB"/>
    <w:rsid w:val="00B013EE"/>
    <w:rsid w:val="00B01788"/>
    <w:rsid w:val="00B018A0"/>
    <w:rsid w:val="00B022B3"/>
    <w:rsid w:val="00B0278B"/>
    <w:rsid w:val="00B02942"/>
    <w:rsid w:val="00B02A03"/>
    <w:rsid w:val="00B03119"/>
    <w:rsid w:val="00B035D0"/>
    <w:rsid w:val="00B035FD"/>
    <w:rsid w:val="00B03AB6"/>
    <w:rsid w:val="00B03EE6"/>
    <w:rsid w:val="00B03FC0"/>
    <w:rsid w:val="00B042EF"/>
    <w:rsid w:val="00B045EA"/>
    <w:rsid w:val="00B04619"/>
    <w:rsid w:val="00B048F6"/>
    <w:rsid w:val="00B04955"/>
    <w:rsid w:val="00B04E6F"/>
    <w:rsid w:val="00B05099"/>
    <w:rsid w:val="00B069C6"/>
    <w:rsid w:val="00B06AB3"/>
    <w:rsid w:val="00B06AB8"/>
    <w:rsid w:val="00B06EC8"/>
    <w:rsid w:val="00B06F3F"/>
    <w:rsid w:val="00B06F9F"/>
    <w:rsid w:val="00B101B3"/>
    <w:rsid w:val="00B104B6"/>
    <w:rsid w:val="00B10D3C"/>
    <w:rsid w:val="00B10F07"/>
    <w:rsid w:val="00B11113"/>
    <w:rsid w:val="00B113D1"/>
    <w:rsid w:val="00B1143B"/>
    <w:rsid w:val="00B11730"/>
    <w:rsid w:val="00B11CF5"/>
    <w:rsid w:val="00B11D5B"/>
    <w:rsid w:val="00B123C7"/>
    <w:rsid w:val="00B12601"/>
    <w:rsid w:val="00B12815"/>
    <w:rsid w:val="00B128F3"/>
    <w:rsid w:val="00B129BA"/>
    <w:rsid w:val="00B12A80"/>
    <w:rsid w:val="00B1317A"/>
    <w:rsid w:val="00B1351B"/>
    <w:rsid w:val="00B13DF1"/>
    <w:rsid w:val="00B13FAB"/>
    <w:rsid w:val="00B147B8"/>
    <w:rsid w:val="00B14B76"/>
    <w:rsid w:val="00B14CE9"/>
    <w:rsid w:val="00B14CF7"/>
    <w:rsid w:val="00B15268"/>
    <w:rsid w:val="00B15F0B"/>
    <w:rsid w:val="00B16872"/>
    <w:rsid w:val="00B170F9"/>
    <w:rsid w:val="00B17607"/>
    <w:rsid w:val="00B177D4"/>
    <w:rsid w:val="00B17FE0"/>
    <w:rsid w:val="00B203C8"/>
    <w:rsid w:val="00B205D6"/>
    <w:rsid w:val="00B21A14"/>
    <w:rsid w:val="00B21A9E"/>
    <w:rsid w:val="00B21C6F"/>
    <w:rsid w:val="00B2205E"/>
    <w:rsid w:val="00B2213E"/>
    <w:rsid w:val="00B22368"/>
    <w:rsid w:val="00B231F8"/>
    <w:rsid w:val="00B23538"/>
    <w:rsid w:val="00B24518"/>
    <w:rsid w:val="00B245B2"/>
    <w:rsid w:val="00B253F9"/>
    <w:rsid w:val="00B25585"/>
    <w:rsid w:val="00B259A0"/>
    <w:rsid w:val="00B25A2F"/>
    <w:rsid w:val="00B2637C"/>
    <w:rsid w:val="00B26783"/>
    <w:rsid w:val="00B27520"/>
    <w:rsid w:val="00B27609"/>
    <w:rsid w:val="00B27AD2"/>
    <w:rsid w:val="00B27B10"/>
    <w:rsid w:val="00B27B16"/>
    <w:rsid w:val="00B27EAB"/>
    <w:rsid w:val="00B30223"/>
    <w:rsid w:val="00B30532"/>
    <w:rsid w:val="00B30755"/>
    <w:rsid w:val="00B30873"/>
    <w:rsid w:val="00B312FD"/>
    <w:rsid w:val="00B316D8"/>
    <w:rsid w:val="00B32288"/>
    <w:rsid w:val="00B32343"/>
    <w:rsid w:val="00B3286A"/>
    <w:rsid w:val="00B32AEC"/>
    <w:rsid w:val="00B339D3"/>
    <w:rsid w:val="00B3468F"/>
    <w:rsid w:val="00B34FFB"/>
    <w:rsid w:val="00B35428"/>
    <w:rsid w:val="00B35BB9"/>
    <w:rsid w:val="00B35BC7"/>
    <w:rsid w:val="00B35BDA"/>
    <w:rsid w:val="00B360AD"/>
    <w:rsid w:val="00B361D0"/>
    <w:rsid w:val="00B36398"/>
    <w:rsid w:val="00B368DE"/>
    <w:rsid w:val="00B37055"/>
    <w:rsid w:val="00B37240"/>
    <w:rsid w:val="00B37276"/>
    <w:rsid w:val="00B37537"/>
    <w:rsid w:val="00B37ADB"/>
    <w:rsid w:val="00B37CF7"/>
    <w:rsid w:val="00B37D6F"/>
    <w:rsid w:val="00B4018E"/>
    <w:rsid w:val="00B41791"/>
    <w:rsid w:val="00B42034"/>
    <w:rsid w:val="00B42E96"/>
    <w:rsid w:val="00B43A1B"/>
    <w:rsid w:val="00B43E5A"/>
    <w:rsid w:val="00B43E62"/>
    <w:rsid w:val="00B44182"/>
    <w:rsid w:val="00B44306"/>
    <w:rsid w:val="00B44366"/>
    <w:rsid w:val="00B449D9"/>
    <w:rsid w:val="00B44B4D"/>
    <w:rsid w:val="00B44BC8"/>
    <w:rsid w:val="00B44F54"/>
    <w:rsid w:val="00B45508"/>
    <w:rsid w:val="00B45909"/>
    <w:rsid w:val="00B4643E"/>
    <w:rsid w:val="00B46752"/>
    <w:rsid w:val="00B472B4"/>
    <w:rsid w:val="00B479F0"/>
    <w:rsid w:val="00B50287"/>
    <w:rsid w:val="00B5030A"/>
    <w:rsid w:val="00B5037C"/>
    <w:rsid w:val="00B506BB"/>
    <w:rsid w:val="00B50802"/>
    <w:rsid w:val="00B50CCE"/>
    <w:rsid w:val="00B513AC"/>
    <w:rsid w:val="00B519C6"/>
    <w:rsid w:val="00B51B58"/>
    <w:rsid w:val="00B51E8F"/>
    <w:rsid w:val="00B53068"/>
    <w:rsid w:val="00B53392"/>
    <w:rsid w:val="00B53987"/>
    <w:rsid w:val="00B53E77"/>
    <w:rsid w:val="00B543A5"/>
    <w:rsid w:val="00B54DD4"/>
    <w:rsid w:val="00B555B9"/>
    <w:rsid w:val="00B55D3C"/>
    <w:rsid w:val="00B55FA7"/>
    <w:rsid w:val="00B5676A"/>
    <w:rsid w:val="00B56D60"/>
    <w:rsid w:val="00B56E6F"/>
    <w:rsid w:val="00B57104"/>
    <w:rsid w:val="00B57133"/>
    <w:rsid w:val="00B577D5"/>
    <w:rsid w:val="00B57948"/>
    <w:rsid w:val="00B57CB7"/>
    <w:rsid w:val="00B6051B"/>
    <w:rsid w:val="00B60D74"/>
    <w:rsid w:val="00B613BD"/>
    <w:rsid w:val="00B6148C"/>
    <w:rsid w:val="00B61553"/>
    <w:rsid w:val="00B62F21"/>
    <w:rsid w:val="00B632DF"/>
    <w:rsid w:val="00B637ED"/>
    <w:rsid w:val="00B63C1C"/>
    <w:rsid w:val="00B63F2C"/>
    <w:rsid w:val="00B64071"/>
    <w:rsid w:val="00B6461A"/>
    <w:rsid w:val="00B6492E"/>
    <w:rsid w:val="00B64D9A"/>
    <w:rsid w:val="00B64FB4"/>
    <w:rsid w:val="00B651F9"/>
    <w:rsid w:val="00B65616"/>
    <w:rsid w:val="00B65BD1"/>
    <w:rsid w:val="00B66334"/>
    <w:rsid w:val="00B66411"/>
    <w:rsid w:val="00B66A7B"/>
    <w:rsid w:val="00B670CE"/>
    <w:rsid w:val="00B67507"/>
    <w:rsid w:val="00B704C8"/>
    <w:rsid w:val="00B7089A"/>
    <w:rsid w:val="00B71D0B"/>
    <w:rsid w:val="00B72208"/>
    <w:rsid w:val="00B72CFE"/>
    <w:rsid w:val="00B72E72"/>
    <w:rsid w:val="00B73021"/>
    <w:rsid w:val="00B73736"/>
    <w:rsid w:val="00B737E1"/>
    <w:rsid w:val="00B73AAD"/>
    <w:rsid w:val="00B73B12"/>
    <w:rsid w:val="00B73C0A"/>
    <w:rsid w:val="00B73C1F"/>
    <w:rsid w:val="00B741FA"/>
    <w:rsid w:val="00B744C1"/>
    <w:rsid w:val="00B74AB9"/>
    <w:rsid w:val="00B75075"/>
    <w:rsid w:val="00B75120"/>
    <w:rsid w:val="00B75763"/>
    <w:rsid w:val="00B758D0"/>
    <w:rsid w:val="00B75E65"/>
    <w:rsid w:val="00B75E90"/>
    <w:rsid w:val="00B76299"/>
    <w:rsid w:val="00B771FB"/>
    <w:rsid w:val="00B77787"/>
    <w:rsid w:val="00B7796A"/>
    <w:rsid w:val="00B77D87"/>
    <w:rsid w:val="00B8004A"/>
    <w:rsid w:val="00B801C4"/>
    <w:rsid w:val="00B80436"/>
    <w:rsid w:val="00B80547"/>
    <w:rsid w:val="00B80A2F"/>
    <w:rsid w:val="00B80E42"/>
    <w:rsid w:val="00B810EF"/>
    <w:rsid w:val="00B815CC"/>
    <w:rsid w:val="00B822BC"/>
    <w:rsid w:val="00B8250E"/>
    <w:rsid w:val="00B82ADF"/>
    <w:rsid w:val="00B82D51"/>
    <w:rsid w:val="00B83040"/>
    <w:rsid w:val="00B841D9"/>
    <w:rsid w:val="00B84668"/>
    <w:rsid w:val="00B84A59"/>
    <w:rsid w:val="00B84CC0"/>
    <w:rsid w:val="00B857F7"/>
    <w:rsid w:val="00B866CE"/>
    <w:rsid w:val="00B86ACC"/>
    <w:rsid w:val="00B86EDE"/>
    <w:rsid w:val="00B8791C"/>
    <w:rsid w:val="00B87D29"/>
    <w:rsid w:val="00B91224"/>
    <w:rsid w:val="00B9220F"/>
    <w:rsid w:val="00B9227C"/>
    <w:rsid w:val="00B93292"/>
    <w:rsid w:val="00B9356B"/>
    <w:rsid w:val="00B939F9"/>
    <w:rsid w:val="00B93B46"/>
    <w:rsid w:val="00B9423E"/>
    <w:rsid w:val="00B9568E"/>
    <w:rsid w:val="00B957CA"/>
    <w:rsid w:val="00B95911"/>
    <w:rsid w:val="00B959C9"/>
    <w:rsid w:val="00B95C69"/>
    <w:rsid w:val="00B968DA"/>
    <w:rsid w:val="00B96A45"/>
    <w:rsid w:val="00B96B69"/>
    <w:rsid w:val="00B96CCA"/>
    <w:rsid w:val="00B9705F"/>
    <w:rsid w:val="00B97554"/>
    <w:rsid w:val="00BA0619"/>
    <w:rsid w:val="00BA06A0"/>
    <w:rsid w:val="00BA0A34"/>
    <w:rsid w:val="00BA10B0"/>
    <w:rsid w:val="00BA144C"/>
    <w:rsid w:val="00BA14CA"/>
    <w:rsid w:val="00BA1D11"/>
    <w:rsid w:val="00BA1DBF"/>
    <w:rsid w:val="00BA2022"/>
    <w:rsid w:val="00BA21EA"/>
    <w:rsid w:val="00BA247D"/>
    <w:rsid w:val="00BA2ACB"/>
    <w:rsid w:val="00BA2F5D"/>
    <w:rsid w:val="00BA36B9"/>
    <w:rsid w:val="00BA37D1"/>
    <w:rsid w:val="00BA3AC8"/>
    <w:rsid w:val="00BA3C03"/>
    <w:rsid w:val="00BA4402"/>
    <w:rsid w:val="00BA443C"/>
    <w:rsid w:val="00BA46A2"/>
    <w:rsid w:val="00BA59FE"/>
    <w:rsid w:val="00BA5C72"/>
    <w:rsid w:val="00BA6271"/>
    <w:rsid w:val="00BA6889"/>
    <w:rsid w:val="00BA6B75"/>
    <w:rsid w:val="00BA6C5A"/>
    <w:rsid w:val="00BA6E4B"/>
    <w:rsid w:val="00BA7432"/>
    <w:rsid w:val="00BA7D19"/>
    <w:rsid w:val="00BB01B7"/>
    <w:rsid w:val="00BB19BD"/>
    <w:rsid w:val="00BB1BBC"/>
    <w:rsid w:val="00BB1D55"/>
    <w:rsid w:val="00BB1F35"/>
    <w:rsid w:val="00BB2258"/>
    <w:rsid w:val="00BB23A1"/>
    <w:rsid w:val="00BB2660"/>
    <w:rsid w:val="00BB276C"/>
    <w:rsid w:val="00BB279D"/>
    <w:rsid w:val="00BB27CE"/>
    <w:rsid w:val="00BB2A74"/>
    <w:rsid w:val="00BB2B15"/>
    <w:rsid w:val="00BB3552"/>
    <w:rsid w:val="00BB367C"/>
    <w:rsid w:val="00BB3D84"/>
    <w:rsid w:val="00BB3EA1"/>
    <w:rsid w:val="00BB3F44"/>
    <w:rsid w:val="00BB4279"/>
    <w:rsid w:val="00BB439B"/>
    <w:rsid w:val="00BB465E"/>
    <w:rsid w:val="00BB46E6"/>
    <w:rsid w:val="00BB473E"/>
    <w:rsid w:val="00BB4837"/>
    <w:rsid w:val="00BB4CFC"/>
    <w:rsid w:val="00BB54B9"/>
    <w:rsid w:val="00BB5C0C"/>
    <w:rsid w:val="00BB5DCA"/>
    <w:rsid w:val="00BB6592"/>
    <w:rsid w:val="00BB66CC"/>
    <w:rsid w:val="00BB6A3C"/>
    <w:rsid w:val="00BB7024"/>
    <w:rsid w:val="00BB718E"/>
    <w:rsid w:val="00BB71D6"/>
    <w:rsid w:val="00BB75A6"/>
    <w:rsid w:val="00BB7B3A"/>
    <w:rsid w:val="00BC03C2"/>
    <w:rsid w:val="00BC0A57"/>
    <w:rsid w:val="00BC0DAB"/>
    <w:rsid w:val="00BC0FBE"/>
    <w:rsid w:val="00BC191F"/>
    <w:rsid w:val="00BC1F49"/>
    <w:rsid w:val="00BC225D"/>
    <w:rsid w:val="00BC2902"/>
    <w:rsid w:val="00BC2AF3"/>
    <w:rsid w:val="00BC3310"/>
    <w:rsid w:val="00BC365D"/>
    <w:rsid w:val="00BC45D0"/>
    <w:rsid w:val="00BC4C3A"/>
    <w:rsid w:val="00BC4D84"/>
    <w:rsid w:val="00BC523B"/>
    <w:rsid w:val="00BC5A09"/>
    <w:rsid w:val="00BC5DC6"/>
    <w:rsid w:val="00BC6729"/>
    <w:rsid w:val="00BC67A9"/>
    <w:rsid w:val="00BC7003"/>
    <w:rsid w:val="00BC720C"/>
    <w:rsid w:val="00BC72BB"/>
    <w:rsid w:val="00BC7851"/>
    <w:rsid w:val="00BC7B12"/>
    <w:rsid w:val="00BC7F63"/>
    <w:rsid w:val="00BD09FB"/>
    <w:rsid w:val="00BD0ABD"/>
    <w:rsid w:val="00BD0DC2"/>
    <w:rsid w:val="00BD0F6E"/>
    <w:rsid w:val="00BD193D"/>
    <w:rsid w:val="00BD19B3"/>
    <w:rsid w:val="00BD322D"/>
    <w:rsid w:val="00BD3255"/>
    <w:rsid w:val="00BD35A6"/>
    <w:rsid w:val="00BD3C04"/>
    <w:rsid w:val="00BD3CAA"/>
    <w:rsid w:val="00BD43EE"/>
    <w:rsid w:val="00BD4AD3"/>
    <w:rsid w:val="00BD4F1B"/>
    <w:rsid w:val="00BD5039"/>
    <w:rsid w:val="00BD503B"/>
    <w:rsid w:val="00BD523C"/>
    <w:rsid w:val="00BD587A"/>
    <w:rsid w:val="00BD5D8D"/>
    <w:rsid w:val="00BD5DBD"/>
    <w:rsid w:val="00BD64EF"/>
    <w:rsid w:val="00BD6938"/>
    <w:rsid w:val="00BD6DBF"/>
    <w:rsid w:val="00BD7FBC"/>
    <w:rsid w:val="00BE0091"/>
    <w:rsid w:val="00BE0100"/>
    <w:rsid w:val="00BE0479"/>
    <w:rsid w:val="00BE06E0"/>
    <w:rsid w:val="00BE0F7B"/>
    <w:rsid w:val="00BE165B"/>
    <w:rsid w:val="00BE19E0"/>
    <w:rsid w:val="00BE1F2F"/>
    <w:rsid w:val="00BE1F37"/>
    <w:rsid w:val="00BE2E90"/>
    <w:rsid w:val="00BE376A"/>
    <w:rsid w:val="00BE4613"/>
    <w:rsid w:val="00BE4750"/>
    <w:rsid w:val="00BE4896"/>
    <w:rsid w:val="00BE4C19"/>
    <w:rsid w:val="00BE5303"/>
    <w:rsid w:val="00BE53A4"/>
    <w:rsid w:val="00BE5DC9"/>
    <w:rsid w:val="00BE5EA0"/>
    <w:rsid w:val="00BE624D"/>
    <w:rsid w:val="00BE6433"/>
    <w:rsid w:val="00BE7234"/>
    <w:rsid w:val="00BE7CE3"/>
    <w:rsid w:val="00BF0016"/>
    <w:rsid w:val="00BF0031"/>
    <w:rsid w:val="00BF0988"/>
    <w:rsid w:val="00BF0A1C"/>
    <w:rsid w:val="00BF0CDD"/>
    <w:rsid w:val="00BF2834"/>
    <w:rsid w:val="00BF2AD7"/>
    <w:rsid w:val="00BF2DBE"/>
    <w:rsid w:val="00BF3104"/>
    <w:rsid w:val="00BF41EF"/>
    <w:rsid w:val="00BF483D"/>
    <w:rsid w:val="00BF4C05"/>
    <w:rsid w:val="00BF4C1F"/>
    <w:rsid w:val="00BF516A"/>
    <w:rsid w:val="00BF5C3C"/>
    <w:rsid w:val="00BF5D44"/>
    <w:rsid w:val="00BF5DFE"/>
    <w:rsid w:val="00BF679F"/>
    <w:rsid w:val="00BF6A86"/>
    <w:rsid w:val="00BF6C1D"/>
    <w:rsid w:val="00BF6DA8"/>
    <w:rsid w:val="00BF6EFB"/>
    <w:rsid w:val="00BF777B"/>
    <w:rsid w:val="00BF7DED"/>
    <w:rsid w:val="00C000AD"/>
    <w:rsid w:val="00C001E2"/>
    <w:rsid w:val="00C00C23"/>
    <w:rsid w:val="00C00D18"/>
    <w:rsid w:val="00C00D30"/>
    <w:rsid w:val="00C00FCA"/>
    <w:rsid w:val="00C01ACC"/>
    <w:rsid w:val="00C020A6"/>
    <w:rsid w:val="00C02186"/>
    <w:rsid w:val="00C021A9"/>
    <w:rsid w:val="00C03074"/>
    <w:rsid w:val="00C030F8"/>
    <w:rsid w:val="00C032CE"/>
    <w:rsid w:val="00C0361F"/>
    <w:rsid w:val="00C03627"/>
    <w:rsid w:val="00C038A5"/>
    <w:rsid w:val="00C046DB"/>
    <w:rsid w:val="00C047FA"/>
    <w:rsid w:val="00C04C39"/>
    <w:rsid w:val="00C04CB5"/>
    <w:rsid w:val="00C0505A"/>
    <w:rsid w:val="00C0554D"/>
    <w:rsid w:val="00C05590"/>
    <w:rsid w:val="00C057B6"/>
    <w:rsid w:val="00C05B34"/>
    <w:rsid w:val="00C05C9D"/>
    <w:rsid w:val="00C05F17"/>
    <w:rsid w:val="00C063E1"/>
    <w:rsid w:val="00C0658E"/>
    <w:rsid w:val="00C06622"/>
    <w:rsid w:val="00C06853"/>
    <w:rsid w:val="00C06F97"/>
    <w:rsid w:val="00C075A6"/>
    <w:rsid w:val="00C07C72"/>
    <w:rsid w:val="00C07EFA"/>
    <w:rsid w:val="00C103E5"/>
    <w:rsid w:val="00C107C5"/>
    <w:rsid w:val="00C10AD4"/>
    <w:rsid w:val="00C10F1C"/>
    <w:rsid w:val="00C10FA6"/>
    <w:rsid w:val="00C113A3"/>
    <w:rsid w:val="00C11996"/>
    <w:rsid w:val="00C11B75"/>
    <w:rsid w:val="00C11BAA"/>
    <w:rsid w:val="00C11BC1"/>
    <w:rsid w:val="00C11D60"/>
    <w:rsid w:val="00C11DAF"/>
    <w:rsid w:val="00C11EE0"/>
    <w:rsid w:val="00C120E3"/>
    <w:rsid w:val="00C12514"/>
    <w:rsid w:val="00C12993"/>
    <w:rsid w:val="00C12ABB"/>
    <w:rsid w:val="00C12E09"/>
    <w:rsid w:val="00C134AE"/>
    <w:rsid w:val="00C1394E"/>
    <w:rsid w:val="00C13E39"/>
    <w:rsid w:val="00C1487C"/>
    <w:rsid w:val="00C149C4"/>
    <w:rsid w:val="00C14C29"/>
    <w:rsid w:val="00C153FE"/>
    <w:rsid w:val="00C15682"/>
    <w:rsid w:val="00C15EB2"/>
    <w:rsid w:val="00C16AA9"/>
    <w:rsid w:val="00C17407"/>
    <w:rsid w:val="00C17917"/>
    <w:rsid w:val="00C2012B"/>
    <w:rsid w:val="00C20131"/>
    <w:rsid w:val="00C207DA"/>
    <w:rsid w:val="00C20BD3"/>
    <w:rsid w:val="00C21269"/>
    <w:rsid w:val="00C21537"/>
    <w:rsid w:val="00C21D5F"/>
    <w:rsid w:val="00C2289A"/>
    <w:rsid w:val="00C22E81"/>
    <w:rsid w:val="00C2390B"/>
    <w:rsid w:val="00C23DB4"/>
    <w:rsid w:val="00C240D5"/>
    <w:rsid w:val="00C253B4"/>
    <w:rsid w:val="00C25447"/>
    <w:rsid w:val="00C256BD"/>
    <w:rsid w:val="00C25F3D"/>
    <w:rsid w:val="00C26A9C"/>
    <w:rsid w:val="00C27058"/>
    <w:rsid w:val="00C2745F"/>
    <w:rsid w:val="00C27534"/>
    <w:rsid w:val="00C27AFA"/>
    <w:rsid w:val="00C27EDC"/>
    <w:rsid w:val="00C27F88"/>
    <w:rsid w:val="00C303DE"/>
    <w:rsid w:val="00C30402"/>
    <w:rsid w:val="00C304D5"/>
    <w:rsid w:val="00C305D8"/>
    <w:rsid w:val="00C305FF"/>
    <w:rsid w:val="00C30C49"/>
    <w:rsid w:val="00C31305"/>
    <w:rsid w:val="00C315CB"/>
    <w:rsid w:val="00C31E59"/>
    <w:rsid w:val="00C32095"/>
    <w:rsid w:val="00C32796"/>
    <w:rsid w:val="00C327D0"/>
    <w:rsid w:val="00C32C0D"/>
    <w:rsid w:val="00C33207"/>
    <w:rsid w:val="00C3382E"/>
    <w:rsid w:val="00C33A50"/>
    <w:rsid w:val="00C33E76"/>
    <w:rsid w:val="00C34506"/>
    <w:rsid w:val="00C3453B"/>
    <w:rsid w:val="00C34FD0"/>
    <w:rsid w:val="00C34FFB"/>
    <w:rsid w:val="00C35045"/>
    <w:rsid w:val="00C35EDA"/>
    <w:rsid w:val="00C36183"/>
    <w:rsid w:val="00C36406"/>
    <w:rsid w:val="00C364E3"/>
    <w:rsid w:val="00C368FC"/>
    <w:rsid w:val="00C36F90"/>
    <w:rsid w:val="00C3703B"/>
    <w:rsid w:val="00C3790E"/>
    <w:rsid w:val="00C37E81"/>
    <w:rsid w:val="00C37F58"/>
    <w:rsid w:val="00C40649"/>
    <w:rsid w:val="00C40897"/>
    <w:rsid w:val="00C40A01"/>
    <w:rsid w:val="00C40B1A"/>
    <w:rsid w:val="00C4203A"/>
    <w:rsid w:val="00C42806"/>
    <w:rsid w:val="00C4290A"/>
    <w:rsid w:val="00C42D91"/>
    <w:rsid w:val="00C432ED"/>
    <w:rsid w:val="00C434FB"/>
    <w:rsid w:val="00C43E21"/>
    <w:rsid w:val="00C43F8F"/>
    <w:rsid w:val="00C4425A"/>
    <w:rsid w:val="00C442DF"/>
    <w:rsid w:val="00C44368"/>
    <w:rsid w:val="00C449AD"/>
    <w:rsid w:val="00C44BB7"/>
    <w:rsid w:val="00C460E4"/>
    <w:rsid w:val="00C46922"/>
    <w:rsid w:val="00C46E93"/>
    <w:rsid w:val="00C477E9"/>
    <w:rsid w:val="00C479D3"/>
    <w:rsid w:val="00C502D5"/>
    <w:rsid w:val="00C505DF"/>
    <w:rsid w:val="00C5181A"/>
    <w:rsid w:val="00C51894"/>
    <w:rsid w:val="00C52233"/>
    <w:rsid w:val="00C527C1"/>
    <w:rsid w:val="00C53459"/>
    <w:rsid w:val="00C5349A"/>
    <w:rsid w:val="00C53A1E"/>
    <w:rsid w:val="00C54293"/>
    <w:rsid w:val="00C54A8D"/>
    <w:rsid w:val="00C54A98"/>
    <w:rsid w:val="00C55A6F"/>
    <w:rsid w:val="00C55DB1"/>
    <w:rsid w:val="00C56075"/>
    <w:rsid w:val="00C56770"/>
    <w:rsid w:val="00C56D1B"/>
    <w:rsid w:val="00C57005"/>
    <w:rsid w:val="00C57014"/>
    <w:rsid w:val="00C57066"/>
    <w:rsid w:val="00C57C3E"/>
    <w:rsid w:val="00C57FCA"/>
    <w:rsid w:val="00C604D7"/>
    <w:rsid w:val="00C60730"/>
    <w:rsid w:val="00C60F53"/>
    <w:rsid w:val="00C6128C"/>
    <w:rsid w:val="00C61545"/>
    <w:rsid w:val="00C619D7"/>
    <w:rsid w:val="00C62501"/>
    <w:rsid w:val="00C625A1"/>
    <w:rsid w:val="00C62C35"/>
    <w:rsid w:val="00C62CEE"/>
    <w:rsid w:val="00C63148"/>
    <w:rsid w:val="00C6321F"/>
    <w:rsid w:val="00C63365"/>
    <w:rsid w:val="00C63C93"/>
    <w:rsid w:val="00C6416E"/>
    <w:rsid w:val="00C6455F"/>
    <w:rsid w:val="00C6485F"/>
    <w:rsid w:val="00C6487A"/>
    <w:rsid w:val="00C64AD1"/>
    <w:rsid w:val="00C652BA"/>
    <w:rsid w:val="00C65F49"/>
    <w:rsid w:val="00C66616"/>
    <w:rsid w:val="00C668E0"/>
    <w:rsid w:val="00C675F7"/>
    <w:rsid w:val="00C67682"/>
    <w:rsid w:val="00C705A7"/>
    <w:rsid w:val="00C7131C"/>
    <w:rsid w:val="00C71D3D"/>
    <w:rsid w:val="00C72042"/>
    <w:rsid w:val="00C72138"/>
    <w:rsid w:val="00C724D0"/>
    <w:rsid w:val="00C72582"/>
    <w:rsid w:val="00C7296A"/>
    <w:rsid w:val="00C72C8F"/>
    <w:rsid w:val="00C73311"/>
    <w:rsid w:val="00C733BB"/>
    <w:rsid w:val="00C7346D"/>
    <w:rsid w:val="00C73625"/>
    <w:rsid w:val="00C73740"/>
    <w:rsid w:val="00C73A06"/>
    <w:rsid w:val="00C73A40"/>
    <w:rsid w:val="00C7404D"/>
    <w:rsid w:val="00C74960"/>
    <w:rsid w:val="00C74AC2"/>
    <w:rsid w:val="00C752D5"/>
    <w:rsid w:val="00C75348"/>
    <w:rsid w:val="00C75958"/>
    <w:rsid w:val="00C75B32"/>
    <w:rsid w:val="00C760EB"/>
    <w:rsid w:val="00C76671"/>
    <w:rsid w:val="00C76DDC"/>
    <w:rsid w:val="00C7721C"/>
    <w:rsid w:val="00C77B5D"/>
    <w:rsid w:val="00C8007A"/>
    <w:rsid w:val="00C80525"/>
    <w:rsid w:val="00C805E3"/>
    <w:rsid w:val="00C80924"/>
    <w:rsid w:val="00C809B8"/>
    <w:rsid w:val="00C80D90"/>
    <w:rsid w:val="00C81BED"/>
    <w:rsid w:val="00C81EB3"/>
    <w:rsid w:val="00C81F02"/>
    <w:rsid w:val="00C82AF9"/>
    <w:rsid w:val="00C82B0F"/>
    <w:rsid w:val="00C8348E"/>
    <w:rsid w:val="00C835E9"/>
    <w:rsid w:val="00C8384B"/>
    <w:rsid w:val="00C83A23"/>
    <w:rsid w:val="00C844D8"/>
    <w:rsid w:val="00C8502B"/>
    <w:rsid w:val="00C85064"/>
    <w:rsid w:val="00C85085"/>
    <w:rsid w:val="00C8545A"/>
    <w:rsid w:val="00C85C22"/>
    <w:rsid w:val="00C86114"/>
    <w:rsid w:val="00C8622D"/>
    <w:rsid w:val="00C8625C"/>
    <w:rsid w:val="00C86825"/>
    <w:rsid w:val="00C86A12"/>
    <w:rsid w:val="00C86A8E"/>
    <w:rsid w:val="00C870A4"/>
    <w:rsid w:val="00C874BC"/>
    <w:rsid w:val="00C87721"/>
    <w:rsid w:val="00C905B4"/>
    <w:rsid w:val="00C90744"/>
    <w:rsid w:val="00C90898"/>
    <w:rsid w:val="00C90AF6"/>
    <w:rsid w:val="00C90E02"/>
    <w:rsid w:val="00C913B3"/>
    <w:rsid w:val="00C914C3"/>
    <w:rsid w:val="00C9169D"/>
    <w:rsid w:val="00C91809"/>
    <w:rsid w:val="00C91817"/>
    <w:rsid w:val="00C91A9B"/>
    <w:rsid w:val="00C91ACC"/>
    <w:rsid w:val="00C9209E"/>
    <w:rsid w:val="00C927D1"/>
    <w:rsid w:val="00C92963"/>
    <w:rsid w:val="00C92D68"/>
    <w:rsid w:val="00C93032"/>
    <w:rsid w:val="00C93056"/>
    <w:rsid w:val="00C93113"/>
    <w:rsid w:val="00C93234"/>
    <w:rsid w:val="00C932AD"/>
    <w:rsid w:val="00C93BA6"/>
    <w:rsid w:val="00C93E68"/>
    <w:rsid w:val="00C93FC0"/>
    <w:rsid w:val="00C94AAC"/>
    <w:rsid w:val="00C9513B"/>
    <w:rsid w:val="00C95268"/>
    <w:rsid w:val="00C963C7"/>
    <w:rsid w:val="00C965A5"/>
    <w:rsid w:val="00C9712D"/>
    <w:rsid w:val="00C975B1"/>
    <w:rsid w:val="00C9775B"/>
    <w:rsid w:val="00C978E9"/>
    <w:rsid w:val="00C97A6D"/>
    <w:rsid w:val="00CA0457"/>
    <w:rsid w:val="00CA08B3"/>
    <w:rsid w:val="00CA09F7"/>
    <w:rsid w:val="00CA119A"/>
    <w:rsid w:val="00CA2382"/>
    <w:rsid w:val="00CA275C"/>
    <w:rsid w:val="00CA28DF"/>
    <w:rsid w:val="00CA2A6C"/>
    <w:rsid w:val="00CA304A"/>
    <w:rsid w:val="00CA4084"/>
    <w:rsid w:val="00CA4106"/>
    <w:rsid w:val="00CA4C6E"/>
    <w:rsid w:val="00CA5430"/>
    <w:rsid w:val="00CA552C"/>
    <w:rsid w:val="00CA5809"/>
    <w:rsid w:val="00CA62F7"/>
    <w:rsid w:val="00CA65DB"/>
    <w:rsid w:val="00CA6AC2"/>
    <w:rsid w:val="00CA6C11"/>
    <w:rsid w:val="00CA7710"/>
    <w:rsid w:val="00CA7979"/>
    <w:rsid w:val="00CA7B81"/>
    <w:rsid w:val="00CA7E02"/>
    <w:rsid w:val="00CB0490"/>
    <w:rsid w:val="00CB057D"/>
    <w:rsid w:val="00CB09BA"/>
    <w:rsid w:val="00CB1E03"/>
    <w:rsid w:val="00CB2411"/>
    <w:rsid w:val="00CB25DB"/>
    <w:rsid w:val="00CB29A5"/>
    <w:rsid w:val="00CB3452"/>
    <w:rsid w:val="00CB3AE6"/>
    <w:rsid w:val="00CB4095"/>
    <w:rsid w:val="00CB46AA"/>
    <w:rsid w:val="00CB4BBD"/>
    <w:rsid w:val="00CB4D91"/>
    <w:rsid w:val="00CB53FF"/>
    <w:rsid w:val="00CB54B7"/>
    <w:rsid w:val="00CB5699"/>
    <w:rsid w:val="00CB5CF5"/>
    <w:rsid w:val="00CB5FC6"/>
    <w:rsid w:val="00CB60E7"/>
    <w:rsid w:val="00CB67E4"/>
    <w:rsid w:val="00CB6B62"/>
    <w:rsid w:val="00CB793C"/>
    <w:rsid w:val="00CB7967"/>
    <w:rsid w:val="00CBE04D"/>
    <w:rsid w:val="00CC0058"/>
    <w:rsid w:val="00CC0136"/>
    <w:rsid w:val="00CC027D"/>
    <w:rsid w:val="00CC0E56"/>
    <w:rsid w:val="00CC0FE2"/>
    <w:rsid w:val="00CC1415"/>
    <w:rsid w:val="00CC14F8"/>
    <w:rsid w:val="00CC1523"/>
    <w:rsid w:val="00CC1588"/>
    <w:rsid w:val="00CC1690"/>
    <w:rsid w:val="00CC2255"/>
    <w:rsid w:val="00CC2DC6"/>
    <w:rsid w:val="00CC2F31"/>
    <w:rsid w:val="00CC3043"/>
    <w:rsid w:val="00CC30AC"/>
    <w:rsid w:val="00CC30FA"/>
    <w:rsid w:val="00CC3540"/>
    <w:rsid w:val="00CC43B8"/>
    <w:rsid w:val="00CC49E8"/>
    <w:rsid w:val="00CC4F2A"/>
    <w:rsid w:val="00CC56D2"/>
    <w:rsid w:val="00CC5B5A"/>
    <w:rsid w:val="00CC62B2"/>
    <w:rsid w:val="00CC6347"/>
    <w:rsid w:val="00CC6661"/>
    <w:rsid w:val="00CC6A14"/>
    <w:rsid w:val="00CC6D15"/>
    <w:rsid w:val="00CC7092"/>
    <w:rsid w:val="00CC73AC"/>
    <w:rsid w:val="00CC7D43"/>
    <w:rsid w:val="00CC7F2A"/>
    <w:rsid w:val="00CD0425"/>
    <w:rsid w:val="00CD0544"/>
    <w:rsid w:val="00CD0972"/>
    <w:rsid w:val="00CD0A48"/>
    <w:rsid w:val="00CD0C19"/>
    <w:rsid w:val="00CD0D14"/>
    <w:rsid w:val="00CD0D49"/>
    <w:rsid w:val="00CD1901"/>
    <w:rsid w:val="00CD1B8B"/>
    <w:rsid w:val="00CD1DA9"/>
    <w:rsid w:val="00CD2C09"/>
    <w:rsid w:val="00CD2D73"/>
    <w:rsid w:val="00CD2D86"/>
    <w:rsid w:val="00CD315D"/>
    <w:rsid w:val="00CD35AB"/>
    <w:rsid w:val="00CD458A"/>
    <w:rsid w:val="00CD4783"/>
    <w:rsid w:val="00CD52A5"/>
    <w:rsid w:val="00CD52C4"/>
    <w:rsid w:val="00CD5498"/>
    <w:rsid w:val="00CD54B7"/>
    <w:rsid w:val="00CD56DE"/>
    <w:rsid w:val="00CD57E6"/>
    <w:rsid w:val="00CD5982"/>
    <w:rsid w:val="00CD5A1C"/>
    <w:rsid w:val="00CD5A9F"/>
    <w:rsid w:val="00CD5D9D"/>
    <w:rsid w:val="00CD6363"/>
    <w:rsid w:val="00CD661D"/>
    <w:rsid w:val="00CD689C"/>
    <w:rsid w:val="00CD695C"/>
    <w:rsid w:val="00CD72C5"/>
    <w:rsid w:val="00CD78E0"/>
    <w:rsid w:val="00CD7D7F"/>
    <w:rsid w:val="00CE0140"/>
    <w:rsid w:val="00CE073F"/>
    <w:rsid w:val="00CE0B91"/>
    <w:rsid w:val="00CE15AF"/>
    <w:rsid w:val="00CE2FB7"/>
    <w:rsid w:val="00CE4537"/>
    <w:rsid w:val="00CE5C7D"/>
    <w:rsid w:val="00CE624E"/>
    <w:rsid w:val="00CE6506"/>
    <w:rsid w:val="00CE692E"/>
    <w:rsid w:val="00CE6BC6"/>
    <w:rsid w:val="00CE6D20"/>
    <w:rsid w:val="00CE701D"/>
    <w:rsid w:val="00CE7200"/>
    <w:rsid w:val="00CE7293"/>
    <w:rsid w:val="00CF05A5"/>
    <w:rsid w:val="00CF0C3F"/>
    <w:rsid w:val="00CF0CDC"/>
    <w:rsid w:val="00CF16FD"/>
    <w:rsid w:val="00CF2285"/>
    <w:rsid w:val="00CF280F"/>
    <w:rsid w:val="00CF2DE9"/>
    <w:rsid w:val="00CF36BC"/>
    <w:rsid w:val="00CF378B"/>
    <w:rsid w:val="00CF37DF"/>
    <w:rsid w:val="00CF3ABD"/>
    <w:rsid w:val="00CF3C2F"/>
    <w:rsid w:val="00CF3FCF"/>
    <w:rsid w:val="00CF40FC"/>
    <w:rsid w:val="00CF4372"/>
    <w:rsid w:val="00CF4495"/>
    <w:rsid w:val="00CF4692"/>
    <w:rsid w:val="00CF4704"/>
    <w:rsid w:val="00CF4C68"/>
    <w:rsid w:val="00CF4EEB"/>
    <w:rsid w:val="00CF5138"/>
    <w:rsid w:val="00CF5CBD"/>
    <w:rsid w:val="00CF6400"/>
    <w:rsid w:val="00CF6B8F"/>
    <w:rsid w:val="00CF782C"/>
    <w:rsid w:val="00CF7AB1"/>
    <w:rsid w:val="00CF7D2B"/>
    <w:rsid w:val="00CF7F33"/>
    <w:rsid w:val="00D009C2"/>
    <w:rsid w:val="00D01414"/>
    <w:rsid w:val="00D01CEC"/>
    <w:rsid w:val="00D0217A"/>
    <w:rsid w:val="00D026AF"/>
    <w:rsid w:val="00D026CB"/>
    <w:rsid w:val="00D02918"/>
    <w:rsid w:val="00D03155"/>
    <w:rsid w:val="00D05E2B"/>
    <w:rsid w:val="00D05E2E"/>
    <w:rsid w:val="00D05EEC"/>
    <w:rsid w:val="00D06E33"/>
    <w:rsid w:val="00D06E3D"/>
    <w:rsid w:val="00D0779C"/>
    <w:rsid w:val="00D077B7"/>
    <w:rsid w:val="00D079D5"/>
    <w:rsid w:val="00D10422"/>
    <w:rsid w:val="00D105BF"/>
    <w:rsid w:val="00D10647"/>
    <w:rsid w:val="00D11392"/>
    <w:rsid w:val="00D1145F"/>
    <w:rsid w:val="00D11988"/>
    <w:rsid w:val="00D11FA9"/>
    <w:rsid w:val="00D12119"/>
    <w:rsid w:val="00D12F85"/>
    <w:rsid w:val="00D12FD7"/>
    <w:rsid w:val="00D136DA"/>
    <w:rsid w:val="00D137CE"/>
    <w:rsid w:val="00D13B16"/>
    <w:rsid w:val="00D13B6C"/>
    <w:rsid w:val="00D140DE"/>
    <w:rsid w:val="00D140EC"/>
    <w:rsid w:val="00D14241"/>
    <w:rsid w:val="00D1483B"/>
    <w:rsid w:val="00D1501B"/>
    <w:rsid w:val="00D152F7"/>
    <w:rsid w:val="00D15887"/>
    <w:rsid w:val="00D159DA"/>
    <w:rsid w:val="00D15B23"/>
    <w:rsid w:val="00D15F35"/>
    <w:rsid w:val="00D1603D"/>
    <w:rsid w:val="00D1637B"/>
    <w:rsid w:val="00D1665A"/>
    <w:rsid w:val="00D168F3"/>
    <w:rsid w:val="00D16D64"/>
    <w:rsid w:val="00D1743E"/>
    <w:rsid w:val="00D20128"/>
    <w:rsid w:val="00D203E7"/>
    <w:rsid w:val="00D20A47"/>
    <w:rsid w:val="00D21002"/>
    <w:rsid w:val="00D210E9"/>
    <w:rsid w:val="00D210F8"/>
    <w:rsid w:val="00D21109"/>
    <w:rsid w:val="00D21206"/>
    <w:rsid w:val="00D21996"/>
    <w:rsid w:val="00D22A55"/>
    <w:rsid w:val="00D22A5A"/>
    <w:rsid w:val="00D22C01"/>
    <w:rsid w:val="00D22D68"/>
    <w:rsid w:val="00D22D79"/>
    <w:rsid w:val="00D22EC1"/>
    <w:rsid w:val="00D231E5"/>
    <w:rsid w:val="00D233BD"/>
    <w:rsid w:val="00D23880"/>
    <w:rsid w:val="00D239B7"/>
    <w:rsid w:val="00D245B5"/>
    <w:rsid w:val="00D24D30"/>
    <w:rsid w:val="00D25328"/>
    <w:rsid w:val="00D253ED"/>
    <w:rsid w:val="00D25C66"/>
    <w:rsid w:val="00D25C85"/>
    <w:rsid w:val="00D263BD"/>
    <w:rsid w:val="00D26BCA"/>
    <w:rsid w:val="00D26E01"/>
    <w:rsid w:val="00D2712C"/>
    <w:rsid w:val="00D27175"/>
    <w:rsid w:val="00D27798"/>
    <w:rsid w:val="00D27D49"/>
    <w:rsid w:val="00D30594"/>
    <w:rsid w:val="00D31128"/>
    <w:rsid w:val="00D31301"/>
    <w:rsid w:val="00D313B5"/>
    <w:rsid w:val="00D31689"/>
    <w:rsid w:val="00D31C29"/>
    <w:rsid w:val="00D31F6C"/>
    <w:rsid w:val="00D32509"/>
    <w:rsid w:val="00D32871"/>
    <w:rsid w:val="00D32B07"/>
    <w:rsid w:val="00D32D19"/>
    <w:rsid w:val="00D33A7A"/>
    <w:rsid w:val="00D33B78"/>
    <w:rsid w:val="00D33F39"/>
    <w:rsid w:val="00D3423A"/>
    <w:rsid w:val="00D3465B"/>
    <w:rsid w:val="00D35025"/>
    <w:rsid w:val="00D3510A"/>
    <w:rsid w:val="00D3524A"/>
    <w:rsid w:val="00D35748"/>
    <w:rsid w:val="00D359CE"/>
    <w:rsid w:val="00D35B55"/>
    <w:rsid w:val="00D35B8C"/>
    <w:rsid w:val="00D35F16"/>
    <w:rsid w:val="00D36155"/>
    <w:rsid w:val="00D368C6"/>
    <w:rsid w:val="00D36DA4"/>
    <w:rsid w:val="00D36F64"/>
    <w:rsid w:val="00D37171"/>
    <w:rsid w:val="00D37AFC"/>
    <w:rsid w:val="00D37B34"/>
    <w:rsid w:val="00D37E54"/>
    <w:rsid w:val="00D40549"/>
    <w:rsid w:val="00D406C1"/>
    <w:rsid w:val="00D40B42"/>
    <w:rsid w:val="00D410B3"/>
    <w:rsid w:val="00D4112A"/>
    <w:rsid w:val="00D4146B"/>
    <w:rsid w:val="00D41B3A"/>
    <w:rsid w:val="00D41C59"/>
    <w:rsid w:val="00D420C2"/>
    <w:rsid w:val="00D428C4"/>
    <w:rsid w:val="00D42E0E"/>
    <w:rsid w:val="00D4318B"/>
    <w:rsid w:val="00D432AB"/>
    <w:rsid w:val="00D43CA3"/>
    <w:rsid w:val="00D43DCA"/>
    <w:rsid w:val="00D440FA"/>
    <w:rsid w:val="00D44BB7"/>
    <w:rsid w:val="00D44E30"/>
    <w:rsid w:val="00D451FE"/>
    <w:rsid w:val="00D45D1D"/>
    <w:rsid w:val="00D460BB"/>
    <w:rsid w:val="00D46610"/>
    <w:rsid w:val="00D466E6"/>
    <w:rsid w:val="00D466F6"/>
    <w:rsid w:val="00D469CF"/>
    <w:rsid w:val="00D46B73"/>
    <w:rsid w:val="00D46FF2"/>
    <w:rsid w:val="00D472E8"/>
    <w:rsid w:val="00D47887"/>
    <w:rsid w:val="00D47EFD"/>
    <w:rsid w:val="00D47F5C"/>
    <w:rsid w:val="00D5028E"/>
    <w:rsid w:val="00D50454"/>
    <w:rsid w:val="00D506F0"/>
    <w:rsid w:val="00D50C06"/>
    <w:rsid w:val="00D50CE3"/>
    <w:rsid w:val="00D50F7C"/>
    <w:rsid w:val="00D51698"/>
    <w:rsid w:val="00D51BD9"/>
    <w:rsid w:val="00D51CCE"/>
    <w:rsid w:val="00D51E08"/>
    <w:rsid w:val="00D51E91"/>
    <w:rsid w:val="00D5202B"/>
    <w:rsid w:val="00D532C3"/>
    <w:rsid w:val="00D538E5"/>
    <w:rsid w:val="00D54D0C"/>
    <w:rsid w:val="00D54FD0"/>
    <w:rsid w:val="00D552AD"/>
    <w:rsid w:val="00D5538F"/>
    <w:rsid w:val="00D553D3"/>
    <w:rsid w:val="00D555A0"/>
    <w:rsid w:val="00D56450"/>
    <w:rsid w:val="00D56787"/>
    <w:rsid w:val="00D56D0B"/>
    <w:rsid w:val="00D56E21"/>
    <w:rsid w:val="00D571B9"/>
    <w:rsid w:val="00D571D4"/>
    <w:rsid w:val="00D578E3"/>
    <w:rsid w:val="00D60420"/>
    <w:rsid w:val="00D6061E"/>
    <w:rsid w:val="00D60828"/>
    <w:rsid w:val="00D60ED3"/>
    <w:rsid w:val="00D61E26"/>
    <w:rsid w:val="00D61F46"/>
    <w:rsid w:val="00D62138"/>
    <w:rsid w:val="00D62214"/>
    <w:rsid w:val="00D6249A"/>
    <w:rsid w:val="00D62FF2"/>
    <w:rsid w:val="00D631E9"/>
    <w:rsid w:val="00D634E6"/>
    <w:rsid w:val="00D639C8"/>
    <w:rsid w:val="00D648C5"/>
    <w:rsid w:val="00D6492E"/>
    <w:rsid w:val="00D64D40"/>
    <w:rsid w:val="00D64D70"/>
    <w:rsid w:val="00D64D92"/>
    <w:rsid w:val="00D65305"/>
    <w:rsid w:val="00D659DD"/>
    <w:rsid w:val="00D660FD"/>
    <w:rsid w:val="00D662F3"/>
    <w:rsid w:val="00D6691A"/>
    <w:rsid w:val="00D669AE"/>
    <w:rsid w:val="00D66E83"/>
    <w:rsid w:val="00D70AA8"/>
    <w:rsid w:val="00D70B80"/>
    <w:rsid w:val="00D7151F"/>
    <w:rsid w:val="00D71905"/>
    <w:rsid w:val="00D71EC0"/>
    <w:rsid w:val="00D72234"/>
    <w:rsid w:val="00D7250E"/>
    <w:rsid w:val="00D7272F"/>
    <w:rsid w:val="00D72EAD"/>
    <w:rsid w:val="00D73061"/>
    <w:rsid w:val="00D758E6"/>
    <w:rsid w:val="00D76853"/>
    <w:rsid w:val="00D76948"/>
    <w:rsid w:val="00D76B72"/>
    <w:rsid w:val="00D77175"/>
    <w:rsid w:val="00D771EC"/>
    <w:rsid w:val="00D77A78"/>
    <w:rsid w:val="00D77D1E"/>
    <w:rsid w:val="00D801DC"/>
    <w:rsid w:val="00D80245"/>
    <w:rsid w:val="00D80283"/>
    <w:rsid w:val="00D80515"/>
    <w:rsid w:val="00D81109"/>
    <w:rsid w:val="00D81A8D"/>
    <w:rsid w:val="00D82886"/>
    <w:rsid w:val="00D83C37"/>
    <w:rsid w:val="00D83D27"/>
    <w:rsid w:val="00D84468"/>
    <w:rsid w:val="00D84614"/>
    <w:rsid w:val="00D85934"/>
    <w:rsid w:val="00D85D8A"/>
    <w:rsid w:val="00D86881"/>
    <w:rsid w:val="00D868A8"/>
    <w:rsid w:val="00D8723A"/>
    <w:rsid w:val="00D874BD"/>
    <w:rsid w:val="00D875CE"/>
    <w:rsid w:val="00D878D6"/>
    <w:rsid w:val="00D87912"/>
    <w:rsid w:val="00D90C61"/>
    <w:rsid w:val="00D9164B"/>
    <w:rsid w:val="00D91721"/>
    <w:rsid w:val="00D91A3F"/>
    <w:rsid w:val="00D91B06"/>
    <w:rsid w:val="00D91EBC"/>
    <w:rsid w:val="00D9208E"/>
    <w:rsid w:val="00D92235"/>
    <w:rsid w:val="00D92B2F"/>
    <w:rsid w:val="00D92B90"/>
    <w:rsid w:val="00D92CC2"/>
    <w:rsid w:val="00D9367D"/>
    <w:rsid w:val="00D93D50"/>
    <w:rsid w:val="00D94B69"/>
    <w:rsid w:val="00D95640"/>
    <w:rsid w:val="00D956FF"/>
    <w:rsid w:val="00D95B72"/>
    <w:rsid w:val="00D96A1A"/>
    <w:rsid w:val="00D96E72"/>
    <w:rsid w:val="00D9742A"/>
    <w:rsid w:val="00D97651"/>
    <w:rsid w:val="00D97C8E"/>
    <w:rsid w:val="00D97D3C"/>
    <w:rsid w:val="00DA033F"/>
    <w:rsid w:val="00DA048D"/>
    <w:rsid w:val="00DA0EF5"/>
    <w:rsid w:val="00DA0FD3"/>
    <w:rsid w:val="00DA11DC"/>
    <w:rsid w:val="00DA145A"/>
    <w:rsid w:val="00DA1C56"/>
    <w:rsid w:val="00DA20CD"/>
    <w:rsid w:val="00DA23CB"/>
    <w:rsid w:val="00DA272A"/>
    <w:rsid w:val="00DA29CB"/>
    <w:rsid w:val="00DA33C9"/>
    <w:rsid w:val="00DA348F"/>
    <w:rsid w:val="00DA365F"/>
    <w:rsid w:val="00DA3E78"/>
    <w:rsid w:val="00DA3EDB"/>
    <w:rsid w:val="00DA419D"/>
    <w:rsid w:val="00DA4333"/>
    <w:rsid w:val="00DA4368"/>
    <w:rsid w:val="00DA44CF"/>
    <w:rsid w:val="00DA4533"/>
    <w:rsid w:val="00DA46A5"/>
    <w:rsid w:val="00DA52E9"/>
    <w:rsid w:val="00DA566E"/>
    <w:rsid w:val="00DA578B"/>
    <w:rsid w:val="00DA5D91"/>
    <w:rsid w:val="00DA6567"/>
    <w:rsid w:val="00DA6795"/>
    <w:rsid w:val="00DA6F38"/>
    <w:rsid w:val="00DA7778"/>
    <w:rsid w:val="00DB0041"/>
    <w:rsid w:val="00DB02BC"/>
    <w:rsid w:val="00DB1229"/>
    <w:rsid w:val="00DB12B5"/>
    <w:rsid w:val="00DB1BF9"/>
    <w:rsid w:val="00DB1C94"/>
    <w:rsid w:val="00DB23A8"/>
    <w:rsid w:val="00DB257A"/>
    <w:rsid w:val="00DB2BFB"/>
    <w:rsid w:val="00DB341E"/>
    <w:rsid w:val="00DB34FD"/>
    <w:rsid w:val="00DB3543"/>
    <w:rsid w:val="00DB3739"/>
    <w:rsid w:val="00DB419E"/>
    <w:rsid w:val="00DB4370"/>
    <w:rsid w:val="00DB506F"/>
    <w:rsid w:val="00DB51EA"/>
    <w:rsid w:val="00DB5219"/>
    <w:rsid w:val="00DB522E"/>
    <w:rsid w:val="00DB5A22"/>
    <w:rsid w:val="00DB5AAF"/>
    <w:rsid w:val="00DB608D"/>
    <w:rsid w:val="00DB6CC8"/>
    <w:rsid w:val="00DB72B6"/>
    <w:rsid w:val="00DB741C"/>
    <w:rsid w:val="00DB7733"/>
    <w:rsid w:val="00DB776D"/>
    <w:rsid w:val="00DB7A57"/>
    <w:rsid w:val="00DB7AD6"/>
    <w:rsid w:val="00DBEBD6"/>
    <w:rsid w:val="00DC03E7"/>
    <w:rsid w:val="00DC07F1"/>
    <w:rsid w:val="00DC09A6"/>
    <w:rsid w:val="00DC0BC2"/>
    <w:rsid w:val="00DC0D23"/>
    <w:rsid w:val="00DC1581"/>
    <w:rsid w:val="00DC1D2D"/>
    <w:rsid w:val="00DC2279"/>
    <w:rsid w:val="00DC2CF5"/>
    <w:rsid w:val="00DC3457"/>
    <w:rsid w:val="00DC3765"/>
    <w:rsid w:val="00DC3DA2"/>
    <w:rsid w:val="00DC3FC8"/>
    <w:rsid w:val="00DC439D"/>
    <w:rsid w:val="00DC52F9"/>
    <w:rsid w:val="00DC5810"/>
    <w:rsid w:val="00DC5930"/>
    <w:rsid w:val="00DC5B55"/>
    <w:rsid w:val="00DC5F98"/>
    <w:rsid w:val="00DC61A6"/>
    <w:rsid w:val="00DC6570"/>
    <w:rsid w:val="00DD0A35"/>
    <w:rsid w:val="00DD159E"/>
    <w:rsid w:val="00DD1AEC"/>
    <w:rsid w:val="00DD1C04"/>
    <w:rsid w:val="00DD1E0C"/>
    <w:rsid w:val="00DD22EA"/>
    <w:rsid w:val="00DD2918"/>
    <w:rsid w:val="00DD2C88"/>
    <w:rsid w:val="00DD2C9F"/>
    <w:rsid w:val="00DD2EF1"/>
    <w:rsid w:val="00DD371C"/>
    <w:rsid w:val="00DD3A72"/>
    <w:rsid w:val="00DD4108"/>
    <w:rsid w:val="00DD431E"/>
    <w:rsid w:val="00DD5282"/>
    <w:rsid w:val="00DD55CE"/>
    <w:rsid w:val="00DD589A"/>
    <w:rsid w:val="00DD5B8C"/>
    <w:rsid w:val="00DD7188"/>
    <w:rsid w:val="00DE07B2"/>
    <w:rsid w:val="00DE0F49"/>
    <w:rsid w:val="00DE1051"/>
    <w:rsid w:val="00DE1164"/>
    <w:rsid w:val="00DE16E1"/>
    <w:rsid w:val="00DE1A7D"/>
    <w:rsid w:val="00DE35DD"/>
    <w:rsid w:val="00DE4034"/>
    <w:rsid w:val="00DE4498"/>
    <w:rsid w:val="00DE49AB"/>
    <w:rsid w:val="00DE4D06"/>
    <w:rsid w:val="00DE4F34"/>
    <w:rsid w:val="00DE557F"/>
    <w:rsid w:val="00DE5D98"/>
    <w:rsid w:val="00DE5E62"/>
    <w:rsid w:val="00DE6258"/>
    <w:rsid w:val="00DE6A5C"/>
    <w:rsid w:val="00DE6A98"/>
    <w:rsid w:val="00DE6B29"/>
    <w:rsid w:val="00DE6ECF"/>
    <w:rsid w:val="00DE7190"/>
    <w:rsid w:val="00DE7370"/>
    <w:rsid w:val="00DE76BF"/>
    <w:rsid w:val="00DE7BCD"/>
    <w:rsid w:val="00DF03BD"/>
    <w:rsid w:val="00DF0893"/>
    <w:rsid w:val="00DF0A09"/>
    <w:rsid w:val="00DF0A2C"/>
    <w:rsid w:val="00DF1AB0"/>
    <w:rsid w:val="00DF1C16"/>
    <w:rsid w:val="00DF1C54"/>
    <w:rsid w:val="00DF2084"/>
    <w:rsid w:val="00DF23D6"/>
    <w:rsid w:val="00DF24E5"/>
    <w:rsid w:val="00DF2B09"/>
    <w:rsid w:val="00DF30F4"/>
    <w:rsid w:val="00DF4220"/>
    <w:rsid w:val="00DF4AC6"/>
    <w:rsid w:val="00DF50F2"/>
    <w:rsid w:val="00DF565D"/>
    <w:rsid w:val="00DF5715"/>
    <w:rsid w:val="00DF57A1"/>
    <w:rsid w:val="00DF5865"/>
    <w:rsid w:val="00DF58B7"/>
    <w:rsid w:val="00DF5980"/>
    <w:rsid w:val="00DF5BCC"/>
    <w:rsid w:val="00DF5D38"/>
    <w:rsid w:val="00DF5E23"/>
    <w:rsid w:val="00DF5FB2"/>
    <w:rsid w:val="00DF6297"/>
    <w:rsid w:val="00DF666E"/>
    <w:rsid w:val="00DF66C8"/>
    <w:rsid w:val="00DF6A10"/>
    <w:rsid w:val="00DF6E0A"/>
    <w:rsid w:val="00DF7696"/>
    <w:rsid w:val="00DF7CE2"/>
    <w:rsid w:val="00E002A9"/>
    <w:rsid w:val="00E006D9"/>
    <w:rsid w:val="00E008DF"/>
    <w:rsid w:val="00E00BC8"/>
    <w:rsid w:val="00E010EA"/>
    <w:rsid w:val="00E01367"/>
    <w:rsid w:val="00E0160D"/>
    <w:rsid w:val="00E018DE"/>
    <w:rsid w:val="00E02B4A"/>
    <w:rsid w:val="00E02DCE"/>
    <w:rsid w:val="00E03DAE"/>
    <w:rsid w:val="00E0492F"/>
    <w:rsid w:val="00E04B0C"/>
    <w:rsid w:val="00E04C1C"/>
    <w:rsid w:val="00E04D92"/>
    <w:rsid w:val="00E04F1F"/>
    <w:rsid w:val="00E05202"/>
    <w:rsid w:val="00E053F2"/>
    <w:rsid w:val="00E05D62"/>
    <w:rsid w:val="00E05EE2"/>
    <w:rsid w:val="00E05FDB"/>
    <w:rsid w:val="00E06044"/>
    <w:rsid w:val="00E063FA"/>
    <w:rsid w:val="00E066E9"/>
    <w:rsid w:val="00E0685A"/>
    <w:rsid w:val="00E06A58"/>
    <w:rsid w:val="00E06B46"/>
    <w:rsid w:val="00E06FB7"/>
    <w:rsid w:val="00E078C2"/>
    <w:rsid w:val="00E07CD7"/>
    <w:rsid w:val="00E101FE"/>
    <w:rsid w:val="00E10641"/>
    <w:rsid w:val="00E10B17"/>
    <w:rsid w:val="00E115D8"/>
    <w:rsid w:val="00E1167D"/>
    <w:rsid w:val="00E11A8D"/>
    <w:rsid w:val="00E11AD8"/>
    <w:rsid w:val="00E12708"/>
    <w:rsid w:val="00E13269"/>
    <w:rsid w:val="00E13B0F"/>
    <w:rsid w:val="00E14059"/>
    <w:rsid w:val="00E1530B"/>
    <w:rsid w:val="00E15516"/>
    <w:rsid w:val="00E15704"/>
    <w:rsid w:val="00E15AF1"/>
    <w:rsid w:val="00E15D04"/>
    <w:rsid w:val="00E1619A"/>
    <w:rsid w:val="00E1656A"/>
    <w:rsid w:val="00E166C9"/>
    <w:rsid w:val="00E16816"/>
    <w:rsid w:val="00E16A83"/>
    <w:rsid w:val="00E16E6D"/>
    <w:rsid w:val="00E202A9"/>
    <w:rsid w:val="00E210C1"/>
    <w:rsid w:val="00E2125F"/>
    <w:rsid w:val="00E21412"/>
    <w:rsid w:val="00E215F6"/>
    <w:rsid w:val="00E218E3"/>
    <w:rsid w:val="00E21A0C"/>
    <w:rsid w:val="00E227D8"/>
    <w:rsid w:val="00E23517"/>
    <w:rsid w:val="00E23729"/>
    <w:rsid w:val="00E23D80"/>
    <w:rsid w:val="00E23D8B"/>
    <w:rsid w:val="00E2470B"/>
    <w:rsid w:val="00E2491F"/>
    <w:rsid w:val="00E24B36"/>
    <w:rsid w:val="00E24B3A"/>
    <w:rsid w:val="00E24BF9"/>
    <w:rsid w:val="00E24C23"/>
    <w:rsid w:val="00E25089"/>
    <w:rsid w:val="00E25B7D"/>
    <w:rsid w:val="00E25E6F"/>
    <w:rsid w:val="00E2619A"/>
    <w:rsid w:val="00E2629B"/>
    <w:rsid w:val="00E26453"/>
    <w:rsid w:val="00E2650D"/>
    <w:rsid w:val="00E26524"/>
    <w:rsid w:val="00E26599"/>
    <w:rsid w:val="00E267E8"/>
    <w:rsid w:val="00E26ACE"/>
    <w:rsid w:val="00E26B79"/>
    <w:rsid w:val="00E271AD"/>
    <w:rsid w:val="00E2771A"/>
    <w:rsid w:val="00E279FA"/>
    <w:rsid w:val="00E306F5"/>
    <w:rsid w:val="00E313EB"/>
    <w:rsid w:val="00E3199F"/>
    <w:rsid w:val="00E31A5E"/>
    <w:rsid w:val="00E31AA5"/>
    <w:rsid w:val="00E31F4B"/>
    <w:rsid w:val="00E322C4"/>
    <w:rsid w:val="00E32B75"/>
    <w:rsid w:val="00E32BE6"/>
    <w:rsid w:val="00E3301E"/>
    <w:rsid w:val="00E333AA"/>
    <w:rsid w:val="00E33777"/>
    <w:rsid w:val="00E3384F"/>
    <w:rsid w:val="00E33D1D"/>
    <w:rsid w:val="00E34F0C"/>
    <w:rsid w:val="00E363E4"/>
    <w:rsid w:val="00E36BFF"/>
    <w:rsid w:val="00E376BE"/>
    <w:rsid w:val="00E37B09"/>
    <w:rsid w:val="00E4154C"/>
    <w:rsid w:val="00E41B50"/>
    <w:rsid w:val="00E4204E"/>
    <w:rsid w:val="00E43103"/>
    <w:rsid w:val="00E43276"/>
    <w:rsid w:val="00E432B8"/>
    <w:rsid w:val="00E435FF"/>
    <w:rsid w:val="00E43A7A"/>
    <w:rsid w:val="00E44B21"/>
    <w:rsid w:val="00E45134"/>
    <w:rsid w:val="00E45389"/>
    <w:rsid w:val="00E454FA"/>
    <w:rsid w:val="00E457BD"/>
    <w:rsid w:val="00E459E8"/>
    <w:rsid w:val="00E45C1B"/>
    <w:rsid w:val="00E45F10"/>
    <w:rsid w:val="00E4600F"/>
    <w:rsid w:val="00E47EE0"/>
    <w:rsid w:val="00E50197"/>
    <w:rsid w:val="00E5049E"/>
    <w:rsid w:val="00E508F2"/>
    <w:rsid w:val="00E50973"/>
    <w:rsid w:val="00E50F4B"/>
    <w:rsid w:val="00E512E1"/>
    <w:rsid w:val="00E51900"/>
    <w:rsid w:val="00E51B99"/>
    <w:rsid w:val="00E51D47"/>
    <w:rsid w:val="00E51E98"/>
    <w:rsid w:val="00E5227B"/>
    <w:rsid w:val="00E52637"/>
    <w:rsid w:val="00E52ADB"/>
    <w:rsid w:val="00E5360A"/>
    <w:rsid w:val="00E539BE"/>
    <w:rsid w:val="00E53ED1"/>
    <w:rsid w:val="00E53F44"/>
    <w:rsid w:val="00E543FE"/>
    <w:rsid w:val="00E54587"/>
    <w:rsid w:val="00E547D3"/>
    <w:rsid w:val="00E548B4"/>
    <w:rsid w:val="00E548D0"/>
    <w:rsid w:val="00E54A3F"/>
    <w:rsid w:val="00E54EFB"/>
    <w:rsid w:val="00E5504F"/>
    <w:rsid w:val="00E55D71"/>
    <w:rsid w:val="00E55E6D"/>
    <w:rsid w:val="00E55F79"/>
    <w:rsid w:val="00E560AE"/>
    <w:rsid w:val="00E564C3"/>
    <w:rsid w:val="00E56681"/>
    <w:rsid w:val="00E566EA"/>
    <w:rsid w:val="00E56C92"/>
    <w:rsid w:val="00E56D7A"/>
    <w:rsid w:val="00E56F29"/>
    <w:rsid w:val="00E574A9"/>
    <w:rsid w:val="00E5767C"/>
    <w:rsid w:val="00E60325"/>
    <w:rsid w:val="00E607BE"/>
    <w:rsid w:val="00E60DA5"/>
    <w:rsid w:val="00E60EAC"/>
    <w:rsid w:val="00E617EB"/>
    <w:rsid w:val="00E61BA1"/>
    <w:rsid w:val="00E6204A"/>
    <w:rsid w:val="00E6222F"/>
    <w:rsid w:val="00E62D0D"/>
    <w:rsid w:val="00E62DB0"/>
    <w:rsid w:val="00E62DF4"/>
    <w:rsid w:val="00E62F74"/>
    <w:rsid w:val="00E632AF"/>
    <w:rsid w:val="00E64783"/>
    <w:rsid w:val="00E6486F"/>
    <w:rsid w:val="00E64A77"/>
    <w:rsid w:val="00E650F7"/>
    <w:rsid w:val="00E65AB2"/>
    <w:rsid w:val="00E65E4B"/>
    <w:rsid w:val="00E65FAB"/>
    <w:rsid w:val="00E66791"/>
    <w:rsid w:val="00E668E3"/>
    <w:rsid w:val="00E66A52"/>
    <w:rsid w:val="00E67735"/>
    <w:rsid w:val="00E67961"/>
    <w:rsid w:val="00E67C20"/>
    <w:rsid w:val="00E67D46"/>
    <w:rsid w:val="00E67FD8"/>
    <w:rsid w:val="00E68F34"/>
    <w:rsid w:val="00E7007E"/>
    <w:rsid w:val="00E70D17"/>
    <w:rsid w:val="00E71136"/>
    <w:rsid w:val="00E71294"/>
    <w:rsid w:val="00E715DE"/>
    <w:rsid w:val="00E71780"/>
    <w:rsid w:val="00E71B0F"/>
    <w:rsid w:val="00E7215D"/>
    <w:rsid w:val="00E72170"/>
    <w:rsid w:val="00E722DA"/>
    <w:rsid w:val="00E72691"/>
    <w:rsid w:val="00E72E00"/>
    <w:rsid w:val="00E73563"/>
    <w:rsid w:val="00E74734"/>
    <w:rsid w:val="00E74958"/>
    <w:rsid w:val="00E74A71"/>
    <w:rsid w:val="00E74C5C"/>
    <w:rsid w:val="00E74C75"/>
    <w:rsid w:val="00E74E4E"/>
    <w:rsid w:val="00E75836"/>
    <w:rsid w:val="00E770D5"/>
    <w:rsid w:val="00E77273"/>
    <w:rsid w:val="00E77A38"/>
    <w:rsid w:val="00E77FA6"/>
    <w:rsid w:val="00E800E1"/>
    <w:rsid w:val="00E8021B"/>
    <w:rsid w:val="00E8021D"/>
    <w:rsid w:val="00E805B8"/>
    <w:rsid w:val="00E806DF"/>
    <w:rsid w:val="00E80C76"/>
    <w:rsid w:val="00E817B1"/>
    <w:rsid w:val="00E824E9"/>
    <w:rsid w:val="00E82817"/>
    <w:rsid w:val="00E82AE2"/>
    <w:rsid w:val="00E8315A"/>
    <w:rsid w:val="00E8319C"/>
    <w:rsid w:val="00E834A4"/>
    <w:rsid w:val="00E834D7"/>
    <w:rsid w:val="00E83C35"/>
    <w:rsid w:val="00E83E81"/>
    <w:rsid w:val="00E84019"/>
    <w:rsid w:val="00E8410B"/>
    <w:rsid w:val="00E8461B"/>
    <w:rsid w:val="00E84A55"/>
    <w:rsid w:val="00E8512C"/>
    <w:rsid w:val="00E85867"/>
    <w:rsid w:val="00E85C88"/>
    <w:rsid w:val="00E85DD4"/>
    <w:rsid w:val="00E861DC"/>
    <w:rsid w:val="00E864D5"/>
    <w:rsid w:val="00E86616"/>
    <w:rsid w:val="00E866EA"/>
    <w:rsid w:val="00E86CD2"/>
    <w:rsid w:val="00E8769E"/>
    <w:rsid w:val="00E87970"/>
    <w:rsid w:val="00E87E02"/>
    <w:rsid w:val="00E901E3"/>
    <w:rsid w:val="00E90313"/>
    <w:rsid w:val="00E905D4"/>
    <w:rsid w:val="00E905FB"/>
    <w:rsid w:val="00E90787"/>
    <w:rsid w:val="00E90905"/>
    <w:rsid w:val="00E90DF8"/>
    <w:rsid w:val="00E90F00"/>
    <w:rsid w:val="00E90F89"/>
    <w:rsid w:val="00E9145E"/>
    <w:rsid w:val="00E92596"/>
    <w:rsid w:val="00E92C67"/>
    <w:rsid w:val="00E92DFD"/>
    <w:rsid w:val="00E9329C"/>
    <w:rsid w:val="00E932AD"/>
    <w:rsid w:val="00E93748"/>
    <w:rsid w:val="00E93759"/>
    <w:rsid w:val="00E9387F"/>
    <w:rsid w:val="00E9398B"/>
    <w:rsid w:val="00E93AC1"/>
    <w:rsid w:val="00E93AD1"/>
    <w:rsid w:val="00E93CC4"/>
    <w:rsid w:val="00E9423E"/>
    <w:rsid w:val="00E94A72"/>
    <w:rsid w:val="00E94E9D"/>
    <w:rsid w:val="00E950FD"/>
    <w:rsid w:val="00E95240"/>
    <w:rsid w:val="00E95888"/>
    <w:rsid w:val="00E95E3D"/>
    <w:rsid w:val="00E96211"/>
    <w:rsid w:val="00E9663D"/>
    <w:rsid w:val="00E9674C"/>
    <w:rsid w:val="00E96907"/>
    <w:rsid w:val="00E96AF6"/>
    <w:rsid w:val="00E96BC8"/>
    <w:rsid w:val="00E96DB3"/>
    <w:rsid w:val="00E970F5"/>
    <w:rsid w:val="00E97604"/>
    <w:rsid w:val="00E976C9"/>
    <w:rsid w:val="00E9782C"/>
    <w:rsid w:val="00E97A86"/>
    <w:rsid w:val="00E97D10"/>
    <w:rsid w:val="00E97F75"/>
    <w:rsid w:val="00EA00D9"/>
    <w:rsid w:val="00EA0125"/>
    <w:rsid w:val="00EA017C"/>
    <w:rsid w:val="00EA0C6F"/>
    <w:rsid w:val="00EA0C89"/>
    <w:rsid w:val="00EA0E04"/>
    <w:rsid w:val="00EA1446"/>
    <w:rsid w:val="00EA159D"/>
    <w:rsid w:val="00EA16BB"/>
    <w:rsid w:val="00EA1C63"/>
    <w:rsid w:val="00EA2387"/>
    <w:rsid w:val="00EA2DCC"/>
    <w:rsid w:val="00EA2F48"/>
    <w:rsid w:val="00EA30E8"/>
    <w:rsid w:val="00EA3244"/>
    <w:rsid w:val="00EA3534"/>
    <w:rsid w:val="00EA3596"/>
    <w:rsid w:val="00EA363B"/>
    <w:rsid w:val="00EA38AA"/>
    <w:rsid w:val="00EA4784"/>
    <w:rsid w:val="00EA4795"/>
    <w:rsid w:val="00EA5266"/>
    <w:rsid w:val="00EA5286"/>
    <w:rsid w:val="00EA528B"/>
    <w:rsid w:val="00EA587E"/>
    <w:rsid w:val="00EA5981"/>
    <w:rsid w:val="00EA5CAB"/>
    <w:rsid w:val="00EA64D8"/>
    <w:rsid w:val="00EA6644"/>
    <w:rsid w:val="00EA76E7"/>
    <w:rsid w:val="00EA7C37"/>
    <w:rsid w:val="00EA7C9B"/>
    <w:rsid w:val="00EA7D31"/>
    <w:rsid w:val="00EB07C5"/>
    <w:rsid w:val="00EB0A5E"/>
    <w:rsid w:val="00EB0D2B"/>
    <w:rsid w:val="00EB0D80"/>
    <w:rsid w:val="00EB0EC5"/>
    <w:rsid w:val="00EB0F1B"/>
    <w:rsid w:val="00EB16F4"/>
    <w:rsid w:val="00EB1BBD"/>
    <w:rsid w:val="00EB1EDB"/>
    <w:rsid w:val="00EB2162"/>
    <w:rsid w:val="00EB2457"/>
    <w:rsid w:val="00EB2538"/>
    <w:rsid w:val="00EB2742"/>
    <w:rsid w:val="00EB4B13"/>
    <w:rsid w:val="00EB6034"/>
    <w:rsid w:val="00EB6632"/>
    <w:rsid w:val="00EB6656"/>
    <w:rsid w:val="00EB67C3"/>
    <w:rsid w:val="00EB6F52"/>
    <w:rsid w:val="00EB7360"/>
    <w:rsid w:val="00EB75DA"/>
    <w:rsid w:val="00EB766C"/>
    <w:rsid w:val="00EB7717"/>
    <w:rsid w:val="00EB7ED3"/>
    <w:rsid w:val="00EC032C"/>
    <w:rsid w:val="00EC084C"/>
    <w:rsid w:val="00EC12AC"/>
    <w:rsid w:val="00EC160B"/>
    <w:rsid w:val="00EC1B00"/>
    <w:rsid w:val="00EC1B0C"/>
    <w:rsid w:val="00EC1F35"/>
    <w:rsid w:val="00EC234B"/>
    <w:rsid w:val="00EC2B8D"/>
    <w:rsid w:val="00EC34D2"/>
    <w:rsid w:val="00EC3545"/>
    <w:rsid w:val="00EC3874"/>
    <w:rsid w:val="00EC3E54"/>
    <w:rsid w:val="00EC3F4B"/>
    <w:rsid w:val="00EC49E2"/>
    <w:rsid w:val="00EC4C85"/>
    <w:rsid w:val="00EC5BD4"/>
    <w:rsid w:val="00EC6412"/>
    <w:rsid w:val="00ED0BF1"/>
    <w:rsid w:val="00ED0FA5"/>
    <w:rsid w:val="00ED1433"/>
    <w:rsid w:val="00ED1B02"/>
    <w:rsid w:val="00ED1B04"/>
    <w:rsid w:val="00ED1CEB"/>
    <w:rsid w:val="00ED24BF"/>
    <w:rsid w:val="00ED3134"/>
    <w:rsid w:val="00ED3300"/>
    <w:rsid w:val="00ED346C"/>
    <w:rsid w:val="00ED346F"/>
    <w:rsid w:val="00ED39AF"/>
    <w:rsid w:val="00ED3A52"/>
    <w:rsid w:val="00ED416A"/>
    <w:rsid w:val="00ED494F"/>
    <w:rsid w:val="00ED4BBB"/>
    <w:rsid w:val="00ED56E2"/>
    <w:rsid w:val="00ED58CF"/>
    <w:rsid w:val="00ED5E3F"/>
    <w:rsid w:val="00ED648D"/>
    <w:rsid w:val="00ED6A07"/>
    <w:rsid w:val="00ED7069"/>
    <w:rsid w:val="00ED7093"/>
    <w:rsid w:val="00ED7E18"/>
    <w:rsid w:val="00EE04B6"/>
    <w:rsid w:val="00EE0A01"/>
    <w:rsid w:val="00EE0DF5"/>
    <w:rsid w:val="00EE169C"/>
    <w:rsid w:val="00EE18AE"/>
    <w:rsid w:val="00EE23DE"/>
    <w:rsid w:val="00EE28AE"/>
    <w:rsid w:val="00EE2997"/>
    <w:rsid w:val="00EE322A"/>
    <w:rsid w:val="00EE35B8"/>
    <w:rsid w:val="00EE3B00"/>
    <w:rsid w:val="00EE40B7"/>
    <w:rsid w:val="00EE4760"/>
    <w:rsid w:val="00EE524D"/>
    <w:rsid w:val="00EE5303"/>
    <w:rsid w:val="00EE5321"/>
    <w:rsid w:val="00EE5A84"/>
    <w:rsid w:val="00EE619B"/>
    <w:rsid w:val="00EE6324"/>
    <w:rsid w:val="00EE6617"/>
    <w:rsid w:val="00EE6637"/>
    <w:rsid w:val="00EE6B1F"/>
    <w:rsid w:val="00EE6D5C"/>
    <w:rsid w:val="00EE6E05"/>
    <w:rsid w:val="00EE74D0"/>
    <w:rsid w:val="00EE7B26"/>
    <w:rsid w:val="00EF09FA"/>
    <w:rsid w:val="00EF1144"/>
    <w:rsid w:val="00EF15A2"/>
    <w:rsid w:val="00EF1C4E"/>
    <w:rsid w:val="00EF209C"/>
    <w:rsid w:val="00EF242E"/>
    <w:rsid w:val="00EF26CE"/>
    <w:rsid w:val="00EF2C7A"/>
    <w:rsid w:val="00EF2E18"/>
    <w:rsid w:val="00EF2FC8"/>
    <w:rsid w:val="00EF3262"/>
    <w:rsid w:val="00EF370C"/>
    <w:rsid w:val="00EF3FDE"/>
    <w:rsid w:val="00EF425E"/>
    <w:rsid w:val="00EF47B4"/>
    <w:rsid w:val="00EF4920"/>
    <w:rsid w:val="00EF4C0D"/>
    <w:rsid w:val="00EF4C98"/>
    <w:rsid w:val="00EF522E"/>
    <w:rsid w:val="00EF52BE"/>
    <w:rsid w:val="00EF5B91"/>
    <w:rsid w:val="00EF63C8"/>
    <w:rsid w:val="00EF6528"/>
    <w:rsid w:val="00EF67D7"/>
    <w:rsid w:val="00EF6A3B"/>
    <w:rsid w:val="00EF6AD6"/>
    <w:rsid w:val="00EF6D94"/>
    <w:rsid w:val="00EF6F1C"/>
    <w:rsid w:val="00EF71BD"/>
    <w:rsid w:val="00EF7336"/>
    <w:rsid w:val="00EF73A4"/>
    <w:rsid w:val="00EF7565"/>
    <w:rsid w:val="00EF7888"/>
    <w:rsid w:val="00F004B4"/>
    <w:rsid w:val="00F0054E"/>
    <w:rsid w:val="00F00A0F"/>
    <w:rsid w:val="00F00A31"/>
    <w:rsid w:val="00F00AEB"/>
    <w:rsid w:val="00F01071"/>
    <w:rsid w:val="00F012DA"/>
    <w:rsid w:val="00F01578"/>
    <w:rsid w:val="00F024A8"/>
    <w:rsid w:val="00F02C27"/>
    <w:rsid w:val="00F02D2E"/>
    <w:rsid w:val="00F03555"/>
    <w:rsid w:val="00F03595"/>
    <w:rsid w:val="00F038F0"/>
    <w:rsid w:val="00F03D51"/>
    <w:rsid w:val="00F03E7B"/>
    <w:rsid w:val="00F03EB5"/>
    <w:rsid w:val="00F041BE"/>
    <w:rsid w:val="00F043AC"/>
    <w:rsid w:val="00F04465"/>
    <w:rsid w:val="00F04B22"/>
    <w:rsid w:val="00F04BA4"/>
    <w:rsid w:val="00F052E4"/>
    <w:rsid w:val="00F056EF"/>
    <w:rsid w:val="00F05A64"/>
    <w:rsid w:val="00F05D6A"/>
    <w:rsid w:val="00F05F60"/>
    <w:rsid w:val="00F06580"/>
    <w:rsid w:val="00F06CB0"/>
    <w:rsid w:val="00F06EB9"/>
    <w:rsid w:val="00F073C6"/>
    <w:rsid w:val="00F07425"/>
    <w:rsid w:val="00F07F59"/>
    <w:rsid w:val="00F10309"/>
    <w:rsid w:val="00F1050E"/>
    <w:rsid w:val="00F10648"/>
    <w:rsid w:val="00F11553"/>
    <w:rsid w:val="00F11573"/>
    <w:rsid w:val="00F11C40"/>
    <w:rsid w:val="00F11D55"/>
    <w:rsid w:val="00F12032"/>
    <w:rsid w:val="00F1219D"/>
    <w:rsid w:val="00F12343"/>
    <w:rsid w:val="00F12569"/>
    <w:rsid w:val="00F12DED"/>
    <w:rsid w:val="00F13800"/>
    <w:rsid w:val="00F13912"/>
    <w:rsid w:val="00F13F31"/>
    <w:rsid w:val="00F13F54"/>
    <w:rsid w:val="00F1405C"/>
    <w:rsid w:val="00F14231"/>
    <w:rsid w:val="00F14839"/>
    <w:rsid w:val="00F149CA"/>
    <w:rsid w:val="00F14A85"/>
    <w:rsid w:val="00F14AC0"/>
    <w:rsid w:val="00F14E11"/>
    <w:rsid w:val="00F150F0"/>
    <w:rsid w:val="00F152EA"/>
    <w:rsid w:val="00F158C4"/>
    <w:rsid w:val="00F158DF"/>
    <w:rsid w:val="00F15A85"/>
    <w:rsid w:val="00F15D9D"/>
    <w:rsid w:val="00F16295"/>
    <w:rsid w:val="00F16B60"/>
    <w:rsid w:val="00F16C76"/>
    <w:rsid w:val="00F16CB1"/>
    <w:rsid w:val="00F171C6"/>
    <w:rsid w:val="00F1721C"/>
    <w:rsid w:val="00F173FF"/>
    <w:rsid w:val="00F17C15"/>
    <w:rsid w:val="00F17C73"/>
    <w:rsid w:val="00F17C81"/>
    <w:rsid w:val="00F17C8C"/>
    <w:rsid w:val="00F20682"/>
    <w:rsid w:val="00F20B7C"/>
    <w:rsid w:val="00F20BFC"/>
    <w:rsid w:val="00F216BB"/>
    <w:rsid w:val="00F21712"/>
    <w:rsid w:val="00F2177C"/>
    <w:rsid w:val="00F217E7"/>
    <w:rsid w:val="00F21A18"/>
    <w:rsid w:val="00F22167"/>
    <w:rsid w:val="00F234C8"/>
    <w:rsid w:val="00F23667"/>
    <w:rsid w:val="00F23843"/>
    <w:rsid w:val="00F2428E"/>
    <w:rsid w:val="00F24568"/>
    <w:rsid w:val="00F24804"/>
    <w:rsid w:val="00F24952"/>
    <w:rsid w:val="00F24A5E"/>
    <w:rsid w:val="00F251AB"/>
    <w:rsid w:val="00F25F4D"/>
    <w:rsid w:val="00F2605D"/>
    <w:rsid w:val="00F260A6"/>
    <w:rsid w:val="00F26215"/>
    <w:rsid w:val="00F262C2"/>
    <w:rsid w:val="00F26899"/>
    <w:rsid w:val="00F26F5E"/>
    <w:rsid w:val="00F277B2"/>
    <w:rsid w:val="00F278D2"/>
    <w:rsid w:val="00F27B71"/>
    <w:rsid w:val="00F27F67"/>
    <w:rsid w:val="00F30541"/>
    <w:rsid w:val="00F30769"/>
    <w:rsid w:val="00F30C7C"/>
    <w:rsid w:val="00F30E46"/>
    <w:rsid w:val="00F30F2A"/>
    <w:rsid w:val="00F315B8"/>
    <w:rsid w:val="00F31811"/>
    <w:rsid w:val="00F31A20"/>
    <w:rsid w:val="00F31DBD"/>
    <w:rsid w:val="00F32A69"/>
    <w:rsid w:val="00F32AC1"/>
    <w:rsid w:val="00F32B3F"/>
    <w:rsid w:val="00F32F8B"/>
    <w:rsid w:val="00F33163"/>
    <w:rsid w:val="00F33793"/>
    <w:rsid w:val="00F33B09"/>
    <w:rsid w:val="00F33BE0"/>
    <w:rsid w:val="00F341D4"/>
    <w:rsid w:val="00F34763"/>
    <w:rsid w:val="00F348F6"/>
    <w:rsid w:val="00F34A99"/>
    <w:rsid w:val="00F34D70"/>
    <w:rsid w:val="00F35171"/>
    <w:rsid w:val="00F36212"/>
    <w:rsid w:val="00F36635"/>
    <w:rsid w:val="00F36A02"/>
    <w:rsid w:val="00F36CCF"/>
    <w:rsid w:val="00F371EB"/>
    <w:rsid w:val="00F40462"/>
    <w:rsid w:val="00F419B5"/>
    <w:rsid w:val="00F41B93"/>
    <w:rsid w:val="00F41BC2"/>
    <w:rsid w:val="00F41EF1"/>
    <w:rsid w:val="00F41FA7"/>
    <w:rsid w:val="00F43182"/>
    <w:rsid w:val="00F43BF0"/>
    <w:rsid w:val="00F43C3E"/>
    <w:rsid w:val="00F43D03"/>
    <w:rsid w:val="00F43EA5"/>
    <w:rsid w:val="00F43F2D"/>
    <w:rsid w:val="00F441CC"/>
    <w:rsid w:val="00F44447"/>
    <w:rsid w:val="00F444B3"/>
    <w:rsid w:val="00F444D3"/>
    <w:rsid w:val="00F4466C"/>
    <w:rsid w:val="00F4466D"/>
    <w:rsid w:val="00F44B18"/>
    <w:rsid w:val="00F454FB"/>
    <w:rsid w:val="00F456D4"/>
    <w:rsid w:val="00F459A1"/>
    <w:rsid w:val="00F45CCD"/>
    <w:rsid w:val="00F4613A"/>
    <w:rsid w:val="00F469D3"/>
    <w:rsid w:val="00F46FE0"/>
    <w:rsid w:val="00F47273"/>
    <w:rsid w:val="00F4753F"/>
    <w:rsid w:val="00F47606"/>
    <w:rsid w:val="00F47E7F"/>
    <w:rsid w:val="00F502CA"/>
    <w:rsid w:val="00F505DE"/>
    <w:rsid w:val="00F5060C"/>
    <w:rsid w:val="00F50858"/>
    <w:rsid w:val="00F50B4F"/>
    <w:rsid w:val="00F50C33"/>
    <w:rsid w:val="00F50FE2"/>
    <w:rsid w:val="00F5146D"/>
    <w:rsid w:val="00F51903"/>
    <w:rsid w:val="00F51C99"/>
    <w:rsid w:val="00F51EE1"/>
    <w:rsid w:val="00F523DC"/>
    <w:rsid w:val="00F52528"/>
    <w:rsid w:val="00F526E0"/>
    <w:rsid w:val="00F52B7F"/>
    <w:rsid w:val="00F5340B"/>
    <w:rsid w:val="00F5378C"/>
    <w:rsid w:val="00F538DB"/>
    <w:rsid w:val="00F539B2"/>
    <w:rsid w:val="00F54444"/>
    <w:rsid w:val="00F545B6"/>
    <w:rsid w:val="00F560A1"/>
    <w:rsid w:val="00F56711"/>
    <w:rsid w:val="00F56785"/>
    <w:rsid w:val="00F604D0"/>
    <w:rsid w:val="00F607F2"/>
    <w:rsid w:val="00F60D12"/>
    <w:rsid w:val="00F615C2"/>
    <w:rsid w:val="00F6186C"/>
    <w:rsid w:val="00F61B64"/>
    <w:rsid w:val="00F62149"/>
    <w:rsid w:val="00F623B4"/>
    <w:rsid w:val="00F625BA"/>
    <w:rsid w:val="00F62920"/>
    <w:rsid w:val="00F62959"/>
    <w:rsid w:val="00F6328A"/>
    <w:rsid w:val="00F63657"/>
    <w:rsid w:val="00F63B98"/>
    <w:rsid w:val="00F63CC4"/>
    <w:rsid w:val="00F63F25"/>
    <w:rsid w:val="00F6442E"/>
    <w:rsid w:val="00F64F88"/>
    <w:rsid w:val="00F653A3"/>
    <w:rsid w:val="00F6571F"/>
    <w:rsid w:val="00F65A18"/>
    <w:rsid w:val="00F65B2B"/>
    <w:rsid w:val="00F65C2D"/>
    <w:rsid w:val="00F66B18"/>
    <w:rsid w:val="00F66B5C"/>
    <w:rsid w:val="00F6762C"/>
    <w:rsid w:val="00F67783"/>
    <w:rsid w:val="00F67A9B"/>
    <w:rsid w:val="00F70570"/>
    <w:rsid w:val="00F70839"/>
    <w:rsid w:val="00F70BC5"/>
    <w:rsid w:val="00F70D35"/>
    <w:rsid w:val="00F71279"/>
    <w:rsid w:val="00F714BA"/>
    <w:rsid w:val="00F71ED1"/>
    <w:rsid w:val="00F721A4"/>
    <w:rsid w:val="00F721A6"/>
    <w:rsid w:val="00F726ED"/>
    <w:rsid w:val="00F73063"/>
    <w:rsid w:val="00F735CE"/>
    <w:rsid w:val="00F73640"/>
    <w:rsid w:val="00F73855"/>
    <w:rsid w:val="00F73DCF"/>
    <w:rsid w:val="00F747A4"/>
    <w:rsid w:val="00F755CE"/>
    <w:rsid w:val="00F75831"/>
    <w:rsid w:val="00F76CC9"/>
    <w:rsid w:val="00F76D8E"/>
    <w:rsid w:val="00F7772B"/>
    <w:rsid w:val="00F777CB"/>
    <w:rsid w:val="00F77C26"/>
    <w:rsid w:val="00F77EE5"/>
    <w:rsid w:val="00F804C7"/>
    <w:rsid w:val="00F80C86"/>
    <w:rsid w:val="00F81D46"/>
    <w:rsid w:val="00F8218C"/>
    <w:rsid w:val="00F82CBB"/>
    <w:rsid w:val="00F830E4"/>
    <w:rsid w:val="00F83441"/>
    <w:rsid w:val="00F83676"/>
    <w:rsid w:val="00F83AAE"/>
    <w:rsid w:val="00F83D39"/>
    <w:rsid w:val="00F83D4B"/>
    <w:rsid w:val="00F83F48"/>
    <w:rsid w:val="00F841DC"/>
    <w:rsid w:val="00F84632"/>
    <w:rsid w:val="00F846D9"/>
    <w:rsid w:val="00F84A8E"/>
    <w:rsid w:val="00F84C49"/>
    <w:rsid w:val="00F84E9A"/>
    <w:rsid w:val="00F850B6"/>
    <w:rsid w:val="00F85817"/>
    <w:rsid w:val="00F85ABC"/>
    <w:rsid w:val="00F85C9D"/>
    <w:rsid w:val="00F86A5C"/>
    <w:rsid w:val="00F86B43"/>
    <w:rsid w:val="00F86B6B"/>
    <w:rsid w:val="00F86CB5"/>
    <w:rsid w:val="00F87032"/>
    <w:rsid w:val="00F87315"/>
    <w:rsid w:val="00F87368"/>
    <w:rsid w:val="00F87823"/>
    <w:rsid w:val="00F901F9"/>
    <w:rsid w:val="00F907C5"/>
    <w:rsid w:val="00F90EBC"/>
    <w:rsid w:val="00F91C3B"/>
    <w:rsid w:val="00F92839"/>
    <w:rsid w:val="00F93673"/>
    <w:rsid w:val="00F93A6D"/>
    <w:rsid w:val="00F93D75"/>
    <w:rsid w:val="00F94223"/>
    <w:rsid w:val="00F94453"/>
    <w:rsid w:val="00F94612"/>
    <w:rsid w:val="00F94B1A"/>
    <w:rsid w:val="00F94F26"/>
    <w:rsid w:val="00F95714"/>
    <w:rsid w:val="00F957BA"/>
    <w:rsid w:val="00F957C9"/>
    <w:rsid w:val="00F95ACF"/>
    <w:rsid w:val="00F95AF9"/>
    <w:rsid w:val="00F95C3A"/>
    <w:rsid w:val="00F95F01"/>
    <w:rsid w:val="00F964E7"/>
    <w:rsid w:val="00F968E6"/>
    <w:rsid w:val="00F96B69"/>
    <w:rsid w:val="00F96D51"/>
    <w:rsid w:val="00F97259"/>
    <w:rsid w:val="00F97DEB"/>
    <w:rsid w:val="00F97F5A"/>
    <w:rsid w:val="00FA0340"/>
    <w:rsid w:val="00FA0D08"/>
    <w:rsid w:val="00FA1046"/>
    <w:rsid w:val="00FA1695"/>
    <w:rsid w:val="00FA1888"/>
    <w:rsid w:val="00FA1FEE"/>
    <w:rsid w:val="00FA29E5"/>
    <w:rsid w:val="00FA311B"/>
    <w:rsid w:val="00FA3595"/>
    <w:rsid w:val="00FA3792"/>
    <w:rsid w:val="00FA38C6"/>
    <w:rsid w:val="00FA44C7"/>
    <w:rsid w:val="00FA4A18"/>
    <w:rsid w:val="00FA4CAC"/>
    <w:rsid w:val="00FA584D"/>
    <w:rsid w:val="00FA58EA"/>
    <w:rsid w:val="00FA5AD5"/>
    <w:rsid w:val="00FA5DA2"/>
    <w:rsid w:val="00FA6B4B"/>
    <w:rsid w:val="00FA7084"/>
    <w:rsid w:val="00FA75B6"/>
    <w:rsid w:val="00FA776B"/>
    <w:rsid w:val="00FB03A9"/>
    <w:rsid w:val="00FB0AF8"/>
    <w:rsid w:val="00FB1273"/>
    <w:rsid w:val="00FB1413"/>
    <w:rsid w:val="00FB1771"/>
    <w:rsid w:val="00FB183F"/>
    <w:rsid w:val="00FB1D74"/>
    <w:rsid w:val="00FB20A0"/>
    <w:rsid w:val="00FB22A4"/>
    <w:rsid w:val="00FB244D"/>
    <w:rsid w:val="00FB2E32"/>
    <w:rsid w:val="00FB3396"/>
    <w:rsid w:val="00FB34BE"/>
    <w:rsid w:val="00FB3FD1"/>
    <w:rsid w:val="00FB4379"/>
    <w:rsid w:val="00FB470A"/>
    <w:rsid w:val="00FB4CAF"/>
    <w:rsid w:val="00FB5221"/>
    <w:rsid w:val="00FB5CA5"/>
    <w:rsid w:val="00FB6B1C"/>
    <w:rsid w:val="00FB6C27"/>
    <w:rsid w:val="00FB6ED0"/>
    <w:rsid w:val="00FB702D"/>
    <w:rsid w:val="00FC05C2"/>
    <w:rsid w:val="00FC0A72"/>
    <w:rsid w:val="00FC0EDE"/>
    <w:rsid w:val="00FC120E"/>
    <w:rsid w:val="00FC12E3"/>
    <w:rsid w:val="00FC15FD"/>
    <w:rsid w:val="00FC1751"/>
    <w:rsid w:val="00FC1B1A"/>
    <w:rsid w:val="00FC2A07"/>
    <w:rsid w:val="00FC2E0E"/>
    <w:rsid w:val="00FC2E80"/>
    <w:rsid w:val="00FC3413"/>
    <w:rsid w:val="00FC351D"/>
    <w:rsid w:val="00FC4190"/>
    <w:rsid w:val="00FC42B6"/>
    <w:rsid w:val="00FC4B0C"/>
    <w:rsid w:val="00FC5FC9"/>
    <w:rsid w:val="00FC6266"/>
    <w:rsid w:val="00FC6EF8"/>
    <w:rsid w:val="00FC776E"/>
    <w:rsid w:val="00FC7DE0"/>
    <w:rsid w:val="00FD078E"/>
    <w:rsid w:val="00FD084C"/>
    <w:rsid w:val="00FD085B"/>
    <w:rsid w:val="00FD0CCD"/>
    <w:rsid w:val="00FD1592"/>
    <w:rsid w:val="00FD167D"/>
    <w:rsid w:val="00FD2517"/>
    <w:rsid w:val="00FD2755"/>
    <w:rsid w:val="00FD2B1D"/>
    <w:rsid w:val="00FD32E4"/>
    <w:rsid w:val="00FD3799"/>
    <w:rsid w:val="00FD3F94"/>
    <w:rsid w:val="00FD4075"/>
    <w:rsid w:val="00FD490F"/>
    <w:rsid w:val="00FD493D"/>
    <w:rsid w:val="00FD4C60"/>
    <w:rsid w:val="00FD4E08"/>
    <w:rsid w:val="00FD50B7"/>
    <w:rsid w:val="00FD532D"/>
    <w:rsid w:val="00FD53A9"/>
    <w:rsid w:val="00FD5798"/>
    <w:rsid w:val="00FD5896"/>
    <w:rsid w:val="00FD5E27"/>
    <w:rsid w:val="00FD61AD"/>
    <w:rsid w:val="00FD6288"/>
    <w:rsid w:val="00FD6C34"/>
    <w:rsid w:val="00FD731F"/>
    <w:rsid w:val="00FD7A2F"/>
    <w:rsid w:val="00FD7D6C"/>
    <w:rsid w:val="00FE06E8"/>
    <w:rsid w:val="00FE15AF"/>
    <w:rsid w:val="00FE199E"/>
    <w:rsid w:val="00FE1D87"/>
    <w:rsid w:val="00FE273F"/>
    <w:rsid w:val="00FE2805"/>
    <w:rsid w:val="00FE2C6E"/>
    <w:rsid w:val="00FE34EA"/>
    <w:rsid w:val="00FE3D28"/>
    <w:rsid w:val="00FE3F62"/>
    <w:rsid w:val="00FE48BF"/>
    <w:rsid w:val="00FE48E8"/>
    <w:rsid w:val="00FE530D"/>
    <w:rsid w:val="00FE577B"/>
    <w:rsid w:val="00FE5D7B"/>
    <w:rsid w:val="00FE5DAA"/>
    <w:rsid w:val="00FE6444"/>
    <w:rsid w:val="00FE66F3"/>
    <w:rsid w:val="00FE6727"/>
    <w:rsid w:val="00FE6C6A"/>
    <w:rsid w:val="00FE6F58"/>
    <w:rsid w:val="00FE75C2"/>
    <w:rsid w:val="00FE785B"/>
    <w:rsid w:val="00FF05E9"/>
    <w:rsid w:val="00FF0CDF"/>
    <w:rsid w:val="00FF171E"/>
    <w:rsid w:val="00FF2024"/>
    <w:rsid w:val="00FF216A"/>
    <w:rsid w:val="00FF244E"/>
    <w:rsid w:val="00FF2490"/>
    <w:rsid w:val="00FF2A06"/>
    <w:rsid w:val="00FF3007"/>
    <w:rsid w:val="00FF3448"/>
    <w:rsid w:val="00FF35BF"/>
    <w:rsid w:val="00FF3A83"/>
    <w:rsid w:val="00FF5125"/>
    <w:rsid w:val="00FF623F"/>
    <w:rsid w:val="00FF6CDA"/>
    <w:rsid w:val="00FF73DC"/>
    <w:rsid w:val="00FF76AF"/>
    <w:rsid w:val="010B83CE"/>
    <w:rsid w:val="010E2E55"/>
    <w:rsid w:val="01173771"/>
    <w:rsid w:val="011EA5EF"/>
    <w:rsid w:val="012C47A2"/>
    <w:rsid w:val="013DAD2F"/>
    <w:rsid w:val="015EEB71"/>
    <w:rsid w:val="017409D9"/>
    <w:rsid w:val="018C60E1"/>
    <w:rsid w:val="0190D9F9"/>
    <w:rsid w:val="01A9D6EC"/>
    <w:rsid w:val="01B8BEFD"/>
    <w:rsid w:val="01C50B22"/>
    <w:rsid w:val="01C603CD"/>
    <w:rsid w:val="01D44FE0"/>
    <w:rsid w:val="020B9FA2"/>
    <w:rsid w:val="021FE0A4"/>
    <w:rsid w:val="022FB4F3"/>
    <w:rsid w:val="0245450C"/>
    <w:rsid w:val="02892B5B"/>
    <w:rsid w:val="029D7331"/>
    <w:rsid w:val="029DCAD0"/>
    <w:rsid w:val="02A25B44"/>
    <w:rsid w:val="02B07B3F"/>
    <w:rsid w:val="02CCBF0D"/>
    <w:rsid w:val="02E852F2"/>
    <w:rsid w:val="02EE1425"/>
    <w:rsid w:val="02FD0044"/>
    <w:rsid w:val="03058BB3"/>
    <w:rsid w:val="0307D9F5"/>
    <w:rsid w:val="0315FDFF"/>
    <w:rsid w:val="0325A4D2"/>
    <w:rsid w:val="032AA514"/>
    <w:rsid w:val="032C5842"/>
    <w:rsid w:val="033A734F"/>
    <w:rsid w:val="034AAAFD"/>
    <w:rsid w:val="0357A46A"/>
    <w:rsid w:val="035DDB27"/>
    <w:rsid w:val="03674B4B"/>
    <w:rsid w:val="037352D6"/>
    <w:rsid w:val="03866598"/>
    <w:rsid w:val="0389E55C"/>
    <w:rsid w:val="03ACD010"/>
    <w:rsid w:val="03E76074"/>
    <w:rsid w:val="03F104DC"/>
    <w:rsid w:val="040088F9"/>
    <w:rsid w:val="04177AF4"/>
    <w:rsid w:val="04433D32"/>
    <w:rsid w:val="04643349"/>
    <w:rsid w:val="04651A48"/>
    <w:rsid w:val="046E13AE"/>
    <w:rsid w:val="047F316B"/>
    <w:rsid w:val="04A96CA3"/>
    <w:rsid w:val="04BEE67C"/>
    <w:rsid w:val="04C30937"/>
    <w:rsid w:val="04CC6946"/>
    <w:rsid w:val="04DDD763"/>
    <w:rsid w:val="04EA9D78"/>
    <w:rsid w:val="04F7146F"/>
    <w:rsid w:val="055227C0"/>
    <w:rsid w:val="0559DBCE"/>
    <w:rsid w:val="0579E0C2"/>
    <w:rsid w:val="05814BF6"/>
    <w:rsid w:val="05826BA7"/>
    <w:rsid w:val="05AB41BC"/>
    <w:rsid w:val="05B316B3"/>
    <w:rsid w:val="05C9664B"/>
    <w:rsid w:val="05CD1307"/>
    <w:rsid w:val="05D5B445"/>
    <w:rsid w:val="05DE773F"/>
    <w:rsid w:val="05E023B9"/>
    <w:rsid w:val="05F134CA"/>
    <w:rsid w:val="05F2AA75"/>
    <w:rsid w:val="05FC84D5"/>
    <w:rsid w:val="0607D990"/>
    <w:rsid w:val="0609FC02"/>
    <w:rsid w:val="061DD1ED"/>
    <w:rsid w:val="0634C286"/>
    <w:rsid w:val="063727D8"/>
    <w:rsid w:val="064405FD"/>
    <w:rsid w:val="065BA55C"/>
    <w:rsid w:val="0673078E"/>
    <w:rsid w:val="0673763E"/>
    <w:rsid w:val="06755406"/>
    <w:rsid w:val="0679A7C4"/>
    <w:rsid w:val="06885A9D"/>
    <w:rsid w:val="069DDB1C"/>
    <w:rsid w:val="070A1053"/>
    <w:rsid w:val="070C0B8A"/>
    <w:rsid w:val="074DBAAF"/>
    <w:rsid w:val="0758148A"/>
    <w:rsid w:val="07591163"/>
    <w:rsid w:val="0764120D"/>
    <w:rsid w:val="07739A83"/>
    <w:rsid w:val="07802D72"/>
    <w:rsid w:val="078C6889"/>
    <w:rsid w:val="078E1DF0"/>
    <w:rsid w:val="07A2E874"/>
    <w:rsid w:val="07A3B777"/>
    <w:rsid w:val="07BE8071"/>
    <w:rsid w:val="07DFD65E"/>
    <w:rsid w:val="07DFE769"/>
    <w:rsid w:val="07E7790C"/>
    <w:rsid w:val="07F846B8"/>
    <w:rsid w:val="08283878"/>
    <w:rsid w:val="082F02D1"/>
    <w:rsid w:val="082F5B39"/>
    <w:rsid w:val="08766E74"/>
    <w:rsid w:val="087913E4"/>
    <w:rsid w:val="0884FA72"/>
    <w:rsid w:val="08872611"/>
    <w:rsid w:val="08996A16"/>
    <w:rsid w:val="08A9EDBB"/>
    <w:rsid w:val="08B3A0C2"/>
    <w:rsid w:val="08BE3A93"/>
    <w:rsid w:val="08BE4695"/>
    <w:rsid w:val="08C6A533"/>
    <w:rsid w:val="08D51356"/>
    <w:rsid w:val="08D928CF"/>
    <w:rsid w:val="08DF4482"/>
    <w:rsid w:val="08F5B6F8"/>
    <w:rsid w:val="090BB1FE"/>
    <w:rsid w:val="092160BF"/>
    <w:rsid w:val="09449ABF"/>
    <w:rsid w:val="094F051A"/>
    <w:rsid w:val="09535FBB"/>
    <w:rsid w:val="09652E5A"/>
    <w:rsid w:val="096FB116"/>
    <w:rsid w:val="0977255F"/>
    <w:rsid w:val="09853F83"/>
    <w:rsid w:val="0988D973"/>
    <w:rsid w:val="09949C9C"/>
    <w:rsid w:val="09AE7FB4"/>
    <w:rsid w:val="09B86B50"/>
    <w:rsid w:val="09CB09EB"/>
    <w:rsid w:val="09EE0991"/>
    <w:rsid w:val="0A11CF00"/>
    <w:rsid w:val="0A53CF86"/>
    <w:rsid w:val="0A96BD5F"/>
    <w:rsid w:val="0A9DBFE6"/>
    <w:rsid w:val="0AA3580E"/>
    <w:rsid w:val="0AB137F7"/>
    <w:rsid w:val="0AD6818E"/>
    <w:rsid w:val="0AD7266B"/>
    <w:rsid w:val="0AFA9118"/>
    <w:rsid w:val="0B005DC0"/>
    <w:rsid w:val="0B078585"/>
    <w:rsid w:val="0B07A465"/>
    <w:rsid w:val="0B6EA389"/>
    <w:rsid w:val="0B7F661D"/>
    <w:rsid w:val="0B8FCC73"/>
    <w:rsid w:val="0BAC1BE0"/>
    <w:rsid w:val="0BD10970"/>
    <w:rsid w:val="0BFF72EF"/>
    <w:rsid w:val="0BFFB184"/>
    <w:rsid w:val="0C0F854B"/>
    <w:rsid w:val="0C1EC1CB"/>
    <w:rsid w:val="0C1FC5F7"/>
    <w:rsid w:val="0C4E049C"/>
    <w:rsid w:val="0C512124"/>
    <w:rsid w:val="0C6400A1"/>
    <w:rsid w:val="0C70157E"/>
    <w:rsid w:val="0C7F506B"/>
    <w:rsid w:val="0C9FF2C7"/>
    <w:rsid w:val="0CA7E6C8"/>
    <w:rsid w:val="0CB35EBB"/>
    <w:rsid w:val="0CC6ABEB"/>
    <w:rsid w:val="0CE2BA1B"/>
    <w:rsid w:val="0CE2E430"/>
    <w:rsid w:val="0CFAA352"/>
    <w:rsid w:val="0D247E90"/>
    <w:rsid w:val="0D3015DE"/>
    <w:rsid w:val="0D319523"/>
    <w:rsid w:val="0D4CC081"/>
    <w:rsid w:val="0D645D96"/>
    <w:rsid w:val="0D797C8A"/>
    <w:rsid w:val="0D9457D0"/>
    <w:rsid w:val="0D9DC55D"/>
    <w:rsid w:val="0DA25227"/>
    <w:rsid w:val="0DA3BC08"/>
    <w:rsid w:val="0DB535C4"/>
    <w:rsid w:val="0DB8AD2F"/>
    <w:rsid w:val="0DC044EA"/>
    <w:rsid w:val="0DC0F46E"/>
    <w:rsid w:val="0DC6DE93"/>
    <w:rsid w:val="0DDFB3D2"/>
    <w:rsid w:val="0DE0F343"/>
    <w:rsid w:val="0DEA7A0B"/>
    <w:rsid w:val="0DEB8636"/>
    <w:rsid w:val="0E0136B2"/>
    <w:rsid w:val="0E0154C1"/>
    <w:rsid w:val="0E059F93"/>
    <w:rsid w:val="0E09BB14"/>
    <w:rsid w:val="0E0F47FB"/>
    <w:rsid w:val="0E3553EE"/>
    <w:rsid w:val="0E3A8242"/>
    <w:rsid w:val="0E58B0A6"/>
    <w:rsid w:val="0E5E38E7"/>
    <w:rsid w:val="0E60B7C2"/>
    <w:rsid w:val="0E68F7AA"/>
    <w:rsid w:val="0E71CC24"/>
    <w:rsid w:val="0E7EC138"/>
    <w:rsid w:val="0E84F1D0"/>
    <w:rsid w:val="0E900F12"/>
    <w:rsid w:val="0EC73513"/>
    <w:rsid w:val="0EDEF891"/>
    <w:rsid w:val="0EEBACF0"/>
    <w:rsid w:val="0F0ADC4A"/>
    <w:rsid w:val="0F1A7E8F"/>
    <w:rsid w:val="0F26761A"/>
    <w:rsid w:val="0F3E1EDE"/>
    <w:rsid w:val="0F42D082"/>
    <w:rsid w:val="0F504AF2"/>
    <w:rsid w:val="0F56EBE7"/>
    <w:rsid w:val="0F7313DB"/>
    <w:rsid w:val="0F7D381D"/>
    <w:rsid w:val="0F860881"/>
    <w:rsid w:val="0F953993"/>
    <w:rsid w:val="0F9A073E"/>
    <w:rsid w:val="0FA7B640"/>
    <w:rsid w:val="0FC68FE1"/>
    <w:rsid w:val="0FD79389"/>
    <w:rsid w:val="0FDB58AA"/>
    <w:rsid w:val="0FE2B950"/>
    <w:rsid w:val="0FF4321C"/>
    <w:rsid w:val="1018C8E8"/>
    <w:rsid w:val="101EF11B"/>
    <w:rsid w:val="1044C918"/>
    <w:rsid w:val="1045F3DE"/>
    <w:rsid w:val="105BB80A"/>
    <w:rsid w:val="1067A44A"/>
    <w:rsid w:val="107A98FA"/>
    <w:rsid w:val="107BCFA9"/>
    <w:rsid w:val="10A47A93"/>
    <w:rsid w:val="10B5B6D2"/>
    <w:rsid w:val="10C3D32E"/>
    <w:rsid w:val="10DD6056"/>
    <w:rsid w:val="10E0E76C"/>
    <w:rsid w:val="10FCDA05"/>
    <w:rsid w:val="110B1F2F"/>
    <w:rsid w:val="1115816D"/>
    <w:rsid w:val="111A88AB"/>
    <w:rsid w:val="112228C3"/>
    <w:rsid w:val="1157A289"/>
    <w:rsid w:val="11778022"/>
    <w:rsid w:val="1180E292"/>
    <w:rsid w:val="119DD4A0"/>
    <w:rsid w:val="11B68E27"/>
    <w:rsid w:val="11C408D0"/>
    <w:rsid w:val="11CD0173"/>
    <w:rsid w:val="11F4D989"/>
    <w:rsid w:val="11FA8083"/>
    <w:rsid w:val="120F4416"/>
    <w:rsid w:val="121A9447"/>
    <w:rsid w:val="12251A0B"/>
    <w:rsid w:val="123BFCE3"/>
    <w:rsid w:val="123F9A45"/>
    <w:rsid w:val="12495990"/>
    <w:rsid w:val="125E379F"/>
    <w:rsid w:val="128233ED"/>
    <w:rsid w:val="1283F649"/>
    <w:rsid w:val="12A74244"/>
    <w:rsid w:val="12B7189B"/>
    <w:rsid w:val="12DF61F4"/>
    <w:rsid w:val="12F5FE20"/>
    <w:rsid w:val="12FCAF76"/>
    <w:rsid w:val="13052034"/>
    <w:rsid w:val="130F344B"/>
    <w:rsid w:val="131E80E2"/>
    <w:rsid w:val="13247221"/>
    <w:rsid w:val="1348E1C8"/>
    <w:rsid w:val="13543145"/>
    <w:rsid w:val="135F5484"/>
    <w:rsid w:val="1360BD3B"/>
    <w:rsid w:val="13778365"/>
    <w:rsid w:val="13881653"/>
    <w:rsid w:val="1388689F"/>
    <w:rsid w:val="138CA3B9"/>
    <w:rsid w:val="138ECBAD"/>
    <w:rsid w:val="1391545D"/>
    <w:rsid w:val="13985CC2"/>
    <w:rsid w:val="13B59775"/>
    <w:rsid w:val="13BA74DC"/>
    <w:rsid w:val="13BB5DF1"/>
    <w:rsid w:val="13DFB6AD"/>
    <w:rsid w:val="13F7EF87"/>
    <w:rsid w:val="141FE4BC"/>
    <w:rsid w:val="1428BE71"/>
    <w:rsid w:val="142C4454"/>
    <w:rsid w:val="1445EE58"/>
    <w:rsid w:val="1455083F"/>
    <w:rsid w:val="1455A29D"/>
    <w:rsid w:val="1461FF06"/>
    <w:rsid w:val="146D9BAF"/>
    <w:rsid w:val="146DCDDE"/>
    <w:rsid w:val="148B35C1"/>
    <w:rsid w:val="148D2AFD"/>
    <w:rsid w:val="149F4DC4"/>
    <w:rsid w:val="14A64790"/>
    <w:rsid w:val="14BA5114"/>
    <w:rsid w:val="14C3FA38"/>
    <w:rsid w:val="14C55FFD"/>
    <w:rsid w:val="14C99883"/>
    <w:rsid w:val="14CE926B"/>
    <w:rsid w:val="14D27B6C"/>
    <w:rsid w:val="14D60D4D"/>
    <w:rsid w:val="14D836E3"/>
    <w:rsid w:val="14E40930"/>
    <w:rsid w:val="14EA00FE"/>
    <w:rsid w:val="14F172C2"/>
    <w:rsid w:val="14F74ABB"/>
    <w:rsid w:val="14FB0AB8"/>
    <w:rsid w:val="1505234B"/>
    <w:rsid w:val="15167B73"/>
    <w:rsid w:val="15227F99"/>
    <w:rsid w:val="15298965"/>
    <w:rsid w:val="154EAC5E"/>
    <w:rsid w:val="156B27FE"/>
    <w:rsid w:val="15AF0CD2"/>
    <w:rsid w:val="15B2306F"/>
    <w:rsid w:val="15C5C300"/>
    <w:rsid w:val="15C8352F"/>
    <w:rsid w:val="15D20F60"/>
    <w:rsid w:val="15EB25D6"/>
    <w:rsid w:val="15F312C1"/>
    <w:rsid w:val="15FBD31B"/>
    <w:rsid w:val="161C7186"/>
    <w:rsid w:val="162B6B85"/>
    <w:rsid w:val="16536438"/>
    <w:rsid w:val="1658E313"/>
    <w:rsid w:val="166D26FA"/>
    <w:rsid w:val="16759F05"/>
    <w:rsid w:val="1693D7EA"/>
    <w:rsid w:val="16B7F4D0"/>
    <w:rsid w:val="16BAA47C"/>
    <w:rsid w:val="16C00961"/>
    <w:rsid w:val="16D62DDB"/>
    <w:rsid w:val="16DA0E7C"/>
    <w:rsid w:val="16DB5144"/>
    <w:rsid w:val="16FB5403"/>
    <w:rsid w:val="1713BD7F"/>
    <w:rsid w:val="171DECC4"/>
    <w:rsid w:val="1736E8F1"/>
    <w:rsid w:val="17393148"/>
    <w:rsid w:val="17395807"/>
    <w:rsid w:val="1740D850"/>
    <w:rsid w:val="175429DB"/>
    <w:rsid w:val="175E4D15"/>
    <w:rsid w:val="17604D4C"/>
    <w:rsid w:val="176DDFC1"/>
    <w:rsid w:val="177220D9"/>
    <w:rsid w:val="1779B34F"/>
    <w:rsid w:val="178FF34E"/>
    <w:rsid w:val="17A46FFD"/>
    <w:rsid w:val="17B88CA6"/>
    <w:rsid w:val="17CADDA9"/>
    <w:rsid w:val="18116F66"/>
    <w:rsid w:val="18142E44"/>
    <w:rsid w:val="1827A927"/>
    <w:rsid w:val="1837D07D"/>
    <w:rsid w:val="1842A382"/>
    <w:rsid w:val="184FDAFD"/>
    <w:rsid w:val="1861CBBC"/>
    <w:rsid w:val="1882EEAA"/>
    <w:rsid w:val="1894C0D9"/>
    <w:rsid w:val="18985717"/>
    <w:rsid w:val="18A6BF32"/>
    <w:rsid w:val="18AA9DB7"/>
    <w:rsid w:val="18E180BE"/>
    <w:rsid w:val="18F5689E"/>
    <w:rsid w:val="191E3CA4"/>
    <w:rsid w:val="19287962"/>
    <w:rsid w:val="19326210"/>
    <w:rsid w:val="1942E054"/>
    <w:rsid w:val="194D7FC1"/>
    <w:rsid w:val="194FFB91"/>
    <w:rsid w:val="19505F0D"/>
    <w:rsid w:val="1957CEDA"/>
    <w:rsid w:val="197BF017"/>
    <w:rsid w:val="19ADA014"/>
    <w:rsid w:val="19AE1208"/>
    <w:rsid w:val="19BC1D2C"/>
    <w:rsid w:val="19C682C8"/>
    <w:rsid w:val="19CB315A"/>
    <w:rsid w:val="19CCFA07"/>
    <w:rsid w:val="19CE9608"/>
    <w:rsid w:val="19F9BCFB"/>
    <w:rsid w:val="1A1C9147"/>
    <w:rsid w:val="1A26D833"/>
    <w:rsid w:val="1A4B24D4"/>
    <w:rsid w:val="1A4BA43B"/>
    <w:rsid w:val="1A50A5A2"/>
    <w:rsid w:val="1A74B348"/>
    <w:rsid w:val="1A7FC989"/>
    <w:rsid w:val="1A827DF5"/>
    <w:rsid w:val="1A8F47BB"/>
    <w:rsid w:val="1A962F69"/>
    <w:rsid w:val="1A9BA652"/>
    <w:rsid w:val="1AA761DA"/>
    <w:rsid w:val="1AB6FE35"/>
    <w:rsid w:val="1ABB736A"/>
    <w:rsid w:val="1AC91823"/>
    <w:rsid w:val="1ADDD90F"/>
    <w:rsid w:val="1B07A321"/>
    <w:rsid w:val="1B113786"/>
    <w:rsid w:val="1B299738"/>
    <w:rsid w:val="1B329989"/>
    <w:rsid w:val="1B37A7EC"/>
    <w:rsid w:val="1B557B77"/>
    <w:rsid w:val="1B60F453"/>
    <w:rsid w:val="1B7E1868"/>
    <w:rsid w:val="1B7F25FF"/>
    <w:rsid w:val="1BA4533C"/>
    <w:rsid w:val="1BB3FFEF"/>
    <w:rsid w:val="1BB96A00"/>
    <w:rsid w:val="1BC9B656"/>
    <w:rsid w:val="1BD62F4C"/>
    <w:rsid w:val="1BD642FB"/>
    <w:rsid w:val="1BD69913"/>
    <w:rsid w:val="1BEA2EB8"/>
    <w:rsid w:val="1BF851D2"/>
    <w:rsid w:val="1C368AA0"/>
    <w:rsid w:val="1C67EE64"/>
    <w:rsid w:val="1C6D768D"/>
    <w:rsid w:val="1C6EB9F4"/>
    <w:rsid w:val="1C7FAC68"/>
    <w:rsid w:val="1C8013A6"/>
    <w:rsid w:val="1CA1171D"/>
    <w:rsid w:val="1CA810AA"/>
    <w:rsid w:val="1CC03778"/>
    <w:rsid w:val="1CC1609E"/>
    <w:rsid w:val="1CC2AC3E"/>
    <w:rsid w:val="1CFFF92D"/>
    <w:rsid w:val="1D0C4D3F"/>
    <w:rsid w:val="1D1A2396"/>
    <w:rsid w:val="1D284410"/>
    <w:rsid w:val="1D2956A9"/>
    <w:rsid w:val="1D29E600"/>
    <w:rsid w:val="1D2A2C7A"/>
    <w:rsid w:val="1D3D2637"/>
    <w:rsid w:val="1D4D14DC"/>
    <w:rsid w:val="1D5134AE"/>
    <w:rsid w:val="1D563E91"/>
    <w:rsid w:val="1D74A11B"/>
    <w:rsid w:val="1D776E01"/>
    <w:rsid w:val="1D8C7823"/>
    <w:rsid w:val="1DA982A6"/>
    <w:rsid w:val="1DAB593C"/>
    <w:rsid w:val="1DB16A92"/>
    <w:rsid w:val="1DBE7D0C"/>
    <w:rsid w:val="1DDF9420"/>
    <w:rsid w:val="1E06DF30"/>
    <w:rsid w:val="1E18AB7A"/>
    <w:rsid w:val="1E1C6FCF"/>
    <w:rsid w:val="1E4C00C0"/>
    <w:rsid w:val="1E643FE6"/>
    <w:rsid w:val="1E6B6283"/>
    <w:rsid w:val="1E841818"/>
    <w:rsid w:val="1E890261"/>
    <w:rsid w:val="1E9EF7D9"/>
    <w:rsid w:val="1EA62490"/>
    <w:rsid w:val="1EAC4E03"/>
    <w:rsid w:val="1EB33C9A"/>
    <w:rsid w:val="1EB4A008"/>
    <w:rsid w:val="1EB83BE8"/>
    <w:rsid w:val="1EBFEE20"/>
    <w:rsid w:val="1EC01503"/>
    <w:rsid w:val="1EC1E41A"/>
    <w:rsid w:val="1ECA129F"/>
    <w:rsid w:val="1ECCFC98"/>
    <w:rsid w:val="1ECFD70D"/>
    <w:rsid w:val="1ED3E850"/>
    <w:rsid w:val="1ED61017"/>
    <w:rsid w:val="1EE55377"/>
    <w:rsid w:val="1EEDA6B8"/>
    <w:rsid w:val="1F07A970"/>
    <w:rsid w:val="1F1AD772"/>
    <w:rsid w:val="1F2C6398"/>
    <w:rsid w:val="1F3481FB"/>
    <w:rsid w:val="1F8350C9"/>
    <w:rsid w:val="1FC1F936"/>
    <w:rsid w:val="1FEC35C2"/>
    <w:rsid w:val="1FF5A4D9"/>
    <w:rsid w:val="2008F993"/>
    <w:rsid w:val="201B3FE3"/>
    <w:rsid w:val="2024AF2F"/>
    <w:rsid w:val="20359B8A"/>
    <w:rsid w:val="20412EC3"/>
    <w:rsid w:val="2044A9F0"/>
    <w:rsid w:val="2044D08B"/>
    <w:rsid w:val="2048DCDD"/>
    <w:rsid w:val="20506FF2"/>
    <w:rsid w:val="2069A43A"/>
    <w:rsid w:val="2071A6D0"/>
    <w:rsid w:val="2088D9DE"/>
    <w:rsid w:val="2092525E"/>
    <w:rsid w:val="20A18010"/>
    <w:rsid w:val="20A40678"/>
    <w:rsid w:val="20E200B7"/>
    <w:rsid w:val="20E4C6D5"/>
    <w:rsid w:val="20F3F14A"/>
    <w:rsid w:val="20F9E68E"/>
    <w:rsid w:val="20FCACC9"/>
    <w:rsid w:val="211D2964"/>
    <w:rsid w:val="2124459C"/>
    <w:rsid w:val="21294353"/>
    <w:rsid w:val="2157E403"/>
    <w:rsid w:val="215838BE"/>
    <w:rsid w:val="21664B40"/>
    <w:rsid w:val="2188532B"/>
    <w:rsid w:val="218B6E79"/>
    <w:rsid w:val="2197C76E"/>
    <w:rsid w:val="2198D44B"/>
    <w:rsid w:val="21995EEA"/>
    <w:rsid w:val="21A67532"/>
    <w:rsid w:val="21A7EEFB"/>
    <w:rsid w:val="21B913C5"/>
    <w:rsid w:val="21C07F90"/>
    <w:rsid w:val="21D52C0D"/>
    <w:rsid w:val="21E25FB8"/>
    <w:rsid w:val="21E5826C"/>
    <w:rsid w:val="21EA3A11"/>
    <w:rsid w:val="21F2C7C1"/>
    <w:rsid w:val="21FC5A95"/>
    <w:rsid w:val="21FD3346"/>
    <w:rsid w:val="21FEAAC9"/>
    <w:rsid w:val="220A0D9A"/>
    <w:rsid w:val="220D93FD"/>
    <w:rsid w:val="2218E0A1"/>
    <w:rsid w:val="22244116"/>
    <w:rsid w:val="2228A865"/>
    <w:rsid w:val="222F4155"/>
    <w:rsid w:val="2235B15A"/>
    <w:rsid w:val="226A815F"/>
    <w:rsid w:val="2279CCA8"/>
    <w:rsid w:val="228AF315"/>
    <w:rsid w:val="229BA13A"/>
    <w:rsid w:val="22A77931"/>
    <w:rsid w:val="22AB5A98"/>
    <w:rsid w:val="22BC74F7"/>
    <w:rsid w:val="22BFD91E"/>
    <w:rsid w:val="22CEA36D"/>
    <w:rsid w:val="22CF631E"/>
    <w:rsid w:val="22CFA245"/>
    <w:rsid w:val="22D2820E"/>
    <w:rsid w:val="22DE60BD"/>
    <w:rsid w:val="22EA9706"/>
    <w:rsid w:val="22F2CB36"/>
    <w:rsid w:val="22FF5371"/>
    <w:rsid w:val="23404D58"/>
    <w:rsid w:val="23424593"/>
    <w:rsid w:val="2347B717"/>
    <w:rsid w:val="234E078A"/>
    <w:rsid w:val="235A69A1"/>
    <w:rsid w:val="235DDE55"/>
    <w:rsid w:val="2360DCA1"/>
    <w:rsid w:val="2392978F"/>
    <w:rsid w:val="239E1841"/>
    <w:rsid w:val="23C80932"/>
    <w:rsid w:val="23C88CC4"/>
    <w:rsid w:val="23CD9437"/>
    <w:rsid w:val="23EA3B5A"/>
    <w:rsid w:val="2426C376"/>
    <w:rsid w:val="243EFF3B"/>
    <w:rsid w:val="2446AEE2"/>
    <w:rsid w:val="247B4383"/>
    <w:rsid w:val="247E8E9D"/>
    <w:rsid w:val="247FB4C6"/>
    <w:rsid w:val="2495E691"/>
    <w:rsid w:val="249DEC02"/>
    <w:rsid w:val="24ACA015"/>
    <w:rsid w:val="24B2F91F"/>
    <w:rsid w:val="24B74CB0"/>
    <w:rsid w:val="24CE845A"/>
    <w:rsid w:val="24D3A4D5"/>
    <w:rsid w:val="24FBC530"/>
    <w:rsid w:val="25000FDB"/>
    <w:rsid w:val="250CEBFB"/>
    <w:rsid w:val="250EEFBF"/>
    <w:rsid w:val="2518E02B"/>
    <w:rsid w:val="252755F2"/>
    <w:rsid w:val="25285637"/>
    <w:rsid w:val="2529A2B6"/>
    <w:rsid w:val="25516226"/>
    <w:rsid w:val="255A0FA1"/>
    <w:rsid w:val="25696498"/>
    <w:rsid w:val="256AC55E"/>
    <w:rsid w:val="256C757C"/>
    <w:rsid w:val="25AB4648"/>
    <w:rsid w:val="25AD453A"/>
    <w:rsid w:val="25C1EA07"/>
    <w:rsid w:val="25C43800"/>
    <w:rsid w:val="25FC3451"/>
    <w:rsid w:val="26234E6F"/>
    <w:rsid w:val="262FF399"/>
    <w:rsid w:val="264E651F"/>
    <w:rsid w:val="265B7155"/>
    <w:rsid w:val="265E4501"/>
    <w:rsid w:val="267304CC"/>
    <w:rsid w:val="2685C87B"/>
    <w:rsid w:val="26BD9B3C"/>
    <w:rsid w:val="26DBF61D"/>
    <w:rsid w:val="2708FC9E"/>
    <w:rsid w:val="271827F8"/>
    <w:rsid w:val="27360D87"/>
    <w:rsid w:val="273F876E"/>
    <w:rsid w:val="2758D9DC"/>
    <w:rsid w:val="27667235"/>
    <w:rsid w:val="2768EE83"/>
    <w:rsid w:val="277CB5AD"/>
    <w:rsid w:val="2794A3F2"/>
    <w:rsid w:val="27AABA51"/>
    <w:rsid w:val="27AB62DC"/>
    <w:rsid w:val="27C7B684"/>
    <w:rsid w:val="27E1D5E8"/>
    <w:rsid w:val="27F36CCA"/>
    <w:rsid w:val="27FC8E59"/>
    <w:rsid w:val="281B0201"/>
    <w:rsid w:val="2827BA37"/>
    <w:rsid w:val="283E8356"/>
    <w:rsid w:val="2841301B"/>
    <w:rsid w:val="28629A30"/>
    <w:rsid w:val="28B6172F"/>
    <w:rsid w:val="28BE25D3"/>
    <w:rsid w:val="28C2993D"/>
    <w:rsid w:val="28DA4928"/>
    <w:rsid w:val="28DF3E5C"/>
    <w:rsid w:val="28F2B13B"/>
    <w:rsid w:val="28F43844"/>
    <w:rsid w:val="28FBD8C2"/>
    <w:rsid w:val="28FCD15E"/>
    <w:rsid w:val="2906FC65"/>
    <w:rsid w:val="2911A6F2"/>
    <w:rsid w:val="291B5F72"/>
    <w:rsid w:val="291E290B"/>
    <w:rsid w:val="292F1AA2"/>
    <w:rsid w:val="29420B3D"/>
    <w:rsid w:val="2964AFFD"/>
    <w:rsid w:val="297BB042"/>
    <w:rsid w:val="297F8D74"/>
    <w:rsid w:val="2983FCBB"/>
    <w:rsid w:val="298B52C3"/>
    <w:rsid w:val="298CAD42"/>
    <w:rsid w:val="2996B37C"/>
    <w:rsid w:val="29A3EA4D"/>
    <w:rsid w:val="29AD879D"/>
    <w:rsid w:val="29AEE978"/>
    <w:rsid w:val="29BE2E90"/>
    <w:rsid w:val="29C0CA9B"/>
    <w:rsid w:val="29C47FCA"/>
    <w:rsid w:val="29D8A8FF"/>
    <w:rsid w:val="29E8D5C0"/>
    <w:rsid w:val="29EE0C9C"/>
    <w:rsid w:val="2A0105DB"/>
    <w:rsid w:val="2A073C8F"/>
    <w:rsid w:val="2A23E7D4"/>
    <w:rsid w:val="2A2426F3"/>
    <w:rsid w:val="2A2FF102"/>
    <w:rsid w:val="2A724EBB"/>
    <w:rsid w:val="2A90A911"/>
    <w:rsid w:val="2AA09A4B"/>
    <w:rsid w:val="2AA96407"/>
    <w:rsid w:val="2AB17E28"/>
    <w:rsid w:val="2ACA7C16"/>
    <w:rsid w:val="2B071876"/>
    <w:rsid w:val="2B0D0A02"/>
    <w:rsid w:val="2B10B03F"/>
    <w:rsid w:val="2B1E24AF"/>
    <w:rsid w:val="2B2342AB"/>
    <w:rsid w:val="2B3C1B39"/>
    <w:rsid w:val="2B514D0C"/>
    <w:rsid w:val="2B52B2D1"/>
    <w:rsid w:val="2B5A3EB7"/>
    <w:rsid w:val="2B68A74F"/>
    <w:rsid w:val="2B9690FB"/>
    <w:rsid w:val="2B9DAA3D"/>
    <w:rsid w:val="2BC53512"/>
    <w:rsid w:val="2BD19F0A"/>
    <w:rsid w:val="2BDF4833"/>
    <w:rsid w:val="2BFE7794"/>
    <w:rsid w:val="2C0F059E"/>
    <w:rsid w:val="2C36FA93"/>
    <w:rsid w:val="2C5EC5BD"/>
    <w:rsid w:val="2C6D06ED"/>
    <w:rsid w:val="2C8EECA1"/>
    <w:rsid w:val="2C943E9C"/>
    <w:rsid w:val="2C9AB905"/>
    <w:rsid w:val="2CB1239A"/>
    <w:rsid w:val="2CB17ECD"/>
    <w:rsid w:val="2CCD0C48"/>
    <w:rsid w:val="2CCE1091"/>
    <w:rsid w:val="2CF9F992"/>
    <w:rsid w:val="2CFE0F9E"/>
    <w:rsid w:val="2D04D00E"/>
    <w:rsid w:val="2D0E5E92"/>
    <w:rsid w:val="2D107D84"/>
    <w:rsid w:val="2D24FD23"/>
    <w:rsid w:val="2D36C912"/>
    <w:rsid w:val="2D3EE2EA"/>
    <w:rsid w:val="2D7EE0A8"/>
    <w:rsid w:val="2D810162"/>
    <w:rsid w:val="2D8CFFB9"/>
    <w:rsid w:val="2D90F1F6"/>
    <w:rsid w:val="2D9CC0DA"/>
    <w:rsid w:val="2DA8D978"/>
    <w:rsid w:val="2DAE438B"/>
    <w:rsid w:val="2DB95EF4"/>
    <w:rsid w:val="2DCC27A6"/>
    <w:rsid w:val="2DF870F8"/>
    <w:rsid w:val="2E15285D"/>
    <w:rsid w:val="2E1BCDAE"/>
    <w:rsid w:val="2E24F9C2"/>
    <w:rsid w:val="2E2A3C94"/>
    <w:rsid w:val="2E3822F8"/>
    <w:rsid w:val="2E4E3AB2"/>
    <w:rsid w:val="2E53A0A7"/>
    <w:rsid w:val="2E64FA10"/>
    <w:rsid w:val="2E833D65"/>
    <w:rsid w:val="2E9AD856"/>
    <w:rsid w:val="2E9FA8E6"/>
    <w:rsid w:val="2EA3D1AC"/>
    <w:rsid w:val="2EB1124E"/>
    <w:rsid w:val="2EC1AE66"/>
    <w:rsid w:val="2ED7B063"/>
    <w:rsid w:val="2EF5A3A6"/>
    <w:rsid w:val="2F010866"/>
    <w:rsid w:val="2F1B2F66"/>
    <w:rsid w:val="2F2764EF"/>
    <w:rsid w:val="2F2AAF2B"/>
    <w:rsid w:val="2F3D235A"/>
    <w:rsid w:val="2F4573E7"/>
    <w:rsid w:val="2F46C18A"/>
    <w:rsid w:val="2F51F1E9"/>
    <w:rsid w:val="2F61B5BB"/>
    <w:rsid w:val="2F6F0175"/>
    <w:rsid w:val="2F77967D"/>
    <w:rsid w:val="2F7DDA99"/>
    <w:rsid w:val="2F83BB5C"/>
    <w:rsid w:val="2F868D7A"/>
    <w:rsid w:val="2F9DC896"/>
    <w:rsid w:val="2FAE1C19"/>
    <w:rsid w:val="2FB0F8BE"/>
    <w:rsid w:val="2FB9A00C"/>
    <w:rsid w:val="2FFC2A66"/>
    <w:rsid w:val="30019755"/>
    <w:rsid w:val="30198B5E"/>
    <w:rsid w:val="3019B080"/>
    <w:rsid w:val="3020C89B"/>
    <w:rsid w:val="3050EE04"/>
    <w:rsid w:val="305D2169"/>
    <w:rsid w:val="30666FB5"/>
    <w:rsid w:val="306BD620"/>
    <w:rsid w:val="3093FF2D"/>
    <w:rsid w:val="3094A83B"/>
    <w:rsid w:val="30A3453D"/>
    <w:rsid w:val="30A7DCCA"/>
    <w:rsid w:val="30D9B561"/>
    <w:rsid w:val="30DE1E74"/>
    <w:rsid w:val="30DEE970"/>
    <w:rsid w:val="30E40294"/>
    <w:rsid w:val="31003882"/>
    <w:rsid w:val="311F8BBD"/>
    <w:rsid w:val="31336F8F"/>
    <w:rsid w:val="3137C80A"/>
    <w:rsid w:val="31602CB6"/>
    <w:rsid w:val="31650D15"/>
    <w:rsid w:val="31732CE6"/>
    <w:rsid w:val="318A1B70"/>
    <w:rsid w:val="31943831"/>
    <w:rsid w:val="3195AADD"/>
    <w:rsid w:val="31AA3876"/>
    <w:rsid w:val="31C1C92D"/>
    <w:rsid w:val="31D3A990"/>
    <w:rsid w:val="31DBAEDD"/>
    <w:rsid w:val="31DC8A6E"/>
    <w:rsid w:val="31ED6442"/>
    <w:rsid w:val="31F60AF4"/>
    <w:rsid w:val="32108FA5"/>
    <w:rsid w:val="3222CD11"/>
    <w:rsid w:val="322E385D"/>
    <w:rsid w:val="323A523C"/>
    <w:rsid w:val="32485A62"/>
    <w:rsid w:val="325A3DC3"/>
    <w:rsid w:val="326539EF"/>
    <w:rsid w:val="32668EB0"/>
    <w:rsid w:val="328020C9"/>
    <w:rsid w:val="328124B1"/>
    <w:rsid w:val="32958854"/>
    <w:rsid w:val="32B4B1CF"/>
    <w:rsid w:val="32CD2867"/>
    <w:rsid w:val="32E0B821"/>
    <w:rsid w:val="33028F07"/>
    <w:rsid w:val="330F9F5D"/>
    <w:rsid w:val="33266FBA"/>
    <w:rsid w:val="3326F6E0"/>
    <w:rsid w:val="3348D6C3"/>
    <w:rsid w:val="3353FD1E"/>
    <w:rsid w:val="33B428BD"/>
    <w:rsid w:val="33C72815"/>
    <w:rsid w:val="33D25874"/>
    <w:rsid w:val="33D5D768"/>
    <w:rsid w:val="33ED90B6"/>
    <w:rsid w:val="340779C3"/>
    <w:rsid w:val="342157B4"/>
    <w:rsid w:val="3424360A"/>
    <w:rsid w:val="3430C700"/>
    <w:rsid w:val="3436A703"/>
    <w:rsid w:val="344FBC7D"/>
    <w:rsid w:val="3458BBF9"/>
    <w:rsid w:val="346E143D"/>
    <w:rsid w:val="347237FA"/>
    <w:rsid w:val="3472DB76"/>
    <w:rsid w:val="34756968"/>
    <w:rsid w:val="3489AC98"/>
    <w:rsid w:val="349393FF"/>
    <w:rsid w:val="34A36199"/>
    <w:rsid w:val="34BAE564"/>
    <w:rsid w:val="34CBD8F3"/>
    <w:rsid w:val="3514FF2F"/>
    <w:rsid w:val="352839E4"/>
    <w:rsid w:val="3529128B"/>
    <w:rsid w:val="352A60D6"/>
    <w:rsid w:val="353346F8"/>
    <w:rsid w:val="353D2129"/>
    <w:rsid w:val="353F45BD"/>
    <w:rsid w:val="3541C379"/>
    <w:rsid w:val="3553957C"/>
    <w:rsid w:val="357D7E16"/>
    <w:rsid w:val="35AB065D"/>
    <w:rsid w:val="35B4CDED"/>
    <w:rsid w:val="35B5D54E"/>
    <w:rsid w:val="35C35E7C"/>
    <w:rsid w:val="35E61EA2"/>
    <w:rsid w:val="35E626ED"/>
    <w:rsid w:val="35F0B4C2"/>
    <w:rsid w:val="3624C3CB"/>
    <w:rsid w:val="36328E79"/>
    <w:rsid w:val="3647C74C"/>
    <w:rsid w:val="365D5F45"/>
    <w:rsid w:val="366416D7"/>
    <w:rsid w:val="3668D266"/>
    <w:rsid w:val="366A09E5"/>
    <w:rsid w:val="3675B2F7"/>
    <w:rsid w:val="3675D222"/>
    <w:rsid w:val="36C3109D"/>
    <w:rsid w:val="36C76ADE"/>
    <w:rsid w:val="36E0EE5A"/>
    <w:rsid w:val="36E83FB6"/>
    <w:rsid w:val="36EFA489"/>
    <w:rsid w:val="36F4F280"/>
    <w:rsid w:val="3700D1AD"/>
    <w:rsid w:val="37139FE3"/>
    <w:rsid w:val="372F0374"/>
    <w:rsid w:val="37403FED"/>
    <w:rsid w:val="3742F0C8"/>
    <w:rsid w:val="3748DA3F"/>
    <w:rsid w:val="374F7F33"/>
    <w:rsid w:val="37516658"/>
    <w:rsid w:val="37523C09"/>
    <w:rsid w:val="375BFDB6"/>
    <w:rsid w:val="375D8A18"/>
    <w:rsid w:val="3768800F"/>
    <w:rsid w:val="37933080"/>
    <w:rsid w:val="3795BDAD"/>
    <w:rsid w:val="37B46E0A"/>
    <w:rsid w:val="37C2F9F7"/>
    <w:rsid w:val="37D464D2"/>
    <w:rsid w:val="37ECB787"/>
    <w:rsid w:val="38016039"/>
    <w:rsid w:val="380D264E"/>
    <w:rsid w:val="3810F74E"/>
    <w:rsid w:val="3821A24D"/>
    <w:rsid w:val="3821D30A"/>
    <w:rsid w:val="382266B6"/>
    <w:rsid w:val="3826BAA4"/>
    <w:rsid w:val="38356F81"/>
    <w:rsid w:val="3862F2E9"/>
    <w:rsid w:val="38630600"/>
    <w:rsid w:val="3876E67F"/>
    <w:rsid w:val="38B3ADB9"/>
    <w:rsid w:val="38BDD652"/>
    <w:rsid w:val="38CDF225"/>
    <w:rsid w:val="38E5B64A"/>
    <w:rsid w:val="39054B0F"/>
    <w:rsid w:val="391AE2AE"/>
    <w:rsid w:val="392A69C8"/>
    <w:rsid w:val="392E63FF"/>
    <w:rsid w:val="397E229E"/>
    <w:rsid w:val="399C9FCC"/>
    <w:rsid w:val="39A91023"/>
    <w:rsid w:val="39ACDA22"/>
    <w:rsid w:val="39D384F0"/>
    <w:rsid w:val="39D4A001"/>
    <w:rsid w:val="39F0394C"/>
    <w:rsid w:val="39F61D23"/>
    <w:rsid w:val="39FBAB07"/>
    <w:rsid w:val="3A050DC9"/>
    <w:rsid w:val="3A38D8D1"/>
    <w:rsid w:val="3A4EAE2D"/>
    <w:rsid w:val="3A55889E"/>
    <w:rsid w:val="3ABB6DD4"/>
    <w:rsid w:val="3AC08D40"/>
    <w:rsid w:val="3AC1D569"/>
    <w:rsid w:val="3AC94021"/>
    <w:rsid w:val="3AD65D5B"/>
    <w:rsid w:val="3ADA029D"/>
    <w:rsid w:val="3AE0822A"/>
    <w:rsid w:val="3B0895A2"/>
    <w:rsid w:val="3B0CD8F2"/>
    <w:rsid w:val="3B129942"/>
    <w:rsid w:val="3B25BF20"/>
    <w:rsid w:val="3B66567C"/>
    <w:rsid w:val="3B9681C0"/>
    <w:rsid w:val="3BB127BC"/>
    <w:rsid w:val="3BB1C100"/>
    <w:rsid w:val="3BBF45DB"/>
    <w:rsid w:val="3BC23D8C"/>
    <w:rsid w:val="3BE2E0B1"/>
    <w:rsid w:val="3C0EEFBA"/>
    <w:rsid w:val="3C1434A8"/>
    <w:rsid w:val="3C2698C1"/>
    <w:rsid w:val="3C2915E0"/>
    <w:rsid w:val="3C2EC2C4"/>
    <w:rsid w:val="3C4224D9"/>
    <w:rsid w:val="3C622C14"/>
    <w:rsid w:val="3C74DC86"/>
    <w:rsid w:val="3C939703"/>
    <w:rsid w:val="3C9495EB"/>
    <w:rsid w:val="3CA11AA2"/>
    <w:rsid w:val="3CA73C09"/>
    <w:rsid w:val="3CAD0784"/>
    <w:rsid w:val="3CADE6DA"/>
    <w:rsid w:val="3CDF557A"/>
    <w:rsid w:val="3CE67682"/>
    <w:rsid w:val="3CF30EAF"/>
    <w:rsid w:val="3D2B8797"/>
    <w:rsid w:val="3D38DB6F"/>
    <w:rsid w:val="3D52BBFF"/>
    <w:rsid w:val="3D911778"/>
    <w:rsid w:val="3D9B5C41"/>
    <w:rsid w:val="3DB23479"/>
    <w:rsid w:val="3DE56DAF"/>
    <w:rsid w:val="3DFF7BCA"/>
    <w:rsid w:val="3E047197"/>
    <w:rsid w:val="3E0627D7"/>
    <w:rsid w:val="3E09C307"/>
    <w:rsid w:val="3E2C5514"/>
    <w:rsid w:val="3E42E6D1"/>
    <w:rsid w:val="3E435878"/>
    <w:rsid w:val="3E4CDD97"/>
    <w:rsid w:val="3E53FA4B"/>
    <w:rsid w:val="3E60D513"/>
    <w:rsid w:val="3E75E3CF"/>
    <w:rsid w:val="3E7CCD2E"/>
    <w:rsid w:val="3E82DE1D"/>
    <w:rsid w:val="3E8BA3E1"/>
    <w:rsid w:val="3EEF5114"/>
    <w:rsid w:val="3EF8C49B"/>
    <w:rsid w:val="3F194493"/>
    <w:rsid w:val="3F35E3D9"/>
    <w:rsid w:val="3F4059AF"/>
    <w:rsid w:val="3F5AF169"/>
    <w:rsid w:val="3F72EE7B"/>
    <w:rsid w:val="3F7385A3"/>
    <w:rsid w:val="3F75B69A"/>
    <w:rsid w:val="3F7DC394"/>
    <w:rsid w:val="3F81C4F6"/>
    <w:rsid w:val="3F96339D"/>
    <w:rsid w:val="3F9E6AC3"/>
    <w:rsid w:val="3F9F1854"/>
    <w:rsid w:val="3FB20F68"/>
    <w:rsid w:val="3FBBF3BE"/>
    <w:rsid w:val="3FC29A14"/>
    <w:rsid w:val="3FC80C95"/>
    <w:rsid w:val="3FCDF7BD"/>
    <w:rsid w:val="3FE0AE0F"/>
    <w:rsid w:val="3FF3C758"/>
    <w:rsid w:val="400BA99E"/>
    <w:rsid w:val="401079BC"/>
    <w:rsid w:val="4010A06A"/>
    <w:rsid w:val="401A3BB6"/>
    <w:rsid w:val="402403C3"/>
    <w:rsid w:val="405936E2"/>
    <w:rsid w:val="405CB983"/>
    <w:rsid w:val="4068D942"/>
    <w:rsid w:val="40721ECE"/>
    <w:rsid w:val="4077C446"/>
    <w:rsid w:val="407C6987"/>
    <w:rsid w:val="40876421"/>
    <w:rsid w:val="408DA219"/>
    <w:rsid w:val="4099B5D6"/>
    <w:rsid w:val="40ACB492"/>
    <w:rsid w:val="40B4EDB6"/>
    <w:rsid w:val="40B71542"/>
    <w:rsid w:val="40B82CE6"/>
    <w:rsid w:val="40BA5C0D"/>
    <w:rsid w:val="40BFA760"/>
    <w:rsid w:val="40C03B22"/>
    <w:rsid w:val="40C9C205"/>
    <w:rsid w:val="40DF8D58"/>
    <w:rsid w:val="40E03AFB"/>
    <w:rsid w:val="40FB564B"/>
    <w:rsid w:val="40FEF47A"/>
    <w:rsid w:val="4102C2B7"/>
    <w:rsid w:val="4103CCBC"/>
    <w:rsid w:val="41045BB6"/>
    <w:rsid w:val="410822D2"/>
    <w:rsid w:val="411FACDC"/>
    <w:rsid w:val="4127CD1C"/>
    <w:rsid w:val="413C9FF3"/>
    <w:rsid w:val="4151B212"/>
    <w:rsid w:val="41C3BFEE"/>
    <w:rsid w:val="41C47DEC"/>
    <w:rsid w:val="41C5C617"/>
    <w:rsid w:val="41C9BD28"/>
    <w:rsid w:val="41C9C41A"/>
    <w:rsid w:val="41D3504B"/>
    <w:rsid w:val="41DC355B"/>
    <w:rsid w:val="41DE80AA"/>
    <w:rsid w:val="4203D227"/>
    <w:rsid w:val="420C6175"/>
    <w:rsid w:val="421AE092"/>
    <w:rsid w:val="42267BCB"/>
    <w:rsid w:val="425792B0"/>
    <w:rsid w:val="42729E61"/>
    <w:rsid w:val="427C7D1F"/>
    <w:rsid w:val="42889A1A"/>
    <w:rsid w:val="428F16D3"/>
    <w:rsid w:val="42A3D83B"/>
    <w:rsid w:val="42B87265"/>
    <w:rsid w:val="42C68CD9"/>
    <w:rsid w:val="42CDD45F"/>
    <w:rsid w:val="42D08F8F"/>
    <w:rsid w:val="42D266EB"/>
    <w:rsid w:val="42D38A58"/>
    <w:rsid w:val="42D73247"/>
    <w:rsid w:val="42E5CA8E"/>
    <w:rsid w:val="430C26D3"/>
    <w:rsid w:val="4316E395"/>
    <w:rsid w:val="431A3457"/>
    <w:rsid w:val="43226470"/>
    <w:rsid w:val="43583D4B"/>
    <w:rsid w:val="43732DC9"/>
    <w:rsid w:val="43768886"/>
    <w:rsid w:val="438A37B7"/>
    <w:rsid w:val="4399AB1E"/>
    <w:rsid w:val="439DAB66"/>
    <w:rsid w:val="43A78D25"/>
    <w:rsid w:val="43BB24AD"/>
    <w:rsid w:val="43CDF799"/>
    <w:rsid w:val="43E31F1B"/>
    <w:rsid w:val="44020743"/>
    <w:rsid w:val="443271EF"/>
    <w:rsid w:val="4441FA45"/>
    <w:rsid w:val="44511543"/>
    <w:rsid w:val="445155D4"/>
    <w:rsid w:val="44533FA0"/>
    <w:rsid w:val="445501E5"/>
    <w:rsid w:val="4463C119"/>
    <w:rsid w:val="446E374C"/>
    <w:rsid w:val="4470C197"/>
    <w:rsid w:val="4476B63C"/>
    <w:rsid w:val="447F2BA7"/>
    <w:rsid w:val="448EAB47"/>
    <w:rsid w:val="4492D9AE"/>
    <w:rsid w:val="4494084A"/>
    <w:rsid w:val="44BB7E13"/>
    <w:rsid w:val="44C059D2"/>
    <w:rsid w:val="44C2F13B"/>
    <w:rsid w:val="44D21C77"/>
    <w:rsid w:val="44D706A2"/>
    <w:rsid w:val="4505310D"/>
    <w:rsid w:val="45291DC8"/>
    <w:rsid w:val="454677C1"/>
    <w:rsid w:val="45628BA9"/>
    <w:rsid w:val="458F0965"/>
    <w:rsid w:val="45B52C01"/>
    <w:rsid w:val="45BD0B7D"/>
    <w:rsid w:val="45D2BD53"/>
    <w:rsid w:val="45ECE5A4"/>
    <w:rsid w:val="45F8E153"/>
    <w:rsid w:val="4607B785"/>
    <w:rsid w:val="4620B669"/>
    <w:rsid w:val="462327CB"/>
    <w:rsid w:val="463390D7"/>
    <w:rsid w:val="463A95A7"/>
    <w:rsid w:val="4640FF00"/>
    <w:rsid w:val="46717A98"/>
    <w:rsid w:val="4683EA99"/>
    <w:rsid w:val="4685590B"/>
    <w:rsid w:val="46C097F7"/>
    <w:rsid w:val="46CAC5A0"/>
    <w:rsid w:val="46DE6F84"/>
    <w:rsid w:val="46E26450"/>
    <w:rsid w:val="4729348B"/>
    <w:rsid w:val="4754606B"/>
    <w:rsid w:val="476FCC57"/>
    <w:rsid w:val="477E50B7"/>
    <w:rsid w:val="478CD6DB"/>
    <w:rsid w:val="4796A5ED"/>
    <w:rsid w:val="47C24582"/>
    <w:rsid w:val="47D531FB"/>
    <w:rsid w:val="47D67DF7"/>
    <w:rsid w:val="47FB33E5"/>
    <w:rsid w:val="481BB24F"/>
    <w:rsid w:val="483D4662"/>
    <w:rsid w:val="483E1060"/>
    <w:rsid w:val="4851AA24"/>
    <w:rsid w:val="485E90C0"/>
    <w:rsid w:val="48634F33"/>
    <w:rsid w:val="487344DB"/>
    <w:rsid w:val="487B3523"/>
    <w:rsid w:val="488652A4"/>
    <w:rsid w:val="4893A0A6"/>
    <w:rsid w:val="48998B73"/>
    <w:rsid w:val="48DADD02"/>
    <w:rsid w:val="48F27199"/>
    <w:rsid w:val="48F59970"/>
    <w:rsid w:val="48F85D2D"/>
    <w:rsid w:val="4902A342"/>
    <w:rsid w:val="490A0D91"/>
    <w:rsid w:val="4924A4A8"/>
    <w:rsid w:val="4935A63F"/>
    <w:rsid w:val="494CA2B8"/>
    <w:rsid w:val="494EEE28"/>
    <w:rsid w:val="4951AD35"/>
    <w:rsid w:val="4953D3CC"/>
    <w:rsid w:val="495CC3F7"/>
    <w:rsid w:val="4980CD3C"/>
    <w:rsid w:val="4981417A"/>
    <w:rsid w:val="4986B8F1"/>
    <w:rsid w:val="49B7A094"/>
    <w:rsid w:val="49BC96C3"/>
    <w:rsid w:val="49C258B7"/>
    <w:rsid w:val="49D8A230"/>
    <w:rsid w:val="49E0D674"/>
    <w:rsid w:val="49F07C80"/>
    <w:rsid w:val="4A060320"/>
    <w:rsid w:val="4A0D5CA7"/>
    <w:rsid w:val="4A352170"/>
    <w:rsid w:val="4A355591"/>
    <w:rsid w:val="4A49E363"/>
    <w:rsid w:val="4A619D0B"/>
    <w:rsid w:val="4A7502F1"/>
    <w:rsid w:val="4A7C29F6"/>
    <w:rsid w:val="4A8E41FA"/>
    <w:rsid w:val="4A9F2765"/>
    <w:rsid w:val="4AB17E04"/>
    <w:rsid w:val="4AB184A3"/>
    <w:rsid w:val="4ABF6DF7"/>
    <w:rsid w:val="4ACA379D"/>
    <w:rsid w:val="4ADCF235"/>
    <w:rsid w:val="4AE035BF"/>
    <w:rsid w:val="4AE5F7C0"/>
    <w:rsid w:val="4AE8BF46"/>
    <w:rsid w:val="4AF4C20F"/>
    <w:rsid w:val="4AFC3140"/>
    <w:rsid w:val="4B03ED38"/>
    <w:rsid w:val="4B535311"/>
    <w:rsid w:val="4B68BB33"/>
    <w:rsid w:val="4B7577D4"/>
    <w:rsid w:val="4B76FACA"/>
    <w:rsid w:val="4B770CDF"/>
    <w:rsid w:val="4B8199B2"/>
    <w:rsid w:val="4B858F6E"/>
    <w:rsid w:val="4B89876C"/>
    <w:rsid w:val="4B9E8B4D"/>
    <w:rsid w:val="4BA7716F"/>
    <w:rsid w:val="4BB8DCCA"/>
    <w:rsid w:val="4BC0E99B"/>
    <w:rsid w:val="4BCB4168"/>
    <w:rsid w:val="4BD07473"/>
    <w:rsid w:val="4BDD7149"/>
    <w:rsid w:val="4BEF3093"/>
    <w:rsid w:val="4C155357"/>
    <w:rsid w:val="4C236342"/>
    <w:rsid w:val="4C2A2D85"/>
    <w:rsid w:val="4C31172E"/>
    <w:rsid w:val="4C4AD44D"/>
    <w:rsid w:val="4C630F33"/>
    <w:rsid w:val="4C6CB54D"/>
    <w:rsid w:val="4C9A4824"/>
    <w:rsid w:val="4CAB9876"/>
    <w:rsid w:val="4CD5FB15"/>
    <w:rsid w:val="4CE66C4A"/>
    <w:rsid w:val="4CE8FCE2"/>
    <w:rsid w:val="4CEA6BEF"/>
    <w:rsid w:val="4CED022D"/>
    <w:rsid w:val="4CF67893"/>
    <w:rsid w:val="4CF7424F"/>
    <w:rsid w:val="4D0FD464"/>
    <w:rsid w:val="4D21CD8D"/>
    <w:rsid w:val="4D408D64"/>
    <w:rsid w:val="4D7941AA"/>
    <w:rsid w:val="4D80F337"/>
    <w:rsid w:val="4D86465C"/>
    <w:rsid w:val="4DA2EF5B"/>
    <w:rsid w:val="4DAC30F1"/>
    <w:rsid w:val="4DC5FDE6"/>
    <w:rsid w:val="4DDECF2C"/>
    <w:rsid w:val="4DE955CD"/>
    <w:rsid w:val="4DF7F789"/>
    <w:rsid w:val="4E536832"/>
    <w:rsid w:val="4E6E1BCF"/>
    <w:rsid w:val="4E71CB76"/>
    <w:rsid w:val="4E71D77F"/>
    <w:rsid w:val="4E8245E0"/>
    <w:rsid w:val="4E92EAF6"/>
    <w:rsid w:val="4EA3D466"/>
    <w:rsid w:val="4EB9BBD9"/>
    <w:rsid w:val="4EC90CCE"/>
    <w:rsid w:val="4EE0C65D"/>
    <w:rsid w:val="4EEAFEF6"/>
    <w:rsid w:val="4EECA715"/>
    <w:rsid w:val="4F0FB2A8"/>
    <w:rsid w:val="4F127EFA"/>
    <w:rsid w:val="4F14AC69"/>
    <w:rsid w:val="4F1FEEC1"/>
    <w:rsid w:val="4F3FDF9F"/>
    <w:rsid w:val="4F40D6AC"/>
    <w:rsid w:val="4F41E84F"/>
    <w:rsid w:val="4F59E0C1"/>
    <w:rsid w:val="4F629D69"/>
    <w:rsid w:val="4F7A00BF"/>
    <w:rsid w:val="4F82DB50"/>
    <w:rsid w:val="4F9DA8C0"/>
    <w:rsid w:val="4FAC629C"/>
    <w:rsid w:val="4FC22367"/>
    <w:rsid w:val="4FDEF082"/>
    <w:rsid w:val="5049B7A0"/>
    <w:rsid w:val="504BF83A"/>
    <w:rsid w:val="5051DE3B"/>
    <w:rsid w:val="5070CBBE"/>
    <w:rsid w:val="5089CDA4"/>
    <w:rsid w:val="50984A54"/>
    <w:rsid w:val="509AE0F7"/>
    <w:rsid w:val="50A4CC6E"/>
    <w:rsid w:val="50C24133"/>
    <w:rsid w:val="50C9C739"/>
    <w:rsid w:val="50E4764B"/>
    <w:rsid w:val="50EA05A8"/>
    <w:rsid w:val="50FD9EA8"/>
    <w:rsid w:val="5117E2EC"/>
    <w:rsid w:val="512F0B6B"/>
    <w:rsid w:val="513D6A98"/>
    <w:rsid w:val="51531A96"/>
    <w:rsid w:val="516469F3"/>
    <w:rsid w:val="516F1041"/>
    <w:rsid w:val="518BC899"/>
    <w:rsid w:val="518E1524"/>
    <w:rsid w:val="51AA273F"/>
    <w:rsid w:val="51AFB918"/>
    <w:rsid w:val="51C47435"/>
    <w:rsid w:val="51F4A474"/>
    <w:rsid w:val="520A32E1"/>
    <w:rsid w:val="520DCCD1"/>
    <w:rsid w:val="522CFA60"/>
    <w:rsid w:val="522EB690"/>
    <w:rsid w:val="523DCC74"/>
    <w:rsid w:val="524A4082"/>
    <w:rsid w:val="52538693"/>
    <w:rsid w:val="52610519"/>
    <w:rsid w:val="5271744D"/>
    <w:rsid w:val="5276AB05"/>
    <w:rsid w:val="527A4D35"/>
    <w:rsid w:val="5298FB0A"/>
    <w:rsid w:val="52BA05A0"/>
    <w:rsid w:val="52F47DDD"/>
    <w:rsid w:val="52F89366"/>
    <w:rsid w:val="530E8725"/>
    <w:rsid w:val="530EE55D"/>
    <w:rsid w:val="53145017"/>
    <w:rsid w:val="531B64C9"/>
    <w:rsid w:val="53266311"/>
    <w:rsid w:val="5326B75B"/>
    <w:rsid w:val="53283092"/>
    <w:rsid w:val="532877E2"/>
    <w:rsid w:val="5336055A"/>
    <w:rsid w:val="534B154F"/>
    <w:rsid w:val="5366CEC9"/>
    <w:rsid w:val="53735E73"/>
    <w:rsid w:val="53972193"/>
    <w:rsid w:val="53D07396"/>
    <w:rsid w:val="53D24090"/>
    <w:rsid w:val="53D582DC"/>
    <w:rsid w:val="53E4CC98"/>
    <w:rsid w:val="53E755BA"/>
    <w:rsid w:val="541014EE"/>
    <w:rsid w:val="54155972"/>
    <w:rsid w:val="5420867F"/>
    <w:rsid w:val="5427BD90"/>
    <w:rsid w:val="5438208D"/>
    <w:rsid w:val="54518064"/>
    <w:rsid w:val="545A44CE"/>
    <w:rsid w:val="54A6BACF"/>
    <w:rsid w:val="54C796A2"/>
    <w:rsid w:val="54D4D0E5"/>
    <w:rsid w:val="54D6F172"/>
    <w:rsid w:val="5505F7C2"/>
    <w:rsid w:val="552D0FBF"/>
    <w:rsid w:val="5544D565"/>
    <w:rsid w:val="554AB27E"/>
    <w:rsid w:val="557223AE"/>
    <w:rsid w:val="55730059"/>
    <w:rsid w:val="5577CC07"/>
    <w:rsid w:val="5583261B"/>
    <w:rsid w:val="559B532E"/>
    <w:rsid w:val="55B92145"/>
    <w:rsid w:val="55CDD7EB"/>
    <w:rsid w:val="55DF54A9"/>
    <w:rsid w:val="560166D0"/>
    <w:rsid w:val="563A2922"/>
    <w:rsid w:val="564B8C70"/>
    <w:rsid w:val="5689EDB0"/>
    <w:rsid w:val="568E5812"/>
    <w:rsid w:val="56974AE7"/>
    <w:rsid w:val="56B3C531"/>
    <w:rsid w:val="56C6F23A"/>
    <w:rsid w:val="56FB7110"/>
    <w:rsid w:val="57180CA4"/>
    <w:rsid w:val="5723D77D"/>
    <w:rsid w:val="57345B34"/>
    <w:rsid w:val="5751E335"/>
    <w:rsid w:val="5766CC4E"/>
    <w:rsid w:val="57698363"/>
    <w:rsid w:val="57926AFA"/>
    <w:rsid w:val="57A9C887"/>
    <w:rsid w:val="57C4BEAC"/>
    <w:rsid w:val="57EE19A3"/>
    <w:rsid w:val="57F3CF29"/>
    <w:rsid w:val="57FB8A88"/>
    <w:rsid w:val="58174163"/>
    <w:rsid w:val="581BFF88"/>
    <w:rsid w:val="582F2746"/>
    <w:rsid w:val="58637AD6"/>
    <w:rsid w:val="586824D1"/>
    <w:rsid w:val="58B343C9"/>
    <w:rsid w:val="58C98DAB"/>
    <w:rsid w:val="58D2F0A4"/>
    <w:rsid w:val="58D482AF"/>
    <w:rsid w:val="58D6FB2F"/>
    <w:rsid w:val="5915A207"/>
    <w:rsid w:val="592CB0EA"/>
    <w:rsid w:val="593E5F7C"/>
    <w:rsid w:val="5971C9E4"/>
    <w:rsid w:val="597F9143"/>
    <w:rsid w:val="59C1EF89"/>
    <w:rsid w:val="59E722EC"/>
    <w:rsid w:val="59EEA04F"/>
    <w:rsid w:val="5A0D5740"/>
    <w:rsid w:val="5A12B299"/>
    <w:rsid w:val="5A2EBB12"/>
    <w:rsid w:val="5A31B065"/>
    <w:rsid w:val="5A3C7BAA"/>
    <w:rsid w:val="5A4497A1"/>
    <w:rsid w:val="5A4A032C"/>
    <w:rsid w:val="5A4E24F2"/>
    <w:rsid w:val="5A744A12"/>
    <w:rsid w:val="5A855AE9"/>
    <w:rsid w:val="5ADCA0D6"/>
    <w:rsid w:val="5AE876D7"/>
    <w:rsid w:val="5AF22A10"/>
    <w:rsid w:val="5B094A83"/>
    <w:rsid w:val="5B0D463E"/>
    <w:rsid w:val="5B1F9DE9"/>
    <w:rsid w:val="5B2814DD"/>
    <w:rsid w:val="5B29DADA"/>
    <w:rsid w:val="5B4DFBA4"/>
    <w:rsid w:val="5B57FC24"/>
    <w:rsid w:val="5B701FAE"/>
    <w:rsid w:val="5B792737"/>
    <w:rsid w:val="5B795B84"/>
    <w:rsid w:val="5B99ACAB"/>
    <w:rsid w:val="5BD41E5A"/>
    <w:rsid w:val="5BEEEE66"/>
    <w:rsid w:val="5BEFDE7D"/>
    <w:rsid w:val="5C03B120"/>
    <w:rsid w:val="5C1F4D7A"/>
    <w:rsid w:val="5C227AF1"/>
    <w:rsid w:val="5C303F2E"/>
    <w:rsid w:val="5C47E656"/>
    <w:rsid w:val="5C5A8E63"/>
    <w:rsid w:val="5C5C4BFD"/>
    <w:rsid w:val="5C71AD7D"/>
    <w:rsid w:val="5CAEBB67"/>
    <w:rsid w:val="5CBA9E28"/>
    <w:rsid w:val="5CD37C7C"/>
    <w:rsid w:val="5CE773DC"/>
    <w:rsid w:val="5CE93DBD"/>
    <w:rsid w:val="5D152BE5"/>
    <w:rsid w:val="5D3B2E78"/>
    <w:rsid w:val="5D4694BA"/>
    <w:rsid w:val="5D4C075C"/>
    <w:rsid w:val="5D4E5886"/>
    <w:rsid w:val="5D7B76A4"/>
    <w:rsid w:val="5D9C5F2A"/>
    <w:rsid w:val="5DA3135B"/>
    <w:rsid w:val="5DA4F872"/>
    <w:rsid w:val="5DB88B8F"/>
    <w:rsid w:val="5DE78D3F"/>
    <w:rsid w:val="5E0770E9"/>
    <w:rsid w:val="5E2852FF"/>
    <w:rsid w:val="5E48F7F0"/>
    <w:rsid w:val="5E5FB59F"/>
    <w:rsid w:val="5E6334D4"/>
    <w:rsid w:val="5E8AA067"/>
    <w:rsid w:val="5EA8140E"/>
    <w:rsid w:val="5EB202C2"/>
    <w:rsid w:val="5EC4E129"/>
    <w:rsid w:val="5ECF8D8C"/>
    <w:rsid w:val="5EE31153"/>
    <w:rsid w:val="5EFE2074"/>
    <w:rsid w:val="5F1996CC"/>
    <w:rsid w:val="5F53029C"/>
    <w:rsid w:val="5F5C036C"/>
    <w:rsid w:val="5F9FA3E2"/>
    <w:rsid w:val="5F9FB381"/>
    <w:rsid w:val="5FAACDB5"/>
    <w:rsid w:val="5FCBFD5C"/>
    <w:rsid w:val="5FCFD091"/>
    <w:rsid w:val="5FDADF49"/>
    <w:rsid w:val="5FE72402"/>
    <w:rsid w:val="5FF65992"/>
    <w:rsid w:val="6032BFE5"/>
    <w:rsid w:val="6044DF21"/>
    <w:rsid w:val="6056CF8C"/>
    <w:rsid w:val="60A1E611"/>
    <w:rsid w:val="60A3A8A3"/>
    <w:rsid w:val="60BEA5EE"/>
    <w:rsid w:val="60D35500"/>
    <w:rsid w:val="60E114F9"/>
    <w:rsid w:val="6104E1F8"/>
    <w:rsid w:val="6105B1E3"/>
    <w:rsid w:val="610A57EB"/>
    <w:rsid w:val="6129D8B9"/>
    <w:rsid w:val="612E1992"/>
    <w:rsid w:val="61332575"/>
    <w:rsid w:val="6138A214"/>
    <w:rsid w:val="614710B7"/>
    <w:rsid w:val="6151CA71"/>
    <w:rsid w:val="61B89434"/>
    <w:rsid w:val="61BA169B"/>
    <w:rsid w:val="61C582ED"/>
    <w:rsid w:val="61D5B5F3"/>
    <w:rsid w:val="61D6CC97"/>
    <w:rsid w:val="61DA9400"/>
    <w:rsid w:val="61E28CD1"/>
    <w:rsid w:val="61E6865D"/>
    <w:rsid w:val="61E89D08"/>
    <w:rsid w:val="61E8B511"/>
    <w:rsid w:val="62044810"/>
    <w:rsid w:val="622842C9"/>
    <w:rsid w:val="622E3CB7"/>
    <w:rsid w:val="625156BA"/>
    <w:rsid w:val="6281D5C0"/>
    <w:rsid w:val="6283C90F"/>
    <w:rsid w:val="62A01072"/>
    <w:rsid w:val="62AC2F4A"/>
    <w:rsid w:val="62B14E0C"/>
    <w:rsid w:val="62B5D198"/>
    <w:rsid w:val="62B99FD5"/>
    <w:rsid w:val="62E87378"/>
    <w:rsid w:val="62EA2E42"/>
    <w:rsid w:val="63267F72"/>
    <w:rsid w:val="63482B9B"/>
    <w:rsid w:val="63521A81"/>
    <w:rsid w:val="635696CA"/>
    <w:rsid w:val="635E921C"/>
    <w:rsid w:val="6392B186"/>
    <w:rsid w:val="639C7426"/>
    <w:rsid w:val="639F7AA2"/>
    <w:rsid w:val="63C672AC"/>
    <w:rsid w:val="63C81EC6"/>
    <w:rsid w:val="63DDC3E6"/>
    <w:rsid w:val="63EA5F5E"/>
    <w:rsid w:val="63F92B1C"/>
    <w:rsid w:val="64002CBC"/>
    <w:rsid w:val="64036FF7"/>
    <w:rsid w:val="64288DBA"/>
    <w:rsid w:val="64463D1B"/>
    <w:rsid w:val="644D4FCA"/>
    <w:rsid w:val="645AEF78"/>
    <w:rsid w:val="6497B06F"/>
    <w:rsid w:val="649C86B4"/>
    <w:rsid w:val="64AB2188"/>
    <w:rsid w:val="64ACF36D"/>
    <w:rsid w:val="64B6ECA3"/>
    <w:rsid w:val="64D0A3F0"/>
    <w:rsid w:val="64D2DCA7"/>
    <w:rsid w:val="64D6EA40"/>
    <w:rsid w:val="64E01FB3"/>
    <w:rsid w:val="64E7B139"/>
    <w:rsid w:val="64EF831E"/>
    <w:rsid w:val="6535888F"/>
    <w:rsid w:val="653B1071"/>
    <w:rsid w:val="65434296"/>
    <w:rsid w:val="65436682"/>
    <w:rsid w:val="654C8195"/>
    <w:rsid w:val="65559D60"/>
    <w:rsid w:val="656DBE00"/>
    <w:rsid w:val="65B16ECA"/>
    <w:rsid w:val="65B8131D"/>
    <w:rsid w:val="65FCB3F8"/>
    <w:rsid w:val="66056034"/>
    <w:rsid w:val="66106CE2"/>
    <w:rsid w:val="664C8B1F"/>
    <w:rsid w:val="665754BA"/>
    <w:rsid w:val="667BD0F3"/>
    <w:rsid w:val="66E28CF7"/>
    <w:rsid w:val="66E2B9DD"/>
    <w:rsid w:val="66E432C6"/>
    <w:rsid w:val="66F702EF"/>
    <w:rsid w:val="67243F8B"/>
    <w:rsid w:val="6725E75B"/>
    <w:rsid w:val="673EF230"/>
    <w:rsid w:val="6743C3EB"/>
    <w:rsid w:val="674A1F41"/>
    <w:rsid w:val="675504F0"/>
    <w:rsid w:val="67692568"/>
    <w:rsid w:val="6777F5F4"/>
    <w:rsid w:val="678D45A4"/>
    <w:rsid w:val="67993E90"/>
    <w:rsid w:val="679BD53C"/>
    <w:rsid w:val="67D305B1"/>
    <w:rsid w:val="67E38958"/>
    <w:rsid w:val="67E46C92"/>
    <w:rsid w:val="67E5A4BE"/>
    <w:rsid w:val="67FE3204"/>
    <w:rsid w:val="6819F7DA"/>
    <w:rsid w:val="682CFA26"/>
    <w:rsid w:val="6835867C"/>
    <w:rsid w:val="6847B278"/>
    <w:rsid w:val="687E9AC1"/>
    <w:rsid w:val="687FFBF4"/>
    <w:rsid w:val="688B4B35"/>
    <w:rsid w:val="68B93988"/>
    <w:rsid w:val="68D6BB58"/>
    <w:rsid w:val="68DAA851"/>
    <w:rsid w:val="68F14A53"/>
    <w:rsid w:val="68F79F75"/>
    <w:rsid w:val="68F9B7A9"/>
    <w:rsid w:val="691DB44F"/>
    <w:rsid w:val="692107A3"/>
    <w:rsid w:val="6933AADB"/>
    <w:rsid w:val="6941F50E"/>
    <w:rsid w:val="6945158E"/>
    <w:rsid w:val="6946848B"/>
    <w:rsid w:val="694E71BF"/>
    <w:rsid w:val="698084AD"/>
    <w:rsid w:val="699A0265"/>
    <w:rsid w:val="69A540F8"/>
    <w:rsid w:val="69D28F6D"/>
    <w:rsid w:val="69EAF4B7"/>
    <w:rsid w:val="69FE9E24"/>
    <w:rsid w:val="6A0591CB"/>
    <w:rsid w:val="6A0A7C42"/>
    <w:rsid w:val="6A12F0E0"/>
    <w:rsid w:val="6A8155B1"/>
    <w:rsid w:val="6A913326"/>
    <w:rsid w:val="6AA7AE60"/>
    <w:rsid w:val="6AB90808"/>
    <w:rsid w:val="6AC443F0"/>
    <w:rsid w:val="6AD375FE"/>
    <w:rsid w:val="6ADAEC7C"/>
    <w:rsid w:val="6ADD6531"/>
    <w:rsid w:val="6ADF1654"/>
    <w:rsid w:val="6AE0BD38"/>
    <w:rsid w:val="6AE0FC57"/>
    <w:rsid w:val="6AE2DF97"/>
    <w:rsid w:val="6B02014F"/>
    <w:rsid w:val="6B1065EE"/>
    <w:rsid w:val="6B1B2ED6"/>
    <w:rsid w:val="6B2B4F8C"/>
    <w:rsid w:val="6B2E44CA"/>
    <w:rsid w:val="6B331DA5"/>
    <w:rsid w:val="6B3BB19D"/>
    <w:rsid w:val="6B402B9D"/>
    <w:rsid w:val="6B488312"/>
    <w:rsid w:val="6B595BE1"/>
    <w:rsid w:val="6B64EECE"/>
    <w:rsid w:val="6B663A69"/>
    <w:rsid w:val="6B6E8407"/>
    <w:rsid w:val="6B75E4EC"/>
    <w:rsid w:val="6B7CAD2B"/>
    <w:rsid w:val="6B7EBCF0"/>
    <w:rsid w:val="6B8A5A9A"/>
    <w:rsid w:val="6B8F7F4E"/>
    <w:rsid w:val="6B8FD728"/>
    <w:rsid w:val="6BBCE79A"/>
    <w:rsid w:val="6BCA48C6"/>
    <w:rsid w:val="6BCBE7DD"/>
    <w:rsid w:val="6BE6AAD9"/>
    <w:rsid w:val="6BF046E9"/>
    <w:rsid w:val="6C02638B"/>
    <w:rsid w:val="6C04F285"/>
    <w:rsid w:val="6C13BE69"/>
    <w:rsid w:val="6C17E1CC"/>
    <w:rsid w:val="6C26DFED"/>
    <w:rsid w:val="6C43FD7D"/>
    <w:rsid w:val="6C528040"/>
    <w:rsid w:val="6C5C4228"/>
    <w:rsid w:val="6CAF9332"/>
    <w:rsid w:val="6CB4DAE5"/>
    <w:rsid w:val="6CB710B9"/>
    <w:rsid w:val="6CC72A34"/>
    <w:rsid w:val="6CC77BF6"/>
    <w:rsid w:val="6CD5CB76"/>
    <w:rsid w:val="6CDDE111"/>
    <w:rsid w:val="6CE443DC"/>
    <w:rsid w:val="6CEB2739"/>
    <w:rsid w:val="6CF21454"/>
    <w:rsid w:val="6CF335A0"/>
    <w:rsid w:val="6CFF000D"/>
    <w:rsid w:val="6D0503B4"/>
    <w:rsid w:val="6D09B703"/>
    <w:rsid w:val="6D2B4FAF"/>
    <w:rsid w:val="6D3F4C5F"/>
    <w:rsid w:val="6D40CBA0"/>
    <w:rsid w:val="6D49E0F5"/>
    <w:rsid w:val="6D4DF82E"/>
    <w:rsid w:val="6D4E095A"/>
    <w:rsid w:val="6D4F207F"/>
    <w:rsid w:val="6D567254"/>
    <w:rsid w:val="6D6C69D6"/>
    <w:rsid w:val="6D70AC72"/>
    <w:rsid w:val="6D7F8548"/>
    <w:rsid w:val="6D81B6A6"/>
    <w:rsid w:val="6D8935FB"/>
    <w:rsid w:val="6DB550CF"/>
    <w:rsid w:val="6DD544C4"/>
    <w:rsid w:val="6DE04B07"/>
    <w:rsid w:val="6DE1733D"/>
    <w:rsid w:val="6DEE4B02"/>
    <w:rsid w:val="6E09F072"/>
    <w:rsid w:val="6E15EFB6"/>
    <w:rsid w:val="6E3E1D3E"/>
    <w:rsid w:val="6E7A6071"/>
    <w:rsid w:val="6E816BE7"/>
    <w:rsid w:val="6E85496E"/>
    <w:rsid w:val="6E95002E"/>
    <w:rsid w:val="6EC712D4"/>
    <w:rsid w:val="6ED53B5E"/>
    <w:rsid w:val="6ED8106F"/>
    <w:rsid w:val="6EDC9C0E"/>
    <w:rsid w:val="6EE5F099"/>
    <w:rsid w:val="6EF2E76D"/>
    <w:rsid w:val="6F043083"/>
    <w:rsid w:val="6F4FF0E1"/>
    <w:rsid w:val="6F614704"/>
    <w:rsid w:val="6F642BD3"/>
    <w:rsid w:val="6F8AE393"/>
    <w:rsid w:val="6F8F596C"/>
    <w:rsid w:val="6F94010C"/>
    <w:rsid w:val="6F9CD150"/>
    <w:rsid w:val="6FA0740F"/>
    <w:rsid w:val="6FAD6518"/>
    <w:rsid w:val="6FCC3AE7"/>
    <w:rsid w:val="6FD7AAE9"/>
    <w:rsid w:val="6FE8FD74"/>
    <w:rsid w:val="6FEE7E61"/>
    <w:rsid w:val="6FF0D60C"/>
    <w:rsid w:val="700A1EDE"/>
    <w:rsid w:val="70111F1E"/>
    <w:rsid w:val="701CECE2"/>
    <w:rsid w:val="70261DDA"/>
    <w:rsid w:val="7062F071"/>
    <w:rsid w:val="70696B0F"/>
    <w:rsid w:val="706C7093"/>
    <w:rsid w:val="70740026"/>
    <w:rsid w:val="707595B6"/>
    <w:rsid w:val="707BCA66"/>
    <w:rsid w:val="708181B7"/>
    <w:rsid w:val="7094F39B"/>
    <w:rsid w:val="70A6A662"/>
    <w:rsid w:val="70BEB23E"/>
    <w:rsid w:val="70C5C30C"/>
    <w:rsid w:val="70C66A1B"/>
    <w:rsid w:val="70F01A1A"/>
    <w:rsid w:val="70FB645C"/>
    <w:rsid w:val="710E7129"/>
    <w:rsid w:val="711E2DB1"/>
    <w:rsid w:val="71201764"/>
    <w:rsid w:val="7125F8B8"/>
    <w:rsid w:val="712FD16D"/>
    <w:rsid w:val="7137C573"/>
    <w:rsid w:val="713D12E5"/>
    <w:rsid w:val="715497EC"/>
    <w:rsid w:val="71682E24"/>
    <w:rsid w:val="716CA555"/>
    <w:rsid w:val="7172D39C"/>
    <w:rsid w:val="7175BE00"/>
    <w:rsid w:val="71B690A7"/>
    <w:rsid w:val="71CB5D63"/>
    <w:rsid w:val="71CBFBDA"/>
    <w:rsid w:val="71EDCF22"/>
    <w:rsid w:val="71F44A0D"/>
    <w:rsid w:val="71F56CC2"/>
    <w:rsid w:val="720CADBC"/>
    <w:rsid w:val="72104621"/>
    <w:rsid w:val="723BF00F"/>
    <w:rsid w:val="72444CC2"/>
    <w:rsid w:val="72550F3E"/>
    <w:rsid w:val="72611A17"/>
    <w:rsid w:val="72693B8B"/>
    <w:rsid w:val="7277EC54"/>
    <w:rsid w:val="727D6F15"/>
    <w:rsid w:val="728BFD76"/>
    <w:rsid w:val="72979AFE"/>
    <w:rsid w:val="72B4E460"/>
    <w:rsid w:val="72B74C7C"/>
    <w:rsid w:val="72DBAC39"/>
    <w:rsid w:val="72E7AEB2"/>
    <w:rsid w:val="7311B3DA"/>
    <w:rsid w:val="731D951D"/>
    <w:rsid w:val="7322CE37"/>
    <w:rsid w:val="732582A3"/>
    <w:rsid w:val="734B7DAB"/>
    <w:rsid w:val="73794618"/>
    <w:rsid w:val="73873843"/>
    <w:rsid w:val="7389E79E"/>
    <w:rsid w:val="73AE1FE2"/>
    <w:rsid w:val="73B7C2FD"/>
    <w:rsid w:val="73E302BD"/>
    <w:rsid w:val="73F5167F"/>
    <w:rsid w:val="741D0EAA"/>
    <w:rsid w:val="742D125A"/>
    <w:rsid w:val="74419946"/>
    <w:rsid w:val="744D9253"/>
    <w:rsid w:val="74574CD9"/>
    <w:rsid w:val="748A4D0D"/>
    <w:rsid w:val="748B07AC"/>
    <w:rsid w:val="74A6B892"/>
    <w:rsid w:val="74ABCDA7"/>
    <w:rsid w:val="74BC97A1"/>
    <w:rsid w:val="74D0E928"/>
    <w:rsid w:val="74F2260D"/>
    <w:rsid w:val="7514C8E8"/>
    <w:rsid w:val="751C6FE9"/>
    <w:rsid w:val="751FC596"/>
    <w:rsid w:val="7543F3F0"/>
    <w:rsid w:val="75497D02"/>
    <w:rsid w:val="755A5DE6"/>
    <w:rsid w:val="756231B4"/>
    <w:rsid w:val="756EFD38"/>
    <w:rsid w:val="757558CA"/>
    <w:rsid w:val="757C99F9"/>
    <w:rsid w:val="758BF516"/>
    <w:rsid w:val="759BA9B6"/>
    <w:rsid w:val="75ABA217"/>
    <w:rsid w:val="75C3D648"/>
    <w:rsid w:val="75D324B9"/>
    <w:rsid w:val="75FEE446"/>
    <w:rsid w:val="76066296"/>
    <w:rsid w:val="7613A85E"/>
    <w:rsid w:val="7613C842"/>
    <w:rsid w:val="7663B5B2"/>
    <w:rsid w:val="766A9BA3"/>
    <w:rsid w:val="7683DF54"/>
    <w:rsid w:val="768EFDEB"/>
    <w:rsid w:val="76938620"/>
    <w:rsid w:val="76A2E854"/>
    <w:rsid w:val="76E18ACD"/>
    <w:rsid w:val="76E94616"/>
    <w:rsid w:val="76EEDDEE"/>
    <w:rsid w:val="7721EF18"/>
    <w:rsid w:val="7733B406"/>
    <w:rsid w:val="7734E251"/>
    <w:rsid w:val="773DEBBE"/>
    <w:rsid w:val="776AD297"/>
    <w:rsid w:val="7797D30E"/>
    <w:rsid w:val="77990AE5"/>
    <w:rsid w:val="77C67635"/>
    <w:rsid w:val="77D8D364"/>
    <w:rsid w:val="77F6EC02"/>
    <w:rsid w:val="77F86211"/>
    <w:rsid w:val="77FC99A7"/>
    <w:rsid w:val="780035F6"/>
    <w:rsid w:val="7855E924"/>
    <w:rsid w:val="7859892A"/>
    <w:rsid w:val="7880196B"/>
    <w:rsid w:val="7886E03B"/>
    <w:rsid w:val="78948122"/>
    <w:rsid w:val="789C7FF9"/>
    <w:rsid w:val="78A890D3"/>
    <w:rsid w:val="78B46064"/>
    <w:rsid w:val="78B80C5B"/>
    <w:rsid w:val="78C9318F"/>
    <w:rsid w:val="78D9BC1F"/>
    <w:rsid w:val="78F6A139"/>
    <w:rsid w:val="791D61D9"/>
    <w:rsid w:val="792425E4"/>
    <w:rsid w:val="79489CEC"/>
    <w:rsid w:val="7984F324"/>
    <w:rsid w:val="798575FB"/>
    <w:rsid w:val="7999896B"/>
    <w:rsid w:val="799E9E58"/>
    <w:rsid w:val="799F3FFB"/>
    <w:rsid w:val="79A00732"/>
    <w:rsid w:val="79AE40C2"/>
    <w:rsid w:val="79B68366"/>
    <w:rsid w:val="79CA5E5F"/>
    <w:rsid w:val="79D1BC7D"/>
    <w:rsid w:val="79DD2AA2"/>
    <w:rsid w:val="79ECF248"/>
    <w:rsid w:val="7A09FFC7"/>
    <w:rsid w:val="7A178192"/>
    <w:rsid w:val="7A1AC316"/>
    <w:rsid w:val="7A22A5B3"/>
    <w:rsid w:val="7A289175"/>
    <w:rsid w:val="7A2FD137"/>
    <w:rsid w:val="7A48E100"/>
    <w:rsid w:val="7A87292D"/>
    <w:rsid w:val="7A8B1C2C"/>
    <w:rsid w:val="7A932179"/>
    <w:rsid w:val="7A986CE1"/>
    <w:rsid w:val="7A99743B"/>
    <w:rsid w:val="7A9C2BC7"/>
    <w:rsid w:val="7AAB437F"/>
    <w:rsid w:val="7AC1C4CE"/>
    <w:rsid w:val="7AC3C623"/>
    <w:rsid w:val="7ACD6FB6"/>
    <w:rsid w:val="7AF94B94"/>
    <w:rsid w:val="7B0F417E"/>
    <w:rsid w:val="7B1A9D36"/>
    <w:rsid w:val="7B2A6AF3"/>
    <w:rsid w:val="7B35828D"/>
    <w:rsid w:val="7B40EC5F"/>
    <w:rsid w:val="7B524E08"/>
    <w:rsid w:val="7B6A7E63"/>
    <w:rsid w:val="7BE74CD6"/>
    <w:rsid w:val="7BFA5B76"/>
    <w:rsid w:val="7C0248FC"/>
    <w:rsid w:val="7C04F394"/>
    <w:rsid w:val="7C266DD1"/>
    <w:rsid w:val="7C33F473"/>
    <w:rsid w:val="7C347E8D"/>
    <w:rsid w:val="7C42ED75"/>
    <w:rsid w:val="7C61A36A"/>
    <w:rsid w:val="7C6B07CB"/>
    <w:rsid w:val="7C6D8045"/>
    <w:rsid w:val="7C8863A4"/>
    <w:rsid w:val="7C89377F"/>
    <w:rsid w:val="7C973885"/>
    <w:rsid w:val="7C9F8EA5"/>
    <w:rsid w:val="7CA8BAF4"/>
    <w:rsid w:val="7CB28105"/>
    <w:rsid w:val="7CBFE36F"/>
    <w:rsid w:val="7CD343C0"/>
    <w:rsid w:val="7CD915A4"/>
    <w:rsid w:val="7CE693DC"/>
    <w:rsid w:val="7CEB2A0C"/>
    <w:rsid w:val="7CF0DF74"/>
    <w:rsid w:val="7D093889"/>
    <w:rsid w:val="7D1642A8"/>
    <w:rsid w:val="7D267927"/>
    <w:rsid w:val="7D30BF09"/>
    <w:rsid w:val="7D536B88"/>
    <w:rsid w:val="7D661893"/>
    <w:rsid w:val="7D88080F"/>
    <w:rsid w:val="7D8D4435"/>
    <w:rsid w:val="7DAC1B3C"/>
    <w:rsid w:val="7DB1CA7A"/>
    <w:rsid w:val="7DC6F3EB"/>
    <w:rsid w:val="7DDD1D44"/>
    <w:rsid w:val="7DE72E41"/>
    <w:rsid w:val="7DF175DE"/>
    <w:rsid w:val="7DFAEE8F"/>
    <w:rsid w:val="7E12624F"/>
    <w:rsid w:val="7E14660E"/>
    <w:rsid w:val="7E1D153B"/>
    <w:rsid w:val="7E2236A9"/>
    <w:rsid w:val="7E350072"/>
    <w:rsid w:val="7E58410F"/>
    <w:rsid w:val="7E594805"/>
    <w:rsid w:val="7E83C0D2"/>
    <w:rsid w:val="7E92281A"/>
    <w:rsid w:val="7EA8F0F9"/>
    <w:rsid w:val="7EDE0EE1"/>
    <w:rsid w:val="7EE303DA"/>
    <w:rsid w:val="7EE83748"/>
    <w:rsid w:val="7EEE71A2"/>
    <w:rsid w:val="7EFE7065"/>
    <w:rsid w:val="7EFFA30A"/>
    <w:rsid w:val="7F211DBD"/>
    <w:rsid w:val="7F34CBD0"/>
    <w:rsid w:val="7F557602"/>
    <w:rsid w:val="7F63D6DD"/>
    <w:rsid w:val="7F65D26E"/>
    <w:rsid w:val="7F7A3F0B"/>
    <w:rsid w:val="7F81F345"/>
    <w:rsid w:val="7F987A11"/>
    <w:rsid w:val="7F9E6C96"/>
    <w:rsid w:val="7FA3107C"/>
    <w:rsid w:val="7FBFE75C"/>
    <w:rsid w:val="7FD57733"/>
    <w:rsid w:val="7FE28B3A"/>
    <w:rsid w:val="7FF7FAB2"/>
    <w:rsid w:val="7FF9880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4A1858"/>
  <w15:docId w15:val="{772FB6A7-4127-4B77-A06B-1EB1FCCBC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CO"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6BE"/>
    <w:pPr>
      <w:spacing w:before="240" w:after="240" w:line="300" w:lineRule="auto"/>
    </w:pPr>
    <w:rPr>
      <w:rFonts w:ascii="Arial Narrow" w:hAnsi="Arial Narrow"/>
      <w:sz w:val="24"/>
      <w:szCs w:val="26"/>
      <w:lang w:val="es-ES_tradnl"/>
    </w:rPr>
  </w:style>
  <w:style w:type="paragraph" w:styleId="Ttulo1">
    <w:name w:val="heading 1"/>
    <w:basedOn w:val="Normal"/>
    <w:next w:val="Titulodescripcin"/>
    <w:link w:val="Ttulo1Car"/>
    <w:uiPriority w:val="9"/>
    <w:qFormat/>
    <w:rsid w:val="00E018DE"/>
    <w:pPr>
      <w:keepNext/>
      <w:keepLines/>
      <w:numPr>
        <w:numId w:val="1"/>
      </w:numPr>
      <w:spacing w:before="720" w:after="120"/>
      <w:jc w:val="left"/>
      <w:outlineLvl w:val="0"/>
    </w:pPr>
    <w:rPr>
      <w:rFonts w:ascii="Century Gothic" w:eastAsiaTheme="majorEastAsia" w:hAnsi="Century Gothic" w:cstheme="majorBidi"/>
      <w:bCs/>
      <w:smallCaps/>
      <w:color w:val="ED7D31" w:themeColor="accent2"/>
      <w:sz w:val="36"/>
      <w:szCs w:val="36"/>
    </w:rPr>
  </w:style>
  <w:style w:type="paragraph" w:styleId="Ttulo2">
    <w:name w:val="heading 2"/>
    <w:basedOn w:val="Normal"/>
    <w:next w:val="Normal"/>
    <w:link w:val="Ttulo2Car"/>
    <w:unhideWhenUsed/>
    <w:qFormat/>
    <w:rsid w:val="001110FB"/>
    <w:pPr>
      <w:keepNext/>
      <w:keepLines/>
      <w:numPr>
        <w:ilvl w:val="1"/>
        <w:numId w:val="1"/>
      </w:numPr>
      <w:spacing w:before="360" w:after="80" w:line="276" w:lineRule="auto"/>
      <w:ind w:left="680" w:hanging="680"/>
      <w:outlineLvl w:val="1"/>
    </w:pPr>
    <w:rPr>
      <w:rFonts w:cstheme="majorBidi"/>
      <w:smallCaps/>
      <w:color w:val="767171" w:themeColor="background2" w:themeShade="80"/>
      <w:spacing w:val="5"/>
      <w:sz w:val="28"/>
      <w:szCs w:val="28"/>
    </w:rPr>
  </w:style>
  <w:style w:type="paragraph" w:styleId="Ttulo3">
    <w:name w:val="heading 3"/>
    <w:basedOn w:val="Normal"/>
    <w:next w:val="Normal"/>
    <w:link w:val="Ttulo3Car"/>
    <w:unhideWhenUsed/>
    <w:qFormat/>
    <w:rsid w:val="001110FB"/>
    <w:pPr>
      <w:keepNext/>
      <w:keepLines/>
      <w:numPr>
        <w:ilvl w:val="2"/>
        <w:numId w:val="1"/>
      </w:numPr>
      <w:spacing w:before="320" w:line="276" w:lineRule="auto"/>
      <w:outlineLvl w:val="2"/>
    </w:pPr>
    <w:rPr>
      <w:rFonts w:cstheme="majorBidi"/>
      <w:color w:val="404040" w:themeColor="text1" w:themeTint="BF"/>
      <w:spacing w:val="5"/>
      <w:szCs w:val="24"/>
    </w:rPr>
  </w:style>
  <w:style w:type="paragraph" w:styleId="Ttulo4">
    <w:name w:val="heading 4"/>
    <w:basedOn w:val="Ttulo3"/>
    <w:next w:val="Normal"/>
    <w:link w:val="Ttulo4Car"/>
    <w:unhideWhenUsed/>
    <w:qFormat/>
    <w:rsid w:val="00CA6AC2"/>
    <w:pPr>
      <w:numPr>
        <w:ilvl w:val="3"/>
      </w:numPr>
      <w:spacing w:before="40" w:after="120"/>
      <w:ind w:left="964" w:hanging="964"/>
      <w:outlineLvl w:val="3"/>
    </w:pPr>
    <w:rPr>
      <w:rFonts w:eastAsiaTheme="majorEastAsia"/>
      <w:i/>
      <w:iCs/>
      <w:color w:val="595959" w:themeColor="text1" w:themeTint="A6"/>
    </w:rPr>
  </w:style>
  <w:style w:type="paragraph" w:styleId="Ttulo5">
    <w:name w:val="heading 5"/>
    <w:basedOn w:val="Normal"/>
    <w:next w:val="Normal"/>
    <w:link w:val="Ttulo5Car"/>
    <w:uiPriority w:val="9"/>
    <w:unhideWhenUsed/>
    <w:qFormat/>
    <w:rsid w:val="00E66791"/>
    <w:pPr>
      <w:keepNext/>
      <w:keepLines/>
      <w:numPr>
        <w:ilvl w:val="4"/>
        <w:numId w:val="1"/>
      </w:numPr>
      <w:spacing w:before="40" w:after="12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66791"/>
    <w:pPr>
      <w:keepNext/>
      <w:keepLines/>
      <w:numPr>
        <w:ilvl w:val="5"/>
        <w:numId w:val="1"/>
      </w:numPr>
      <w:spacing w:before="200" w:after="12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694E2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94E2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94E2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uiPriority w:val="59"/>
    <w:rsid w:val="00A81664"/>
    <w:pPr>
      <w:spacing w:after="0" w:line="240" w:lineRule="auto"/>
      <w:jc w:val="center"/>
    </w:pPr>
    <w:rPr>
      <w:rFonts w:ascii="Arial Narrow" w:eastAsia="Times New Roman" w:hAnsi="Arial Narrow"/>
      <w:lang w:val="es-ES"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vAlign w:val="center"/>
    </w:tcPr>
    <w:tblStylePr w:type="firstRow">
      <w:rPr>
        <w:b/>
        <w:bCs/>
      </w:rPr>
      <w:tblPr/>
      <w:tcPr>
        <w:tcBorders>
          <w:top w:val="single" w:sz="18" w:space="0" w:color="7F7F7F" w:themeColor="text1" w:themeTint="80"/>
          <w:bottom w:val="single" w:sz="8" w:space="0" w:color="7F7F7F" w:themeColor="text1" w:themeTint="80"/>
        </w:tcBorders>
        <w:shd w:val="clear" w:color="auto" w:fill="BFBFBF" w:themeFill="background1" w:themeFillShade="BF"/>
      </w:tcPr>
    </w:tblStylePr>
    <w:tblStylePr w:type="lastRow">
      <w:rPr>
        <w:b w:val="0"/>
        <w:bCs/>
      </w:rPr>
      <w:tblPr/>
      <w:tcPr>
        <w:tcBorders>
          <w:top w:val="single" w:sz="4" w:space="0" w:color="7F7F7F" w:themeColor="text1" w:themeTint="80"/>
        </w:tcBorders>
      </w:tcPr>
    </w:tblStylePr>
    <w:tblStylePr w:type="firstCol">
      <w:pPr>
        <w:jc w:val="left"/>
      </w:pPr>
      <w:rPr>
        <w:b w:val="0"/>
        <w:bCs/>
      </w:rPr>
      <w:tblPr/>
      <w:tcPr>
        <w:vAlign w:val="top"/>
      </w:tc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descripcin">
    <w:name w:val="Titulo descripción"/>
    <w:basedOn w:val="Normal"/>
    <w:next w:val="Normal"/>
    <w:link w:val="TitulodescripcinCar"/>
    <w:qFormat/>
    <w:rsid w:val="00E435FF"/>
    <w:pPr>
      <w:pBdr>
        <w:bottom w:val="single" w:sz="4" w:space="3" w:color="BFBFBF" w:themeColor="background1" w:themeShade="BF"/>
      </w:pBdr>
      <w:spacing w:before="120" w:after="480" w:line="240" w:lineRule="auto"/>
      <w:contextualSpacing/>
    </w:pPr>
    <w:rPr>
      <w:rFonts w:ascii="Century Gothic" w:eastAsiaTheme="majorEastAsia" w:hAnsi="Century Gothic" w:cstheme="majorBidi"/>
      <w:bCs/>
      <w:smallCaps/>
      <w:color w:val="2E74B5" w:themeColor="accent1" w:themeShade="BF"/>
      <w:sz w:val="36"/>
      <w:szCs w:val="36"/>
    </w:rPr>
  </w:style>
  <w:style w:type="character" w:customStyle="1" w:styleId="TitulodescripcinCar">
    <w:name w:val="Titulo descripción Car"/>
    <w:basedOn w:val="Ttulo1Car"/>
    <w:link w:val="Titulodescripcin"/>
    <w:rsid w:val="00E435FF"/>
    <w:rPr>
      <w:rFonts w:ascii="Century Gothic" w:eastAsiaTheme="majorEastAsia" w:hAnsi="Century Gothic" w:cstheme="majorBidi"/>
      <w:bCs/>
      <w:smallCaps/>
      <w:color w:val="2E74B5" w:themeColor="accent1" w:themeShade="BF"/>
      <w:sz w:val="36"/>
      <w:szCs w:val="36"/>
      <w:lang w:val="es-ES_tradnl"/>
    </w:rPr>
  </w:style>
  <w:style w:type="paragraph" w:customStyle="1" w:styleId="Ttulodeldocumento">
    <w:name w:val="Título del documento"/>
    <w:basedOn w:val="Normal"/>
    <w:rsid w:val="00114699"/>
    <w:pPr>
      <w:autoSpaceDE w:val="0"/>
      <w:autoSpaceDN w:val="0"/>
      <w:adjustRightInd w:val="0"/>
      <w:spacing w:before="0" w:after="0" w:line="288" w:lineRule="auto"/>
    </w:pPr>
    <w:rPr>
      <w:rFonts w:eastAsia="Times New Roman" w:cs="Arial"/>
      <w:b/>
      <w:bCs/>
      <w:color w:val="000000"/>
      <w:sz w:val="40"/>
      <w:szCs w:val="40"/>
      <w:lang w:val="es-CO" w:eastAsia="es-CO"/>
    </w:rPr>
  </w:style>
  <w:style w:type="paragraph" w:customStyle="1" w:styleId="Ttuloengrisclaro14">
    <w:name w:val="Título en gris claro 14"/>
    <w:basedOn w:val="Normal"/>
    <w:rsid w:val="00114699"/>
    <w:pPr>
      <w:spacing w:after="0" w:line="288" w:lineRule="auto"/>
    </w:pPr>
    <w:rPr>
      <w:rFonts w:eastAsia="Times New Roman" w:cs="Arial"/>
      <w:b/>
      <w:bCs/>
      <w:color w:val="808080"/>
      <w:sz w:val="28"/>
      <w:szCs w:val="28"/>
      <w:lang w:val="es-CO" w:eastAsia="es-ES"/>
    </w:rPr>
  </w:style>
  <w:style w:type="paragraph" w:customStyle="1" w:styleId="Encabezado1">
    <w:name w:val="Encabezado1"/>
    <w:basedOn w:val="Encabezado"/>
    <w:link w:val="Encabezado1Car"/>
    <w:qFormat/>
    <w:rsid w:val="004260FC"/>
    <w:pPr>
      <w:pBdr>
        <w:bottom w:val="single" w:sz="4" w:space="1" w:color="BFBFBF" w:themeColor="background1" w:themeShade="BF"/>
      </w:pBdr>
      <w:shd w:val="clear" w:color="auto" w:fill="FFFFFF" w:themeFill="background1"/>
      <w:tabs>
        <w:tab w:val="clear" w:pos="4419"/>
        <w:tab w:val="clear" w:pos="8838"/>
        <w:tab w:val="left" w:pos="993"/>
        <w:tab w:val="center" w:pos="4252"/>
        <w:tab w:val="right" w:pos="8504"/>
      </w:tabs>
      <w:spacing w:before="0" w:after="0"/>
      <w:jc w:val="left"/>
    </w:pPr>
    <w:rPr>
      <w:rFonts w:ascii="Century Gothic" w:eastAsia="Calibri" w:hAnsi="Century Gothic" w:cs="Arial"/>
      <w:color w:val="7F7F7F" w:themeColor="text1" w:themeTint="80"/>
      <w:sz w:val="16"/>
      <w:szCs w:val="16"/>
      <w:lang w:val="en-US" w:eastAsia="es-ES"/>
    </w:rPr>
  </w:style>
  <w:style w:type="character" w:customStyle="1" w:styleId="Encabezado1Car">
    <w:name w:val="Encabezado1 Car"/>
    <w:basedOn w:val="EncabezadoCar"/>
    <w:link w:val="Encabezado1"/>
    <w:rsid w:val="004260FC"/>
    <w:rPr>
      <w:rFonts w:ascii="Century Gothic" w:eastAsia="Calibri" w:hAnsi="Century Gothic" w:cs="Arial"/>
      <w:color w:val="7F7F7F" w:themeColor="text1" w:themeTint="80"/>
      <w:sz w:val="16"/>
      <w:szCs w:val="16"/>
      <w:shd w:val="clear" w:color="auto" w:fill="FFFFFF" w:themeFill="background1"/>
      <w:lang w:val="en-US" w:eastAsia="es-ES"/>
    </w:rPr>
  </w:style>
  <w:style w:type="paragraph" w:styleId="Encabezado">
    <w:name w:val="header"/>
    <w:basedOn w:val="Normal"/>
    <w:link w:val="EncabezadoCar"/>
    <w:uiPriority w:val="99"/>
    <w:unhideWhenUsed/>
    <w:rsid w:val="009022D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022D6"/>
  </w:style>
  <w:style w:type="paragraph" w:customStyle="1" w:styleId="IdeaCentral">
    <w:name w:val="IdeaCentral"/>
    <w:basedOn w:val="Normal"/>
    <w:link w:val="IdeaCentralCar"/>
    <w:qFormat/>
    <w:rsid w:val="009022D6"/>
    <w:pPr>
      <w:framePr w:w="3969" w:h="57" w:wrap="around" w:vAnchor="text" w:hAnchor="margin" w:xAlign="right" w:y="1"/>
      <w:pBdr>
        <w:top w:val="single" w:sz="12" w:space="12" w:color="808080" w:themeColor="background1" w:themeShade="80"/>
        <w:bottom w:val="single" w:sz="12" w:space="12" w:color="808080" w:themeColor="background1" w:themeShade="80"/>
      </w:pBdr>
      <w:spacing w:line="240" w:lineRule="auto"/>
      <w:ind w:left="284" w:right="284"/>
      <w:jc w:val="center"/>
    </w:pPr>
    <w:rPr>
      <w:rFonts w:ascii="Century Gothic" w:hAnsi="Century Gothic"/>
      <w:b/>
      <w:color w:val="C00000"/>
      <w:sz w:val="28"/>
      <w:szCs w:val="28"/>
    </w:rPr>
  </w:style>
  <w:style w:type="character" w:customStyle="1" w:styleId="IdeaCentralCar">
    <w:name w:val="IdeaCentral Car"/>
    <w:basedOn w:val="Fuentedeprrafopredeter"/>
    <w:link w:val="IdeaCentral"/>
    <w:rsid w:val="009022D6"/>
    <w:rPr>
      <w:rFonts w:ascii="Century Gothic" w:hAnsi="Century Gothic"/>
      <w:b/>
      <w:color w:val="C00000"/>
      <w:sz w:val="28"/>
      <w:szCs w:val="28"/>
      <w:lang w:val="es-ES_tradnl"/>
    </w:rPr>
  </w:style>
  <w:style w:type="character" w:customStyle="1" w:styleId="Ttulo1Car">
    <w:name w:val="Título 1 Car"/>
    <w:basedOn w:val="Fuentedeprrafopredeter"/>
    <w:link w:val="Ttulo1"/>
    <w:uiPriority w:val="9"/>
    <w:rsid w:val="00E018DE"/>
    <w:rPr>
      <w:rFonts w:ascii="Century Gothic" w:eastAsiaTheme="majorEastAsia" w:hAnsi="Century Gothic" w:cstheme="majorBidi"/>
      <w:bCs/>
      <w:smallCaps/>
      <w:color w:val="ED7D31" w:themeColor="accent2"/>
      <w:sz w:val="36"/>
      <w:szCs w:val="36"/>
      <w:lang w:val="es-ES_tradnl"/>
    </w:rPr>
  </w:style>
  <w:style w:type="character" w:customStyle="1" w:styleId="Ttulo2Car">
    <w:name w:val="Título 2 Car"/>
    <w:basedOn w:val="Fuentedeprrafopredeter"/>
    <w:link w:val="Ttulo2"/>
    <w:rsid w:val="001110FB"/>
    <w:rPr>
      <w:rFonts w:ascii="Arial Narrow" w:hAnsi="Arial Narrow" w:cstheme="majorBidi"/>
      <w:smallCaps/>
      <w:color w:val="767171" w:themeColor="background2" w:themeShade="80"/>
      <w:spacing w:val="5"/>
      <w:sz w:val="28"/>
      <w:szCs w:val="28"/>
      <w:lang w:val="es-ES_tradnl"/>
    </w:rPr>
  </w:style>
  <w:style w:type="character" w:customStyle="1" w:styleId="Ttulo3Car">
    <w:name w:val="Título 3 Car"/>
    <w:basedOn w:val="Fuentedeprrafopredeter"/>
    <w:link w:val="Ttulo3"/>
    <w:rsid w:val="001110FB"/>
    <w:rPr>
      <w:rFonts w:ascii="Arial Narrow" w:hAnsi="Arial Narrow" w:cstheme="majorBidi"/>
      <w:color w:val="404040" w:themeColor="text1" w:themeTint="BF"/>
      <w:spacing w:val="5"/>
      <w:sz w:val="24"/>
      <w:szCs w:val="24"/>
      <w:lang w:val="es-ES_tradnl"/>
    </w:rPr>
  </w:style>
  <w:style w:type="table" w:customStyle="1" w:styleId="Tablaconcuadrcula11">
    <w:name w:val="Tabla con cuadrícula11"/>
    <w:basedOn w:val="Tablanormal"/>
    <w:next w:val="Tablaconcuadrcula"/>
    <w:uiPriority w:val="59"/>
    <w:rsid w:val="009022D6"/>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aliases w:val="Ecotabla-3"/>
    <w:basedOn w:val="Tablanormal"/>
    <w:uiPriority w:val="39"/>
    <w:rsid w:val="00902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9022D6"/>
    <w:pPr>
      <w:tabs>
        <w:tab w:val="center" w:pos="4419"/>
        <w:tab w:val="right" w:pos="8838"/>
      </w:tabs>
      <w:spacing w:before="0" w:line="240" w:lineRule="auto"/>
    </w:pPr>
  </w:style>
  <w:style w:type="character" w:customStyle="1" w:styleId="PiedepginaCar">
    <w:name w:val="Pie de página Car"/>
    <w:basedOn w:val="Fuentedeprrafopredeter"/>
    <w:link w:val="Piedepgina"/>
    <w:uiPriority w:val="99"/>
    <w:rsid w:val="009022D6"/>
    <w:rPr>
      <w:rFonts w:ascii="Garamond" w:hAnsi="Garamond"/>
      <w:sz w:val="26"/>
      <w:szCs w:val="26"/>
      <w:lang w:val="es-ES_tradnl"/>
    </w:rPr>
  </w:style>
  <w:style w:type="table" w:customStyle="1" w:styleId="Ecotabla-3111">
    <w:name w:val="Ecotabla-3111"/>
    <w:basedOn w:val="Tablanormal"/>
    <w:next w:val="Tablaconcuadrcula"/>
    <w:uiPriority w:val="39"/>
    <w:rsid w:val="009022D6"/>
    <w:rPr>
      <w:rFonts w:eastAsia="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qFormat/>
    <w:rsid w:val="00F348F6"/>
    <w:pPr>
      <w:spacing w:before="0" w:after="120" w:line="276" w:lineRule="auto"/>
      <w:ind w:left="397" w:hanging="397"/>
    </w:pPr>
    <w:rPr>
      <w:sz w:val="20"/>
      <w:szCs w:val="20"/>
    </w:rPr>
  </w:style>
  <w:style w:type="character" w:customStyle="1" w:styleId="TextonotapieCar">
    <w:name w:val="Texto nota pie Car"/>
    <w:basedOn w:val="Fuentedeprrafopredeter"/>
    <w:link w:val="Textonotapie"/>
    <w:rsid w:val="00F348F6"/>
    <w:rPr>
      <w:rFonts w:ascii="Arial" w:hAnsi="Arial"/>
      <w:lang w:val="es-ES_tradnl"/>
    </w:rPr>
  </w:style>
  <w:style w:type="character" w:styleId="Refdenotaalpie">
    <w:name w:val="footnote reference"/>
    <w:aliases w:val="referencia nota al pie,Appel note de bas de page,Texto de nota al pie,Footnotes refss,BVI fnr,Ref. de nota al pie2,Nota de pie,Ref,de nota al pie,Footnote symbol,Footnote,Pie de pagina,Footnote Text Char1 Car Car Car Car,f,Nota a pie"/>
    <w:basedOn w:val="Fuentedeprrafopredeter"/>
    <w:unhideWhenUsed/>
    <w:qFormat/>
    <w:rsid w:val="00CD0D49"/>
    <w:rPr>
      <w:vertAlign w:val="superscript"/>
    </w:rPr>
  </w:style>
  <w:style w:type="paragraph" w:styleId="Bibliografa">
    <w:name w:val="Bibliography"/>
    <w:basedOn w:val="Normal"/>
    <w:next w:val="Normal"/>
    <w:uiPriority w:val="37"/>
    <w:unhideWhenUsed/>
    <w:rsid w:val="0030119F"/>
  </w:style>
  <w:style w:type="paragraph" w:styleId="Textodeglobo">
    <w:name w:val="Balloon Text"/>
    <w:basedOn w:val="Normal"/>
    <w:link w:val="TextodegloboCar"/>
    <w:uiPriority w:val="99"/>
    <w:semiHidden/>
    <w:unhideWhenUsed/>
    <w:rsid w:val="00DC5F98"/>
    <w:pPr>
      <w:spacing w:before="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C5F98"/>
    <w:rPr>
      <w:rFonts w:ascii="Lucida Grande" w:hAnsi="Lucida Grande"/>
      <w:sz w:val="18"/>
      <w:szCs w:val="18"/>
      <w:lang w:val="es-ES_tradnl"/>
    </w:rPr>
  </w:style>
  <w:style w:type="table" w:customStyle="1" w:styleId="Tablaconcuadrcula13">
    <w:name w:val="Tabla con cuadrícula13"/>
    <w:basedOn w:val="Tablanormal"/>
    <w:next w:val="Tablaconcuadrcula"/>
    <w:uiPriority w:val="59"/>
    <w:rsid w:val="005F56C7"/>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5F56C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cotabla-32">
    <w:name w:val="Ecotabla-32"/>
    <w:basedOn w:val="Tablanormal"/>
    <w:next w:val="Tablaconcuadrcula"/>
    <w:uiPriority w:val="39"/>
    <w:rsid w:val="005F56C7"/>
    <w:rPr>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Normal"/>
    <w:next w:val="Normal"/>
    <w:link w:val="AsuntodelcomentarioCar"/>
    <w:uiPriority w:val="99"/>
    <w:semiHidden/>
    <w:unhideWhenUsed/>
    <w:rsid w:val="00062FA9"/>
    <w:pPr>
      <w:spacing w:line="240" w:lineRule="auto"/>
    </w:pPr>
    <w:rPr>
      <w:b/>
      <w:bCs/>
      <w:sz w:val="20"/>
      <w:szCs w:val="20"/>
    </w:rPr>
  </w:style>
  <w:style w:type="character" w:customStyle="1" w:styleId="AsuntodelcomentarioCar">
    <w:name w:val="Asunto del comentario Car"/>
    <w:basedOn w:val="Fuentedeprrafopredeter"/>
    <w:link w:val="Asuntodelcomentario"/>
    <w:uiPriority w:val="99"/>
    <w:semiHidden/>
    <w:rsid w:val="00062FA9"/>
    <w:rPr>
      <w:rFonts w:ascii="Garamond" w:hAnsi="Garamond"/>
      <w:b/>
      <w:bCs/>
      <w:lang w:val="es-ES_tradnl"/>
    </w:rPr>
  </w:style>
  <w:style w:type="table" w:styleId="Sombreadoclaro">
    <w:name w:val="Light Shading"/>
    <w:basedOn w:val="Tablanormal"/>
    <w:uiPriority w:val="60"/>
    <w:rsid w:val="005F56C7"/>
    <w:pPr>
      <w:spacing w:after="0" w:line="240" w:lineRule="auto"/>
      <w:jc w:val="left"/>
    </w:pPr>
    <w:rPr>
      <w:color w:val="000000" w:themeColor="text1" w:themeShade="BF"/>
      <w:sz w:val="22"/>
      <w:szCs w:val="22"/>
      <w:lang w:eastAsia="es-C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Ecotabla-34">
    <w:name w:val="Ecotabla-34"/>
    <w:basedOn w:val="Tablanormal"/>
    <w:next w:val="Tablaconcuadrcula"/>
    <w:uiPriority w:val="99"/>
    <w:rsid w:val="005F56C7"/>
    <w:pPr>
      <w:spacing w:after="0" w:line="240" w:lineRule="auto"/>
      <w:jc w:val="left"/>
    </w:pPr>
    <w:rPr>
      <w:rFonts w:ascii="Garamond" w:eastAsia="Calibri" w:hAnsi="Garamond" w:cs="Garamond"/>
      <w:sz w:val="26"/>
      <w:szCs w:val="26"/>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spusdegrfica">
    <w:name w:val="Párrafo después de gráfica"/>
    <w:basedOn w:val="Normal"/>
    <w:rsid w:val="006E1FF4"/>
    <w:pPr>
      <w:spacing w:before="600"/>
    </w:pPr>
    <w:rPr>
      <w:rFonts w:eastAsia="Times New Roman" w:cs="Arial"/>
      <w:szCs w:val="24"/>
      <w:lang w:val="es-CO" w:eastAsia="es-ES"/>
    </w:rPr>
  </w:style>
  <w:style w:type="paragraph" w:styleId="Revisin">
    <w:name w:val="Revision"/>
    <w:hidden/>
    <w:uiPriority w:val="99"/>
    <w:semiHidden/>
    <w:rsid w:val="005F56C7"/>
    <w:pPr>
      <w:spacing w:after="0" w:line="240" w:lineRule="auto"/>
      <w:jc w:val="left"/>
    </w:pPr>
    <w:rPr>
      <w:rFonts w:ascii="Garamond" w:eastAsia="Times New Roman" w:hAnsi="Garamond" w:cs="Times New Roman"/>
      <w:sz w:val="26"/>
      <w:szCs w:val="26"/>
      <w:lang w:val="es-ES_tradnl" w:eastAsia="es-CO"/>
    </w:rPr>
  </w:style>
  <w:style w:type="table" w:customStyle="1" w:styleId="Tablaconcuadrcula14">
    <w:name w:val="Tabla con cuadrícula14"/>
    <w:basedOn w:val="Tablanormal"/>
    <w:next w:val="Tablaconcuadrcula"/>
    <w:uiPriority w:val="39"/>
    <w:rsid w:val="005F56C7"/>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tabla-31113">
    <w:name w:val="Ecotabla-31113"/>
    <w:basedOn w:val="Tablanormal"/>
    <w:next w:val="Tablaconcuadrcula"/>
    <w:uiPriority w:val="39"/>
    <w:rsid w:val="00402D78"/>
    <w:rPr>
      <w:rFonts w:eastAsia="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E66791"/>
    <w:pPr>
      <w:spacing w:after="0" w:line="240" w:lineRule="auto"/>
      <w:jc w:val="center"/>
    </w:pPr>
    <w:rPr>
      <w:rFonts w:ascii="Arial Narrow" w:eastAsia="Times New Roman" w:hAnsi="Arial Narrow"/>
      <w:lang w:val="es-ES"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vAlign w:val="center"/>
    </w:tcPr>
    <w:tblStylePr w:type="firstRow">
      <w:rPr>
        <w:b/>
        <w:bCs/>
      </w:rPr>
      <w:tblPr/>
      <w:tcPr>
        <w:tcBorders>
          <w:top w:val="single" w:sz="18" w:space="0" w:color="7F7F7F" w:themeColor="text1" w:themeTint="80"/>
          <w:bottom w:val="single" w:sz="8" w:space="0" w:color="7F7F7F" w:themeColor="text1" w:themeTint="80"/>
        </w:tcBorders>
        <w:shd w:val="clear" w:color="auto" w:fill="BFBFBF" w:themeFill="background1" w:themeFillShade="BF"/>
      </w:tcPr>
    </w:tblStylePr>
    <w:tblStylePr w:type="lastRow">
      <w:rPr>
        <w:b w:val="0"/>
        <w:bCs/>
      </w:rPr>
      <w:tblPr/>
      <w:tcPr>
        <w:tcBorders>
          <w:top w:val="single" w:sz="4" w:space="0" w:color="7F7F7F" w:themeColor="text1" w:themeTint="80"/>
        </w:tcBorders>
      </w:tcPr>
    </w:tblStylePr>
    <w:tblStylePr w:type="firstCol">
      <w:pPr>
        <w:jc w:val="left"/>
      </w:pPr>
      <w:rPr>
        <w:b w:val="0"/>
        <w:bCs/>
      </w:rPr>
      <w:tblPr/>
      <w:tcPr>
        <w:vAlign w:val="top"/>
      </w:tc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4Car">
    <w:name w:val="Título 4 Car"/>
    <w:basedOn w:val="Fuentedeprrafopredeter"/>
    <w:link w:val="Ttulo4"/>
    <w:rsid w:val="00CA6AC2"/>
    <w:rPr>
      <w:rFonts w:ascii="Century Gothic" w:eastAsiaTheme="majorEastAsia" w:hAnsi="Century Gothic" w:cstheme="majorBidi"/>
      <w:i/>
      <w:iCs/>
      <w:color w:val="595959" w:themeColor="text1" w:themeTint="A6"/>
      <w:spacing w:val="5"/>
      <w:sz w:val="24"/>
      <w:szCs w:val="24"/>
      <w:lang w:val="es-ES_tradnl"/>
    </w:rPr>
  </w:style>
  <w:style w:type="character" w:customStyle="1" w:styleId="Ttulo5Car">
    <w:name w:val="Título 5 Car"/>
    <w:basedOn w:val="Fuentedeprrafopredeter"/>
    <w:link w:val="Ttulo5"/>
    <w:uiPriority w:val="9"/>
    <w:rsid w:val="00E66791"/>
    <w:rPr>
      <w:rFonts w:asciiTheme="majorHAnsi" w:eastAsiaTheme="majorEastAsia" w:hAnsiTheme="majorHAnsi" w:cstheme="majorBidi"/>
      <w:color w:val="2E74B5" w:themeColor="accent1" w:themeShade="BF"/>
      <w:sz w:val="24"/>
      <w:szCs w:val="26"/>
      <w:lang w:val="es-ES_tradnl"/>
    </w:rPr>
  </w:style>
  <w:style w:type="character" w:customStyle="1" w:styleId="Ttulo6Car">
    <w:name w:val="Título 6 Car"/>
    <w:basedOn w:val="Fuentedeprrafopredeter"/>
    <w:link w:val="Ttulo6"/>
    <w:uiPriority w:val="9"/>
    <w:semiHidden/>
    <w:rsid w:val="00E66791"/>
    <w:rPr>
      <w:rFonts w:asciiTheme="majorHAnsi" w:eastAsiaTheme="majorEastAsia" w:hAnsiTheme="majorHAnsi" w:cstheme="majorBidi"/>
      <w:i/>
      <w:iCs/>
      <w:color w:val="1F4D78" w:themeColor="accent1" w:themeShade="7F"/>
      <w:sz w:val="24"/>
      <w:szCs w:val="26"/>
      <w:lang w:val="es-ES_tradnl"/>
    </w:rPr>
  </w:style>
  <w:style w:type="table" w:customStyle="1" w:styleId="Tabladelista4-nfasis21">
    <w:name w:val="Tabla de lista 4 - Énfasis 21"/>
    <w:basedOn w:val="Tablanormal"/>
    <w:uiPriority w:val="49"/>
    <w:rsid w:val="00E6679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E6679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111">
    <w:name w:val="Tabla con cuadrícula111"/>
    <w:basedOn w:val="Tablanormal"/>
    <w:next w:val="Tablaconcuadrcula"/>
    <w:uiPriority w:val="59"/>
    <w:rsid w:val="00E66791"/>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66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tabla-31111">
    <w:name w:val="Ecotabla-31111"/>
    <w:basedOn w:val="Tablanormal"/>
    <w:next w:val="Tablaconcuadrcula"/>
    <w:uiPriority w:val="39"/>
    <w:rsid w:val="00E66791"/>
    <w:rPr>
      <w:rFonts w:eastAsia="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E6679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4-nfasis211">
    <w:name w:val="Tabla de lista 4 - Énfasis 211"/>
    <w:basedOn w:val="Tablanormal"/>
    <w:next w:val="Tabladelista4-nfasis21"/>
    <w:uiPriority w:val="49"/>
    <w:rsid w:val="00E6679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1">
    <w:name w:val="Tabla de cuadrícula 4 - Énfasis 211"/>
    <w:basedOn w:val="Tablanormal"/>
    <w:next w:val="Tabladecuadrcula4-nfasis21"/>
    <w:uiPriority w:val="49"/>
    <w:rsid w:val="00E6679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ombreadoclaro-nfasis2">
    <w:name w:val="Light Shading Accent 2"/>
    <w:basedOn w:val="Tablanormal"/>
    <w:uiPriority w:val="60"/>
    <w:rsid w:val="00E66791"/>
    <w:pPr>
      <w:spacing w:after="0" w:line="240" w:lineRule="auto"/>
      <w:jc w:val="left"/>
    </w:pPr>
    <w:rPr>
      <w:rFonts w:ascii="Times New Roman" w:eastAsia="Times New Roman" w:hAnsi="Times New Roman" w:cs="Times New Roman"/>
      <w:color w:val="C45911" w:themeColor="accent2" w:themeShade="BF"/>
      <w:lang w:eastAsia="es-CO"/>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aconcuadrcula112">
    <w:name w:val="Tabla con cuadrícula112"/>
    <w:basedOn w:val="Tablanormal"/>
    <w:next w:val="Tablaconcuadrcula"/>
    <w:uiPriority w:val="59"/>
    <w:rsid w:val="00E66791"/>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66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tabla-31112">
    <w:name w:val="Ecotabla-31112"/>
    <w:basedOn w:val="Tablanormal"/>
    <w:next w:val="Tablaconcuadrcula"/>
    <w:uiPriority w:val="39"/>
    <w:rsid w:val="00E66791"/>
    <w:rPr>
      <w:rFonts w:eastAsia="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1">
    <w:name w:val="Asunto del comentario Car1"/>
    <w:basedOn w:val="Fuentedeprrafopredeter"/>
    <w:uiPriority w:val="99"/>
    <w:semiHidden/>
    <w:rsid w:val="00062FA9"/>
    <w:rPr>
      <w:rFonts w:ascii="Garamond" w:eastAsiaTheme="minorEastAsia" w:hAnsi="Garamond"/>
      <w:b/>
      <w:bCs/>
      <w:sz w:val="26"/>
      <w:szCs w:val="24"/>
      <w:lang w:val="es-ES_tradnl"/>
    </w:rPr>
  </w:style>
  <w:style w:type="character" w:styleId="CitaHTML">
    <w:name w:val="HTML Cite"/>
    <w:basedOn w:val="Fuentedeprrafopredeter"/>
    <w:uiPriority w:val="99"/>
    <w:semiHidden/>
    <w:unhideWhenUsed/>
    <w:rsid w:val="00E66791"/>
    <w:rPr>
      <w:i/>
      <w:iCs/>
    </w:rPr>
  </w:style>
  <w:style w:type="character" w:styleId="Hipervnculovisitado">
    <w:name w:val="FollowedHyperlink"/>
    <w:basedOn w:val="Fuentedeprrafopredeter"/>
    <w:uiPriority w:val="99"/>
    <w:semiHidden/>
    <w:unhideWhenUsed/>
    <w:rsid w:val="00E66791"/>
    <w:rPr>
      <w:color w:val="954F72" w:themeColor="followedHyperlink"/>
      <w:u w:val="single"/>
    </w:rPr>
  </w:style>
  <w:style w:type="table" w:customStyle="1" w:styleId="Ecotabla-31114">
    <w:name w:val="Ecotabla-31114"/>
    <w:basedOn w:val="Tablanormal"/>
    <w:next w:val="Tablaconcuadrcula"/>
    <w:uiPriority w:val="39"/>
    <w:rsid w:val="00E66791"/>
    <w:rPr>
      <w:rFonts w:eastAsia="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66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66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rsid w:val="00E66791"/>
    <w:pPr>
      <w:spacing w:after="0" w:line="240" w:lineRule="auto"/>
      <w:jc w:val="left"/>
    </w:pPr>
    <w:rPr>
      <w:rFonts w:ascii="Calibri" w:eastAsia="Calibri" w:hAnsi="Calibri" w:cs="Times New Roman"/>
      <w:lang w:val="es-ES_tradnl"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Mapadeldocumento">
    <w:name w:val="Document Map"/>
    <w:basedOn w:val="Normal"/>
    <w:link w:val="MapadeldocumentoCar"/>
    <w:uiPriority w:val="99"/>
    <w:semiHidden/>
    <w:unhideWhenUsed/>
    <w:rsid w:val="00E66791"/>
    <w:pPr>
      <w:spacing w:before="0" w:line="240" w:lineRule="auto"/>
    </w:pPr>
    <w:rPr>
      <w:rFonts w:ascii="Lucida Grande" w:hAnsi="Lucida Grande" w:cs="Lucida Grande"/>
      <w:szCs w:val="24"/>
      <w:lang w:val="es-CO" w:eastAsia="ja-JP"/>
    </w:rPr>
  </w:style>
  <w:style w:type="character" w:customStyle="1" w:styleId="MapadeldocumentoCar">
    <w:name w:val="Mapa del documento Car"/>
    <w:basedOn w:val="Fuentedeprrafopredeter"/>
    <w:link w:val="Mapadeldocumento"/>
    <w:uiPriority w:val="99"/>
    <w:semiHidden/>
    <w:rsid w:val="00E66791"/>
    <w:rPr>
      <w:rFonts w:ascii="Lucida Grande" w:hAnsi="Lucida Grande" w:cs="Lucida Grande"/>
      <w:sz w:val="24"/>
      <w:szCs w:val="24"/>
      <w:lang w:eastAsia="ja-JP"/>
    </w:rPr>
  </w:style>
  <w:style w:type="table" w:customStyle="1" w:styleId="Tabladelista3-nfasis11">
    <w:name w:val="Tabla de lista 3 - Énfasis 11"/>
    <w:basedOn w:val="Tablanormal"/>
    <w:uiPriority w:val="48"/>
    <w:rsid w:val="00E6679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4-nfasis311">
    <w:name w:val="Tabla de cuadrícula 4 - Énfasis 311"/>
    <w:basedOn w:val="Tablanormal"/>
    <w:uiPriority w:val="49"/>
    <w:rsid w:val="00E667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Grfica">
    <w:name w:val="Gráfica"/>
    <w:basedOn w:val="Normal"/>
    <w:rsid w:val="001C1AE0"/>
    <w:pPr>
      <w:keepNext/>
      <w:keepLines/>
      <w:spacing w:after="120" w:line="240" w:lineRule="auto"/>
      <w:jc w:val="center"/>
    </w:pPr>
    <w:rPr>
      <w:rFonts w:eastAsia="Times New Roman" w:cs="Arial"/>
      <w:szCs w:val="24"/>
      <w:lang w:val="es-CO" w:eastAsia="es-ES"/>
    </w:rPr>
  </w:style>
  <w:style w:type="table" w:customStyle="1" w:styleId="Tabladecuadrcula4-nfasis310">
    <w:name w:val="Tabla de cuadrícula 4 - Énfasis 310"/>
    <w:basedOn w:val="Tablanormal"/>
    <w:uiPriority w:val="49"/>
    <w:rsid w:val="004C58B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
    <w:name w:val="Tabla de cuadrícula 4 - Énfasis 3100"/>
    <w:basedOn w:val="Tablanormal"/>
    <w:uiPriority w:val="49"/>
    <w:rsid w:val="00455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
    <w:name w:val="Tabla de cuadrícula 4 - Énfasis 31000"/>
    <w:basedOn w:val="Tablanormal"/>
    <w:uiPriority w:val="49"/>
    <w:rsid w:val="00455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
    <w:name w:val="Tabla de cuadrícula 4 - Énfasis 310000"/>
    <w:basedOn w:val="Tablanormal"/>
    <w:uiPriority w:val="49"/>
    <w:rsid w:val="00E1064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
    <w:name w:val="Tabla de cuadrícula 4 - Énfasis 3100000"/>
    <w:basedOn w:val="Tablanormal"/>
    <w:uiPriority w:val="49"/>
    <w:rsid w:val="00F957B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
    <w:name w:val="Tabla de cuadrícula 4 - Énfasis 31000000"/>
    <w:basedOn w:val="Tablanormal"/>
    <w:uiPriority w:val="49"/>
    <w:rsid w:val="00E67D4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
    <w:name w:val="Tabla de cuadrícula 4 - Énfasis 310000000"/>
    <w:basedOn w:val="Tablanormal"/>
    <w:uiPriority w:val="49"/>
    <w:rsid w:val="00E67D4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
    <w:name w:val="Tabla de cuadrícula 4 - Énfasis 3100000000"/>
    <w:basedOn w:val="Tablanormal"/>
    <w:uiPriority w:val="49"/>
    <w:rsid w:val="00E67D4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
    <w:name w:val="Tabla de cuadrícula 4 - Énfasis 31000000000"/>
    <w:basedOn w:val="Tablanormal"/>
    <w:uiPriority w:val="49"/>
    <w:rsid w:val="0073770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
    <w:name w:val="Tabla de cuadrícula 4 - Énfasis 310000000000"/>
    <w:basedOn w:val="Tablanormal"/>
    <w:uiPriority w:val="49"/>
    <w:rsid w:val="0073770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
    <w:name w:val="Tabla de cuadrícula 4 - Énfasis 3100000000000"/>
    <w:basedOn w:val="Tablanormal"/>
    <w:uiPriority w:val="49"/>
    <w:rsid w:val="00416CB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
    <w:name w:val="Tabla de cuadrícula 4 - Énfasis 31000000000000"/>
    <w:basedOn w:val="Tablanormal"/>
    <w:uiPriority w:val="49"/>
    <w:rsid w:val="0022226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
    <w:name w:val="Tabla de cuadrícula 4 - Énfasis 310000000000000"/>
    <w:basedOn w:val="Tablanormal"/>
    <w:uiPriority w:val="49"/>
    <w:rsid w:val="0085640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
    <w:name w:val="Tabla de cuadrícula 4 - Énfasis 3100000000000000"/>
    <w:basedOn w:val="Tablanormal"/>
    <w:uiPriority w:val="49"/>
    <w:rsid w:val="004B239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
    <w:name w:val="Tabla de cuadrícula 4 - Énfasis 31000000000000000"/>
    <w:basedOn w:val="Tablanormal"/>
    <w:uiPriority w:val="49"/>
    <w:rsid w:val="00A13DF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
    <w:name w:val="Tabla de cuadrícula 4 - Énfasis 310000000000000000"/>
    <w:basedOn w:val="Tablanormal"/>
    <w:uiPriority w:val="49"/>
    <w:rsid w:val="00A76AA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
    <w:name w:val="Tabla de cuadrícula 4 - Énfasis 3100000000000000000"/>
    <w:basedOn w:val="Tablanormal"/>
    <w:uiPriority w:val="49"/>
    <w:rsid w:val="009264A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
    <w:name w:val="Tabla de cuadrícula 4 - Énfasis 31000000000000000000"/>
    <w:basedOn w:val="Tablanormal"/>
    <w:uiPriority w:val="49"/>
    <w:rsid w:val="00AC71E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
    <w:name w:val="Tabla de cuadrícula 4 - Énfasis 310000000000000000000"/>
    <w:basedOn w:val="Tablanormal"/>
    <w:uiPriority w:val="49"/>
    <w:rsid w:val="0024033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
    <w:name w:val="Tabla de cuadrícula 4 - Énfasis 3100000000000000000000"/>
    <w:basedOn w:val="Tablanormal"/>
    <w:uiPriority w:val="49"/>
    <w:rsid w:val="0024033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
    <w:name w:val="Tabla de cuadrícula 4 - Énfasis 31000000000000000000000"/>
    <w:basedOn w:val="Tablanormal"/>
    <w:uiPriority w:val="49"/>
    <w:rsid w:val="008E1AF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
    <w:name w:val="Tabla de cuadrícula 4 - Énfasis 310000000000000000000000"/>
    <w:basedOn w:val="Tablanormal"/>
    <w:uiPriority w:val="49"/>
    <w:rsid w:val="00E970F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
    <w:name w:val="Tabla de cuadrícula 4 - Énfasis 3100000000000000000000000"/>
    <w:basedOn w:val="Tablanormal"/>
    <w:uiPriority w:val="49"/>
    <w:rsid w:val="005D77C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
    <w:name w:val="Tabla de cuadrícula 4 - Énfasis 31000000000000000000000000"/>
    <w:basedOn w:val="Tablanormal"/>
    <w:uiPriority w:val="49"/>
    <w:rsid w:val="00AB7C6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
    <w:name w:val="Tabla de cuadrícula 4 - Énfasis 310000000000000000000000000"/>
    <w:basedOn w:val="Tablanormal"/>
    <w:uiPriority w:val="49"/>
    <w:rsid w:val="002915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
    <w:name w:val="Tabla de cuadrícula 4 - Énfasis 3100000000000000000000000000"/>
    <w:basedOn w:val="Tablanormal"/>
    <w:uiPriority w:val="49"/>
    <w:rsid w:val="00FA58E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
    <w:name w:val="Tabla de cuadrícula 4 - Énfasis 31000000000000000000000000000"/>
    <w:basedOn w:val="Tablanormal"/>
    <w:uiPriority w:val="49"/>
    <w:rsid w:val="003D607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
    <w:name w:val="Tabla de cuadrícula 4 - Énfasis 310000000000000000000000000000"/>
    <w:basedOn w:val="Tablanormal"/>
    <w:uiPriority w:val="49"/>
    <w:rsid w:val="00EF71B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
    <w:name w:val="Tabla de cuadrícula 4 - Énfasis 3100000000000000000000000000000"/>
    <w:basedOn w:val="Tablanormal"/>
    <w:uiPriority w:val="49"/>
    <w:rsid w:val="003F62B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
    <w:name w:val="Tabla de cuadrícula 4 - Énfasis 31000000000000000000000000000000"/>
    <w:basedOn w:val="Tablanormal"/>
    <w:uiPriority w:val="49"/>
    <w:rsid w:val="0041112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
    <w:name w:val="Tabla de cuadrícula 4 - Énfasis 310000000000000000000000000000000"/>
    <w:basedOn w:val="Tablanormal"/>
    <w:uiPriority w:val="49"/>
    <w:rsid w:val="0041112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
    <w:name w:val="Tabla de cuadrícula 4 - Énfasis 3100000000000000000000000000000000"/>
    <w:basedOn w:val="Tablanormal"/>
    <w:uiPriority w:val="49"/>
    <w:rsid w:val="0041112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
    <w:name w:val="Tabla de cuadrícula 4 - Énfasis 31000000000000000000000000000000000"/>
    <w:basedOn w:val="Tablanormal"/>
    <w:uiPriority w:val="49"/>
    <w:rsid w:val="0041112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
    <w:name w:val="Tabla de cuadrícula 4 - Énfasis 310000000000000000000000000000000000"/>
    <w:basedOn w:val="Tablanormal"/>
    <w:uiPriority w:val="49"/>
    <w:rsid w:val="0041112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
    <w:name w:val="Tabla de cuadrícula 4 - Énfasis 3100000000000000000000000000000000000"/>
    <w:basedOn w:val="Tablanormal"/>
    <w:uiPriority w:val="49"/>
    <w:rsid w:val="00B361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
    <w:name w:val="Tabla de cuadrícula 4 - Énfasis 31000000000000000000000000000000000000"/>
    <w:basedOn w:val="Tablanormal"/>
    <w:uiPriority w:val="49"/>
    <w:rsid w:val="00B361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
    <w:name w:val="Tabla de cuadrícula 4 - Énfasis 310000000000000000000000000000000000000"/>
    <w:basedOn w:val="Tablanormal"/>
    <w:uiPriority w:val="49"/>
    <w:rsid w:val="003241A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
    <w:name w:val="Tabla de cuadrícula 4 - Énfasis 3100000000000000000000000000000000000000"/>
    <w:basedOn w:val="Tablanormal"/>
    <w:uiPriority w:val="49"/>
    <w:rsid w:val="00AC1D9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
    <w:name w:val="Tabla de cuadrícula 4 - Énfasis 31000000000000000000000000000000000000000"/>
    <w:basedOn w:val="Tablanormal"/>
    <w:uiPriority w:val="49"/>
    <w:rsid w:val="00A44B5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
    <w:name w:val="Tabla de cuadrícula 4 - Énfasis 310000000000000000000000000000000000000000"/>
    <w:basedOn w:val="Tablanormal"/>
    <w:uiPriority w:val="49"/>
    <w:rsid w:val="00274F3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
    <w:name w:val="Tabla de cuadrícula 4 - Énfasis 3100000000000000000000000000000000000000000"/>
    <w:basedOn w:val="Tablanormal"/>
    <w:uiPriority w:val="49"/>
    <w:rsid w:val="00274F3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
    <w:name w:val="Tabla de cuadrícula 4 - Énfasis 31000000000000000000000000000000000000000000"/>
    <w:basedOn w:val="Tablanormal"/>
    <w:uiPriority w:val="49"/>
    <w:rsid w:val="0099135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
    <w:name w:val="Tabla de cuadrícula 4 - Énfasis 310000000000000000000000000000000000000000000"/>
    <w:basedOn w:val="Tablanormal"/>
    <w:uiPriority w:val="49"/>
    <w:rsid w:val="006B7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
    <w:name w:val="Tabla de cuadrícula 4 - Énfasis 3100000000000000000000000000000000000000000000"/>
    <w:basedOn w:val="Tablanormal"/>
    <w:uiPriority w:val="49"/>
    <w:rsid w:val="006B7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
    <w:name w:val="Tabla de cuadrícula 4 - Énfasis 31000000000000000000000000000000000000000000000"/>
    <w:basedOn w:val="Tablanormal"/>
    <w:uiPriority w:val="49"/>
    <w:rsid w:val="006B7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
    <w:name w:val="Tabla de cuadrícula 4 - Énfasis 310000000000000000000000000000000000000000000000"/>
    <w:basedOn w:val="Tablanormal"/>
    <w:uiPriority w:val="49"/>
    <w:rsid w:val="006B7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
    <w:name w:val="Tabla de cuadrícula 4 - Énfasis 3100000000000000000000000000000000000000000000000"/>
    <w:basedOn w:val="Tablanormal"/>
    <w:uiPriority w:val="49"/>
    <w:rsid w:val="006B7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
    <w:name w:val="Tabla de cuadrícula 4 - Énfasis 31000000000000000000000000000000000000000000000000"/>
    <w:basedOn w:val="Tablanormal"/>
    <w:uiPriority w:val="49"/>
    <w:rsid w:val="006B7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
    <w:name w:val="Tabla de cuadrícula 4 - Énfasis 310000000000000000000000000000000000000000000000000"/>
    <w:basedOn w:val="Tablanormal"/>
    <w:uiPriority w:val="49"/>
    <w:rsid w:val="006B7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
    <w:name w:val="Tabla de cuadrícula 4 - Énfasis 3100000000000000000000000000000000000000000000000000"/>
    <w:basedOn w:val="Tablanormal"/>
    <w:uiPriority w:val="49"/>
    <w:rsid w:val="006B7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
    <w:name w:val="Tabla de cuadrícula 4 - Énfasis 31000000000000000000000000000000000000000000000000000"/>
    <w:basedOn w:val="Tablanormal"/>
    <w:uiPriority w:val="49"/>
    <w:rsid w:val="006B7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
    <w:name w:val="Tabla de cuadrícula 4 - Énfasis 310000000000000000000000000000000000000000000000000000"/>
    <w:basedOn w:val="Tablanormal"/>
    <w:uiPriority w:val="49"/>
    <w:rsid w:val="00AE630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
    <w:name w:val="Tabla de cuadrícula 4 - Énfasis 3100000000000000000000000000000000000000000000000000000"/>
    <w:basedOn w:val="Tablanormal"/>
    <w:uiPriority w:val="49"/>
    <w:rsid w:val="00235B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
    <w:name w:val="Tabla de cuadrícula 4 - Énfasis 31000000000000000000000000000000000000000000000000000000"/>
    <w:basedOn w:val="Tablanormal"/>
    <w:uiPriority w:val="49"/>
    <w:rsid w:val="00235B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
    <w:name w:val="Tabla de cuadrícula 4 - Énfasis 310000000000000000000000000000000000000000000000000000000"/>
    <w:basedOn w:val="Tablanormal"/>
    <w:uiPriority w:val="49"/>
    <w:rsid w:val="00073D8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
    <w:name w:val="Tabla de cuadrícula 4 - Énfasis 3100000000000000000000000000000000000000000000000000000000"/>
    <w:basedOn w:val="Tablanormal"/>
    <w:uiPriority w:val="49"/>
    <w:rsid w:val="00AA07C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
    <w:name w:val="Tabla de cuadrícula 4 - Énfasis 31000000000000000000000000000000000000000000000000000000000"/>
    <w:basedOn w:val="Tablanormal"/>
    <w:uiPriority w:val="49"/>
    <w:rsid w:val="00EF5B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
    <w:name w:val="Tabla de cuadrícula 4 - Énfasis 310000000000000000000000000000000000000000000000000000000000"/>
    <w:basedOn w:val="Tablanormal"/>
    <w:uiPriority w:val="49"/>
    <w:rsid w:val="00F13F5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
    <w:name w:val="Tabla de cuadrícula 4 - Énfasis 3100000000000000000000000000000000000000000000000000000000000"/>
    <w:basedOn w:val="Tablanormal"/>
    <w:uiPriority w:val="49"/>
    <w:rsid w:val="00E32BE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
    <w:name w:val="Tabla de cuadrícula 4 - Énfasis 31000000000000000000000000000000000000000000000000000000000000"/>
    <w:basedOn w:val="Tablanormal"/>
    <w:uiPriority w:val="49"/>
    <w:rsid w:val="004C0F1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
    <w:name w:val="Tabla de cuadrícula 4 - Énfasis 310000000000000000000000000000000000000000000000000000000000000"/>
    <w:basedOn w:val="Tablanormal"/>
    <w:uiPriority w:val="49"/>
    <w:rsid w:val="004C0F1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
    <w:name w:val="Tabla de cuadrícula 4 - Énfasis 3100000000000000000000000000000000000000000000000000000000000000"/>
    <w:basedOn w:val="Tablanormal"/>
    <w:uiPriority w:val="49"/>
    <w:rsid w:val="000E1F5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
    <w:name w:val="Tabla de cuadrícula 4 - Énfasis 31000000000000000000000000000000000000000000000000000000000000000"/>
    <w:basedOn w:val="Tablanormal"/>
    <w:uiPriority w:val="49"/>
    <w:rsid w:val="00782F9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
    <w:name w:val="Tabla de cuadrícula 4 - Énfasis 310000000000000000000000000000000000000000000000000000000000000000"/>
    <w:basedOn w:val="Tablanormal"/>
    <w:uiPriority w:val="49"/>
    <w:rsid w:val="004D0E9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0">
    <w:name w:val="Tabla de cuadrícula 4 - Énfasis 3100000000000000000000000000000000000000000000000000000000000000000"/>
    <w:basedOn w:val="Tablanormal"/>
    <w:uiPriority w:val="49"/>
    <w:rsid w:val="004D0E9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00">
    <w:name w:val="Tabla de cuadrícula 4 - Énfasis 31000000000000000000000000000000000000000000000000000000000000000000"/>
    <w:basedOn w:val="Tablanormal"/>
    <w:uiPriority w:val="49"/>
    <w:rsid w:val="003C22A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000">
    <w:name w:val="Tabla de cuadrícula 4 - Énfasis 310000000000000000000000000000000000000000000000000000000000000000000"/>
    <w:basedOn w:val="Tablanormal"/>
    <w:uiPriority w:val="49"/>
    <w:rsid w:val="007410A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0000">
    <w:name w:val="Tabla de cuadrícula 4 - Énfasis 3100000000000000000000000000000000000000000000000000000000000000000000"/>
    <w:basedOn w:val="Tablanormal"/>
    <w:uiPriority w:val="49"/>
    <w:rsid w:val="00176CF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00000">
    <w:name w:val="Tabla de cuadrícula 4 - Énfasis 31000000000000000000000000000000000000000000000000000000000000000000000"/>
    <w:basedOn w:val="Tablanormal"/>
    <w:uiPriority w:val="49"/>
    <w:rsid w:val="00771F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000000">
    <w:name w:val="Tabla de cuadrícula 4 - Énfasis 310000000000000000000000000000000000000000000000000000000000000000000000"/>
    <w:basedOn w:val="Tablanormal"/>
    <w:uiPriority w:val="49"/>
    <w:rsid w:val="0079444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0000000">
    <w:name w:val="Tabla de cuadrícula 4 - Énfasis 3100000000000000000000000000000000000000000000000000000000000000000000000"/>
    <w:basedOn w:val="Tablanormal"/>
    <w:uiPriority w:val="49"/>
    <w:rsid w:val="0079444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00000000">
    <w:name w:val="Tabla de cuadrícula 4 - Énfasis 31000000000000000000000000000000000000000000000000000000000000000000000000"/>
    <w:basedOn w:val="Tablanormal"/>
    <w:uiPriority w:val="49"/>
    <w:rsid w:val="0079444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000000000">
    <w:name w:val="Tabla de cuadrícula 4 - Énfasis 310000000000000000000000000000000000000000000000000000000000000000000000000"/>
    <w:basedOn w:val="Tablanormal"/>
    <w:uiPriority w:val="49"/>
    <w:rsid w:val="000D059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00000000000000000000000000000000000000000000000000000000000000000000000000">
    <w:name w:val="Tabla de cuadrícula 4 - Énfasis 3100000000000000000000000000000000000000000000000000000000000000000000000000"/>
    <w:basedOn w:val="Tablanormal"/>
    <w:uiPriority w:val="49"/>
    <w:rsid w:val="0041073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Vietasflecha">
    <w:name w:val="Viñetas flecha"/>
    <w:basedOn w:val="Normal"/>
    <w:autoRedefine/>
    <w:qFormat/>
    <w:rsid w:val="001E224E"/>
    <w:pPr>
      <w:keepNext/>
      <w:keepLines/>
      <w:numPr>
        <w:numId w:val="7"/>
      </w:numPr>
      <w:spacing w:after="120"/>
      <w:ind w:left="357" w:hanging="357"/>
    </w:pPr>
    <w:rPr>
      <w:rFonts w:eastAsia="Times New Roman" w:cs="Arial"/>
      <w:b/>
      <w:szCs w:val="24"/>
      <w:u w:val="single"/>
      <w:lang w:val="es-ES"/>
    </w:rPr>
  </w:style>
  <w:style w:type="paragraph" w:customStyle="1" w:styleId="Vietascuadradas-Tamao12-indentado0">
    <w:name w:val="Viñetas cuadradas - Tamaño 12 -indentado 0"/>
    <w:basedOn w:val="Normal"/>
    <w:rsid w:val="000C5CBA"/>
    <w:pPr>
      <w:numPr>
        <w:numId w:val="2"/>
      </w:numPr>
      <w:spacing w:after="120"/>
      <w:ind w:left="357" w:hanging="357"/>
    </w:pPr>
    <w:rPr>
      <w:rFonts w:eastAsia="Times New Roman" w:cs="Arial"/>
      <w:szCs w:val="24"/>
      <w:lang w:val="es-CO" w:eastAsia="es-ES"/>
    </w:rPr>
  </w:style>
  <w:style w:type="paragraph" w:customStyle="1" w:styleId="Citatextuallarga">
    <w:name w:val="Cita textual larga"/>
    <w:basedOn w:val="Normal"/>
    <w:next w:val="Normal"/>
    <w:rsid w:val="00594BD6"/>
    <w:pPr>
      <w:spacing w:line="264" w:lineRule="auto"/>
      <w:ind w:left="454" w:right="454"/>
    </w:pPr>
    <w:rPr>
      <w:rFonts w:eastAsia="Times New Roman" w:cs="Arial"/>
      <w:i/>
      <w:sz w:val="22"/>
      <w:szCs w:val="22"/>
      <w:lang w:val="es-CO" w:eastAsia="es-ES"/>
    </w:rPr>
  </w:style>
  <w:style w:type="paragraph" w:customStyle="1" w:styleId="FuentedeGrfica">
    <w:name w:val="Fuente de Gráfica"/>
    <w:basedOn w:val="Normal"/>
    <w:next w:val="Normal"/>
    <w:rsid w:val="00360341"/>
    <w:pPr>
      <w:spacing w:before="60" w:after="360" w:line="240" w:lineRule="auto"/>
      <w:ind w:left="1418" w:right="567" w:hanging="851"/>
    </w:pPr>
    <w:rPr>
      <w:rFonts w:eastAsia="Times New Roman" w:cs="Arial"/>
      <w:color w:val="000000"/>
      <w:sz w:val="18"/>
      <w:szCs w:val="18"/>
      <w:lang w:val="es-CO" w:eastAsia="es-ES"/>
    </w:rPr>
  </w:style>
  <w:style w:type="paragraph" w:styleId="Prrafodelista">
    <w:name w:val="List Paragraph"/>
    <w:aliases w:val="Viñetas redondas"/>
    <w:basedOn w:val="Normal"/>
    <w:next w:val="Normal"/>
    <w:link w:val="PrrafodelistaCar"/>
    <w:uiPriority w:val="34"/>
    <w:qFormat/>
    <w:rsid w:val="001725D4"/>
    <w:pPr>
      <w:numPr>
        <w:numId w:val="3"/>
      </w:numPr>
      <w:spacing w:after="120" w:line="288" w:lineRule="auto"/>
    </w:pPr>
    <w:rPr>
      <w:rFonts w:eastAsiaTheme="minorHAnsi"/>
      <w:sz w:val="22"/>
      <w:szCs w:val="22"/>
      <w:lang w:val="es-ES"/>
    </w:rPr>
  </w:style>
  <w:style w:type="character" w:customStyle="1" w:styleId="PrrafodelistaCar">
    <w:name w:val="Párrafo de lista Car"/>
    <w:aliases w:val="Viñetas redondas Car"/>
    <w:basedOn w:val="Fuentedeprrafopredeter"/>
    <w:link w:val="Prrafodelista"/>
    <w:uiPriority w:val="99"/>
    <w:rsid w:val="001725D4"/>
    <w:rPr>
      <w:rFonts w:ascii="Arial" w:eastAsiaTheme="minorHAnsi" w:hAnsi="Arial"/>
      <w:sz w:val="22"/>
      <w:szCs w:val="22"/>
      <w:lang w:val="es-ES"/>
    </w:rPr>
  </w:style>
  <w:style w:type="paragraph" w:customStyle="1" w:styleId="Ecuacin">
    <w:name w:val="Ecuación"/>
    <w:basedOn w:val="Normal"/>
    <w:rsid w:val="00E864D5"/>
    <w:pPr>
      <w:keepNext/>
      <w:keepLines/>
      <w:spacing w:before="120" w:after="120" w:line="240" w:lineRule="auto"/>
      <w:jc w:val="center"/>
    </w:pPr>
    <w:rPr>
      <w:rFonts w:eastAsia="Times New Roman" w:cs="Times New Roman"/>
      <w:b/>
      <w:i/>
      <w:sz w:val="20"/>
      <w:szCs w:val="20"/>
      <w:lang w:val="es-CO" w:eastAsia="es-ES"/>
    </w:rPr>
  </w:style>
  <w:style w:type="paragraph" w:styleId="Subttulo">
    <w:name w:val="Subtitle"/>
    <w:basedOn w:val="Normal"/>
    <w:next w:val="Normal"/>
    <w:link w:val="SubttuloCar"/>
    <w:uiPriority w:val="11"/>
    <w:qFormat/>
    <w:rsid w:val="006A2528"/>
    <w:pPr>
      <w:numPr>
        <w:ilvl w:val="1"/>
      </w:numPr>
      <w:spacing w:after="160"/>
    </w:pPr>
    <w:rPr>
      <w:rFonts w:asciiTheme="minorHAnsi"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6A2528"/>
    <w:rPr>
      <w:color w:val="5A5A5A" w:themeColor="text1" w:themeTint="A5"/>
      <w:spacing w:val="15"/>
      <w:sz w:val="22"/>
      <w:szCs w:val="22"/>
      <w:lang w:val="es-ES_tradnl"/>
    </w:rPr>
  </w:style>
  <w:style w:type="paragraph" w:styleId="Ttulo">
    <w:name w:val="Title"/>
    <w:basedOn w:val="Normal"/>
    <w:next w:val="Normal"/>
    <w:link w:val="TtuloCar"/>
    <w:uiPriority w:val="10"/>
    <w:qFormat/>
    <w:rsid w:val="006A2528"/>
    <w:pPr>
      <w:spacing w:before="0" w:line="216" w:lineRule="auto"/>
      <w:contextualSpacing/>
      <w:jc w:val="left"/>
    </w:pPr>
    <w:rPr>
      <w:rFonts w:asciiTheme="majorHAnsi" w:eastAsiaTheme="majorEastAsia" w:hAnsiTheme="majorHAnsi" w:cstheme="majorBidi"/>
      <w:color w:val="404040" w:themeColor="text1" w:themeTint="BF"/>
      <w:spacing w:val="-10"/>
      <w:kern w:val="28"/>
      <w:sz w:val="56"/>
      <w:szCs w:val="56"/>
      <w:lang w:val="es-CO" w:eastAsia="es-CO"/>
    </w:rPr>
  </w:style>
  <w:style w:type="character" w:customStyle="1" w:styleId="TtuloCar">
    <w:name w:val="Título Car"/>
    <w:basedOn w:val="Fuentedeprrafopredeter"/>
    <w:link w:val="Ttulo"/>
    <w:uiPriority w:val="10"/>
    <w:rsid w:val="006A2528"/>
    <w:rPr>
      <w:rFonts w:asciiTheme="majorHAnsi" w:eastAsiaTheme="majorEastAsia" w:hAnsiTheme="majorHAnsi" w:cstheme="majorBidi"/>
      <w:color w:val="404040" w:themeColor="text1" w:themeTint="BF"/>
      <w:spacing w:val="-10"/>
      <w:kern w:val="28"/>
      <w:sz w:val="56"/>
      <w:szCs w:val="56"/>
      <w:lang w:eastAsia="es-CO"/>
    </w:rPr>
  </w:style>
  <w:style w:type="paragraph" w:styleId="Descripcin">
    <w:name w:val="caption"/>
    <w:aliases w:val="Descripción Ecuación"/>
    <w:basedOn w:val="Normal"/>
    <w:next w:val="Normal"/>
    <w:qFormat/>
    <w:rsid w:val="00986869"/>
    <w:pPr>
      <w:spacing w:before="120" w:line="240" w:lineRule="auto"/>
      <w:ind w:left="1418" w:right="1418"/>
      <w:jc w:val="center"/>
    </w:pPr>
    <w:rPr>
      <w:rFonts w:eastAsia="Times New Roman" w:cs="Arial"/>
      <w:b/>
      <w:bCs/>
      <w:sz w:val="22"/>
      <w:szCs w:val="22"/>
      <w:lang w:val="es-CO" w:eastAsia="es-ES"/>
    </w:rPr>
  </w:style>
  <w:style w:type="character" w:customStyle="1" w:styleId="DescripcindeVariableenFrmula">
    <w:name w:val="Descripción de Variable en Fórmula"/>
    <w:basedOn w:val="Fuentedeprrafopredeter"/>
    <w:rsid w:val="00586860"/>
    <w:rPr>
      <w:sz w:val="20"/>
    </w:rPr>
  </w:style>
  <w:style w:type="paragraph" w:styleId="Citadestacada">
    <w:name w:val="Intense Quote"/>
    <w:basedOn w:val="Normal"/>
    <w:next w:val="Normal"/>
    <w:link w:val="CitadestacadaCar"/>
    <w:uiPriority w:val="30"/>
    <w:rsid w:val="00206C39"/>
    <w:pPr>
      <w:pBdr>
        <w:top w:val="single" w:sz="4" w:space="10" w:color="auto"/>
        <w:bottom w:val="single" w:sz="4" w:space="10" w:color="auto"/>
      </w:pBdr>
      <w:spacing w:before="360" w:after="360" w:line="288" w:lineRule="auto"/>
      <w:ind w:left="680" w:right="680"/>
      <w:jc w:val="center"/>
    </w:pPr>
    <w:rPr>
      <w:i/>
      <w:iCs/>
      <w:color w:val="000000" w:themeColor="text1"/>
      <w:sz w:val="22"/>
    </w:rPr>
  </w:style>
  <w:style w:type="paragraph" w:customStyle="1" w:styleId="Vietascuadradas-Sinvietas">
    <w:name w:val="Viñetas cuadradas - Sin viñetas"/>
    <w:basedOn w:val="Normal"/>
    <w:rsid w:val="00FE1D87"/>
    <w:pPr>
      <w:spacing w:after="0"/>
      <w:ind w:left="737"/>
    </w:pPr>
    <w:rPr>
      <w:rFonts w:eastAsia="Times New Roman" w:cs="Times New Roman"/>
      <w:szCs w:val="20"/>
      <w:lang w:val="es-CO" w:eastAsia="es-ES"/>
    </w:rPr>
  </w:style>
  <w:style w:type="character" w:customStyle="1" w:styleId="CitadestacadaCar">
    <w:name w:val="Cita destacada Car"/>
    <w:basedOn w:val="Fuentedeprrafopredeter"/>
    <w:link w:val="Citadestacada"/>
    <w:uiPriority w:val="30"/>
    <w:rsid w:val="00206C39"/>
    <w:rPr>
      <w:rFonts w:ascii="Arial" w:hAnsi="Arial"/>
      <w:i/>
      <w:iCs/>
      <w:color w:val="000000" w:themeColor="text1"/>
      <w:sz w:val="22"/>
      <w:szCs w:val="26"/>
      <w:lang w:val="es-ES_tradnl"/>
    </w:rPr>
  </w:style>
  <w:style w:type="character" w:styleId="Textodelmarcadordeposicin">
    <w:name w:val="Placeholder Text"/>
    <w:basedOn w:val="Fuentedeprrafopredeter"/>
    <w:uiPriority w:val="99"/>
    <w:semiHidden/>
    <w:rsid w:val="004833D3"/>
    <w:rPr>
      <w:color w:val="808080"/>
    </w:rPr>
  </w:style>
  <w:style w:type="character" w:styleId="Hipervnculo">
    <w:name w:val="Hyperlink"/>
    <w:basedOn w:val="Fuentedeprrafopredeter"/>
    <w:uiPriority w:val="99"/>
    <w:unhideWhenUsed/>
    <w:rsid w:val="003D3227"/>
    <w:rPr>
      <w:color w:val="0563C1" w:themeColor="hyperlink"/>
      <w:u w:val="single"/>
    </w:rPr>
  </w:style>
  <w:style w:type="character" w:customStyle="1" w:styleId="Mencinsinresolver1">
    <w:name w:val="Mención sin resolver1"/>
    <w:basedOn w:val="Fuentedeprrafopredeter"/>
    <w:uiPriority w:val="99"/>
    <w:rsid w:val="007B2FAA"/>
    <w:rPr>
      <w:color w:val="605E5C"/>
      <w:shd w:val="clear" w:color="auto" w:fill="E1DFDD"/>
    </w:rPr>
  </w:style>
  <w:style w:type="paragraph" w:customStyle="1" w:styleId="vieta2">
    <w:name w:val="viñeta2"/>
    <w:basedOn w:val="Prrafodelista"/>
    <w:link w:val="vieta2Car"/>
    <w:qFormat/>
    <w:rsid w:val="00891B4C"/>
    <w:pPr>
      <w:numPr>
        <w:numId w:val="4"/>
      </w:numPr>
      <w:spacing w:after="0"/>
      <w:ind w:left="426"/>
      <w:contextualSpacing/>
    </w:pPr>
    <w:rPr>
      <w:rFonts w:ascii="Garamond" w:eastAsiaTheme="minorEastAsia" w:hAnsi="Garamond"/>
      <w:sz w:val="26"/>
      <w:szCs w:val="26"/>
      <w:u w:val="single"/>
      <w:lang w:val="es-ES_tradnl"/>
    </w:rPr>
  </w:style>
  <w:style w:type="character" w:customStyle="1" w:styleId="vieta2Car">
    <w:name w:val="viñeta2 Car"/>
    <w:basedOn w:val="Fuentedeprrafopredeter"/>
    <w:link w:val="vieta2"/>
    <w:rsid w:val="00891B4C"/>
    <w:rPr>
      <w:rFonts w:ascii="Garamond" w:hAnsi="Garamond"/>
      <w:sz w:val="26"/>
      <w:szCs w:val="26"/>
      <w:u w:val="single"/>
      <w:lang w:val="es-ES_tradnl"/>
    </w:rPr>
  </w:style>
  <w:style w:type="paragraph" w:customStyle="1" w:styleId="PiedeCuadro">
    <w:name w:val="Pie de Cuadro"/>
    <w:link w:val="PiedeCuadroCar"/>
    <w:qFormat/>
    <w:rsid w:val="00891B4C"/>
    <w:pPr>
      <w:spacing w:before="180" w:after="0" w:line="240" w:lineRule="auto"/>
      <w:ind w:left="1134" w:right="1134"/>
      <w:jc w:val="center"/>
    </w:pPr>
    <w:rPr>
      <w:rFonts w:ascii="Century Gothic" w:hAnsi="Century Gothic" w:cs="Arial"/>
      <w:color w:val="262626" w:themeColor="text1" w:themeTint="D9"/>
      <w:sz w:val="18"/>
      <w:szCs w:val="18"/>
    </w:rPr>
  </w:style>
  <w:style w:type="character" w:customStyle="1" w:styleId="PiedeCuadroCar">
    <w:name w:val="Pie de Cuadro Car"/>
    <w:basedOn w:val="Fuentedeprrafopredeter"/>
    <w:link w:val="PiedeCuadro"/>
    <w:rsid w:val="00891B4C"/>
    <w:rPr>
      <w:rFonts w:ascii="Century Gothic" w:hAnsi="Century Gothic" w:cs="Arial"/>
      <w:color w:val="262626" w:themeColor="text1" w:themeTint="D9"/>
      <w:sz w:val="18"/>
      <w:szCs w:val="18"/>
      <w:lang w:val="es-ES_tradnl"/>
    </w:rPr>
  </w:style>
  <w:style w:type="paragraph" w:styleId="TDC4">
    <w:name w:val="toc 4"/>
    <w:basedOn w:val="Normal"/>
    <w:next w:val="Normal"/>
    <w:autoRedefine/>
    <w:uiPriority w:val="39"/>
    <w:unhideWhenUsed/>
    <w:rsid w:val="004310C6"/>
    <w:pPr>
      <w:tabs>
        <w:tab w:val="left" w:pos="1200"/>
        <w:tab w:val="right" w:leader="dot" w:pos="9204"/>
      </w:tabs>
      <w:spacing w:after="100"/>
      <w:ind w:left="240"/>
    </w:pPr>
  </w:style>
  <w:style w:type="paragraph" w:customStyle="1" w:styleId="Vietascuadradas-Tamao12">
    <w:name w:val="Viñetas cuadradas - Tamaño 12"/>
    <w:basedOn w:val="Normal"/>
    <w:rsid w:val="00F16295"/>
    <w:pPr>
      <w:numPr>
        <w:numId w:val="8"/>
      </w:numPr>
    </w:pPr>
  </w:style>
  <w:style w:type="paragraph" w:customStyle="1" w:styleId="TtulodeFigura">
    <w:name w:val="Título de Figura"/>
    <w:basedOn w:val="Normal"/>
    <w:link w:val="TtulodeFiguraCar"/>
    <w:qFormat/>
    <w:rsid w:val="00724C06"/>
    <w:pPr>
      <w:keepNext/>
      <w:keepLines/>
      <w:spacing w:before="280" w:after="120" w:line="276" w:lineRule="auto"/>
      <w:ind w:left="1021" w:right="1021"/>
      <w:jc w:val="center"/>
      <w:outlineLvl w:val="0"/>
    </w:pPr>
    <w:rPr>
      <w:rFonts w:eastAsiaTheme="majorEastAsia" w:cstheme="majorBidi"/>
      <w:b/>
      <w:bCs/>
      <w:sz w:val="22"/>
      <w:szCs w:val="20"/>
      <w:lang w:val="es-CO"/>
    </w:rPr>
  </w:style>
  <w:style w:type="character" w:customStyle="1" w:styleId="TtulodeFiguraCar">
    <w:name w:val="Título de Figura Car"/>
    <w:basedOn w:val="Fuentedeprrafopredeter"/>
    <w:link w:val="TtulodeFigura"/>
    <w:rsid w:val="00724C06"/>
    <w:rPr>
      <w:rFonts w:ascii="Arial" w:eastAsiaTheme="majorEastAsia" w:hAnsi="Arial" w:cstheme="majorBidi"/>
      <w:b/>
      <w:bCs/>
      <w:sz w:val="22"/>
    </w:rPr>
  </w:style>
  <w:style w:type="paragraph" w:customStyle="1" w:styleId="Vietasconespaciadosencillo">
    <w:name w:val="Viñetas con espaciado sencillo"/>
    <w:basedOn w:val="Normal"/>
    <w:rsid w:val="00AE0065"/>
    <w:pPr>
      <w:numPr>
        <w:numId w:val="6"/>
      </w:numPr>
      <w:spacing w:after="120" w:line="264" w:lineRule="auto"/>
      <w:ind w:left="924" w:hanging="357"/>
      <w:contextualSpacing/>
    </w:pPr>
    <w:rPr>
      <w:rFonts w:eastAsia="Times New Roman" w:cs="Times New Roman"/>
      <w:sz w:val="22"/>
      <w:szCs w:val="24"/>
      <w:lang w:val="es-CO" w:eastAsia="es-ES"/>
    </w:rPr>
  </w:style>
  <w:style w:type="paragraph" w:customStyle="1" w:styleId="TITcuadro">
    <w:name w:val="TIT cuadro"/>
    <w:basedOn w:val="Normal"/>
    <w:link w:val="TITcuadroCar"/>
    <w:qFormat/>
    <w:rsid w:val="001C1AE0"/>
    <w:pPr>
      <w:keepNext/>
      <w:keepLines/>
      <w:spacing w:before="360" w:after="120" w:line="240" w:lineRule="auto"/>
      <w:ind w:left="851" w:right="851"/>
      <w:jc w:val="center"/>
    </w:pPr>
    <w:rPr>
      <w:rFonts w:eastAsia="Calibri" w:cs="Arial"/>
      <w:b/>
      <w:sz w:val="20"/>
      <w:szCs w:val="18"/>
      <w:lang w:val="es-CO"/>
    </w:rPr>
  </w:style>
  <w:style w:type="character" w:customStyle="1" w:styleId="TITcuadroCar">
    <w:name w:val="TIT cuadro Car"/>
    <w:link w:val="TITcuadro"/>
    <w:rsid w:val="001C1AE0"/>
    <w:rPr>
      <w:rFonts w:ascii="Arial" w:eastAsia="Calibri" w:hAnsi="Arial" w:cs="Arial"/>
      <w:b/>
      <w:szCs w:val="18"/>
    </w:rPr>
  </w:style>
  <w:style w:type="character" w:styleId="nfasis">
    <w:name w:val="Emphasis"/>
    <w:basedOn w:val="Fuentedeprrafopredeter"/>
    <w:uiPriority w:val="20"/>
    <w:rsid w:val="00A74564"/>
    <w:rPr>
      <w:i/>
      <w:iCs/>
    </w:rPr>
  </w:style>
  <w:style w:type="character" w:styleId="nfasisintenso">
    <w:name w:val="Intense Emphasis"/>
    <w:basedOn w:val="Fuentedeprrafopredeter"/>
    <w:uiPriority w:val="21"/>
    <w:rsid w:val="00A74564"/>
    <w:rPr>
      <w:i/>
      <w:iCs/>
      <w:color w:val="5B9BD5" w:themeColor="accent1"/>
    </w:rPr>
  </w:style>
  <w:style w:type="character" w:customStyle="1" w:styleId="Mencinsinresolver2">
    <w:name w:val="Mención sin resolver2"/>
    <w:basedOn w:val="Fuentedeprrafopredeter"/>
    <w:uiPriority w:val="99"/>
    <w:semiHidden/>
    <w:unhideWhenUsed/>
    <w:rsid w:val="0019387D"/>
    <w:rPr>
      <w:color w:val="605E5C"/>
      <w:shd w:val="clear" w:color="auto" w:fill="E1DFDD"/>
    </w:rPr>
  </w:style>
  <w:style w:type="paragraph" w:customStyle="1" w:styleId="Vietascuadradas-Tamao12pto">
    <w:name w:val="Viñetas cuadradas - Tamaño + 12 pto"/>
    <w:basedOn w:val="Normal"/>
    <w:rsid w:val="00D92B90"/>
    <w:pPr>
      <w:numPr>
        <w:numId w:val="9"/>
      </w:numPr>
    </w:pPr>
    <w:rPr>
      <w:rFonts w:eastAsia="Times New Roman" w:cs="Arial"/>
      <w:szCs w:val="24"/>
      <w:lang w:val="es-CO" w:eastAsia="es-ES"/>
    </w:rPr>
  </w:style>
  <w:style w:type="paragraph" w:styleId="Tabladeilustraciones">
    <w:name w:val="table of figures"/>
    <w:basedOn w:val="Normal"/>
    <w:next w:val="Normal"/>
    <w:uiPriority w:val="99"/>
    <w:unhideWhenUsed/>
    <w:rsid w:val="00C2745F"/>
    <w:pPr>
      <w:spacing w:after="0"/>
    </w:pPr>
  </w:style>
  <w:style w:type="character" w:customStyle="1" w:styleId="Mencinsinresolver21">
    <w:name w:val="Mención sin resolver21"/>
    <w:basedOn w:val="Fuentedeprrafopredeter"/>
    <w:uiPriority w:val="99"/>
    <w:semiHidden/>
    <w:unhideWhenUsed/>
    <w:rsid w:val="001135FD"/>
    <w:rPr>
      <w:color w:val="605E5C"/>
      <w:shd w:val="clear" w:color="auto" w:fill="E1DFDD"/>
    </w:rPr>
  </w:style>
  <w:style w:type="paragraph" w:customStyle="1" w:styleId="Vietascuadradas-Tamao1111pto">
    <w:name w:val="Viñetas cuadradas - Tamaño 11 + 11 pto"/>
    <w:basedOn w:val="Normal"/>
    <w:rsid w:val="002E073B"/>
    <w:pPr>
      <w:numPr>
        <w:numId w:val="5"/>
      </w:numPr>
      <w:spacing w:after="120"/>
      <w:contextualSpacing/>
    </w:pPr>
    <w:rPr>
      <w:rFonts w:eastAsia="Times New Roman" w:cs="Arial"/>
      <w:sz w:val="22"/>
      <w:szCs w:val="24"/>
      <w:lang w:val="es-CO" w:eastAsia="es-ES"/>
    </w:rPr>
  </w:style>
  <w:style w:type="paragraph" w:styleId="NormalWeb">
    <w:name w:val="Normal (Web)"/>
    <w:basedOn w:val="Normal"/>
    <w:uiPriority w:val="99"/>
    <w:semiHidden/>
    <w:unhideWhenUsed/>
    <w:rsid w:val="00C44BB7"/>
    <w:pPr>
      <w:spacing w:before="100" w:beforeAutospacing="1" w:after="100" w:afterAutospacing="1" w:line="240" w:lineRule="auto"/>
      <w:jc w:val="left"/>
    </w:pPr>
    <w:rPr>
      <w:rFonts w:ascii="Times New Roman" w:hAnsi="Times New Roman" w:cs="Times New Roman"/>
      <w:szCs w:val="24"/>
      <w:lang w:val="es-CO" w:eastAsia="es-CO"/>
    </w:rPr>
  </w:style>
  <w:style w:type="character" w:styleId="Refdecomentario">
    <w:name w:val="annotation reference"/>
    <w:basedOn w:val="Fuentedeprrafopredeter"/>
    <w:uiPriority w:val="99"/>
    <w:semiHidden/>
    <w:unhideWhenUsed/>
    <w:rsid w:val="00B316D8"/>
    <w:rPr>
      <w:sz w:val="16"/>
      <w:szCs w:val="16"/>
    </w:rPr>
  </w:style>
  <w:style w:type="paragraph" w:styleId="Textocomentario">
    <w:name w:val="annotation text"/>
    <w:basedOn w:val="Normal"/>
    <w:link w:val="TextocomentarioCar"/>
    <w:uiPriority w:val="99"/>
    <w:unhideWhenUsed/>
    <w:rsid w:val="00B316D8"/>
    <w:pPr>
      <w:spacing w:line="240" w:lineRule="auto"/>
    </w:pPr>
    <w:rPr>
      <w:sz w:val="20"/>
      <w:szCs w:val="20"/>
    </w:rPr>
  </w:style>
  <w:style w:type="character" w:customStyle="1" w:styleId="TextocomentarioCar">
    <w:name w:val="Texto comentario Car"/>
    <w:basedOn w:val="Fuentedeprrafopredeter"/>
    <w:link w:val="Textocomentario"/>
    <w:uiPriority w:val="99"/>
    <w:rsid w:val="00B316D8"/>
    <w:rPr>
      <w:rFonts w:ascii="Arial" w:hAnsi="Arial"/>
      <w:lang w:val="es-ES_tradnl"/>
    </w:rPr>
  </w:style>
  <w:style w:type="table" w:styleId="Tablaconcuadrcula1clara-nfasis5">
    <w:name w:val="Grid Table 1 Light Accent 5"/>
    <w:basedOn w:val="Tablanormal"/>
    <w:uiPriority w:val="46"/>
    <w:rsid w:val="00292B3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292B3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1">
    <w:name w:val="Plain Table 1"/>
    <w:basedOn w:val="Tablanormal"/>
    <w:uiPriority w:val="41"/>
    <w:rsid w:val="009572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572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1clara-nfasis1">
    <w:name w:val="List Table 1 Light Accent 1"/>
    <w:basedOn w:val="Tablanormal"/>
    <w:uiPriority w:val="46"/>
    <w:rsid w:val="009572D4"/>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1">
    <w:name w:val="List Table 2 Accent 1"/>
    <w:basedOn w:val="Tablanormal"/>
    <w:uiPriority w:val="47"/>
    <w:rsid w:val="0054524E"/>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nfasis3">
    <w:name w:val="List Table 6 Colorful Accent 3"/>
    <w:basedOn w:val="Tablanormal"/>
    <w:uiPriority w:val="51"/>
    <w:rsid w:val="00D35B55"/>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1">
    <w:name w:val="List Table 6 Colorful Accent 1"/>
    <w:basedOn w:val="Tablanormal"/>
    <w:uiPriority w:val="51"/>
    <w:rsid w:val="00D35B55"/>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7Car">
    <w:name w:val="Título 7 Car"/>
    <w:basedOn w:val="Fuentedeprrafopredeter"/>
    <w:link w:val="Ttulo7"/>
    <w:uiPriority w:val="9"/>
    <w:semiHidden/>
    <w:rsid w:val="00694E21"/>
    <w:rPr>
      <w:rFonts w:asciiTheme="majorHAnsi" w:eastAsiaTheme="majorEastAsia" w:hAnsiTheme="majorHAnsi" w:cstheme="majorBidi"/>
      <w:i/>
      <w:iCs/>
      <w:color w:val="1F4D78" w:themeColor="accent1" w:themeShade="7F"/>
      <w:sz w:val="24"/>
      <w:szCs w:val="26"/>
      <w:lang w:val="es-ES_tradnl"/>
    </w:rPr>
  </w:style>
  <w:style w:type="character" w:customStyle="1" w:styleId="Ttulo8Car">
    <w:name w:val="Título 8 Car"/>
    <w:basedOn w:val="Fuentedeprrafopredeter"/>
    <w:link w:val="Ttulo8"/>
    <w:uiPriority w:val="9"/>
    <w:semiHidden/>
    <w:rsid w:val="00694E21"/>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uiPriority w:val="9"/>
    <w:semiHidden/>
    <w:rsid w:val="00694E21"/>
    <w:rPr>
      <w:rFonts w:asciiTheme="majorHAnsi" w:eastAsiaTheme="majorEastAsia" w:hAnsiTheme="majorHAnsi" w:cstheme="majorBidi"/>
      <w:i/>
      <w:iCs/>
      <w:color w:val="272727" w:themeColor="text1" w:themeTint="D8"/>
      <w:sz w:val="21"/>
      <w:szCs w:val="21"/>
      <w:lang w:val="es-ES_tradnl"/>
    </w:rPr>
  </w:style>
  <w:style w:type="paragraph" w:styleId="Cierre">
    <w:name w:val="Closing"/>
    <w:basedOn w:val="Normal"/>
    <w:link w:val="CierreCar"/>
    <w:uiPriority w:val="99"/>
    <w:semiHidden/>
    <w:unhideWhenUsed/>
    <w:rsid w:val="00770108"/>
    <w:pPr>
      <w:spacing w:before="0" w:after="0" w:line="240" w:lineRule="auto"/>
      <w:ind w:left="4252"/>
    </w:pPr>
  </w:style>
  <w:style w:type="character" w:customStyle="1" w:styleId="CierreCar">
    <w:name w:val="Cierre Car"/>
    <w:basedOn w:val="Fuentedeprrafopredeter"/>
    <w:link w:val="Cierre"/>
    <w:uiPriority w:val="99"/>
    <w:semiHidden/>
    <w:rsid w:val="00770108"/>
    <w:rPr>
      <w:rFonts w:ascii="Arial" w:hAnsi="Arial"/>
      <w:sz w:val="24"/>
      <w:szCs w:val="26"/>
      <w:lang w:val="es-ES_tradnl"/>
    </w:rPr>
  </w:style>
  <w:style w:type="paragraph" w:styleId="Cita">
    <w:name w:val="Quote"/>
    <w:basedOn w:val="Normal"/>
    <w:next w:val="Normal"/>
    <w:link w:val="CitaCar"/>
    <w:uiPriority w:val="29"/>
    <w:rsid w:val="0077010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70108"/>
    <w:rPr>
      <w:rFonts w:ascii="Arial" w:hAnsi="Arial"/>
      <w:i/>
      <w:iCs/>
      <w:color w:val="404040" w:themeColor="text1" w:themeTint="BF"/>
      <w:sz w:val="24"/>
      <w:szCs w:val="26"/>
      <w:lang w:val="es-ES_tradnl"/>
    </w:rPr>
  </w:style>
  <w:style w:type="paragraph" w:styleId="Continuarlista">
    <w:name w:val="List Continue"/>
    <w:basedOn w:val="Normal"/>
    <w:uiPriority w:val="99"/>
    <w:semiHidden/>
    <w:unhideWhenUsed/>
    <w:rsid w:val="00770108"/>
    <w:pPr>
      <w:spacing w:after="120"/>
      <w:ind w:left="283"/>
      <w:contextualSpacing/>
    </w:pPr>
  </w:style>
  <w:style w:type="paragraph" w:styleId="Continuarlista2">
    <w:name w:val="List Continue 2"/>
    <w:basedOn w:val="Normal"/>
    <w:uiPriority w:val="99"/>
    <w:semiHidden/>
    <w:unhideWhenUsed/>
    <w:rsid w:val="00770108"/>
    <w:pPr>
      <w:spacing w:after="120"/>
      <w:ind w:left="566"/>
      <w:contextualSpacing/>
    </w:pPr>
  </w:style>
  <w:style w:type="paragraph" w:styleId="Continuarlista3">
    <w:name w:val="List Continue 3"/>
    <w:basedOn w:val="Normal"/>
    <w:uiPriority w:val="99"/>
    <w:semiHidden/>
    <w:unhideWhenUsed/>
    <w:rsid w:val="00770108"/>
    <w:pPr>
      <w:spacing w:after="120"/>
      <w:ind w:left="849"/>
      <w:contextualSpacing/>
    </w:pPr>
  </w:style>
  <w:style w:type="paragraph" w:styleId="Continuarlista4">
    <w:name w:val="List Continue 4"/>
    <w:basedOn w:val="Normal"/>
    <w:uiPriority w:val="99"/>
    <w:semiHidden/>
    <w:unhideWhenUsed/>
    <w:rsid w:val="00770108"/>
    <w:pPr>
      <w:spacing w:after="120"/>
      <w:ind w:left="1132"/>
      <w:contextualSpacing/>
    </w:pPr>
  </w:style>
  <w:style w:type="paragraph" w:styleId="Continuarlista5">
    <w:name w:val="List Continue 5"/>
    <w:basedOn w:val="Normal"/>
    <w:uiPriority w:val="99"/>
    <w:semiHidden/>
    <w:unhideWhenUsed/>
    <w:rsid w:val="00770108"/>
    <w:pPr>
      <w:spacing w:after="120"/>
      <w:ind w:left="1415"/>
      <w:contextualSpacing/>
    </w:pPr>
  </w:style>
  <w:style w:type="paragraph" w:styleId="DireccinHTML">
    <w:name w:val="HTML Address"/>
    <w:basedOn w:val="Normal"/>
    <w:link w:val="DireccinHTMLCar"/>
    <w:uiPriority w:val="99"/>
    <w:semiHidden/>
    <w:unhideWhenUsed/>
    <w:rsid w:val="00770108"/>
    <w:pPr>
      <w:spacing w:before="0" w:after="0" w:line="240" w:lineRule="auto"/>
    </w:pPr>
    <w:rPr>
      <w:i/>
      <w:iCs/>
    </w:rPr>
  </w:style>
  <w:style w:type="character" w:customStyle="1" w:styleId="DireccinHTMLCar">
    <w:name w:val="Dirección HTML Car"/>
    <w:basedOn w:val="Fuentedeprrafopredeter"/>
    <w:link w:val="DireccinHTML"/>
    <w:uiPriority w:val="99"/>
    <w:semiHidden/>
    <w:rsid w:val="00770108"/>
    <w:rPr>
      <w:rFonts w:ascii="Arial" w:hAnsi="Arial"/>
      <w:i/>
      <w:iCs/>
      <w:sz w:val="24"/>
      <w:szCs w:val="26"/>
      <w:lang w:val="es-ES_tradnl"/>
    </w:rPr>
  </w:style>
  <w:style w:type="paragraph" w:styleId="Direccinsobre">
    <w:name w:val="envelope address"/>
    <w:basedOn w:val="Normal"/>
    <w:uiPriority w:val="99"/>
    <w:semiHidden/>
    <w:unhideWhenUsed/>
    <w:rsid w:val="00770108"/>
    <w:pPr>
      <w:framePr w:w="7920" w:h="1980" w:hRule="exact" w:hSpace="141"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cabezadodelista">
    <w:name w:val="toa heading"/>
    <w:basedOn w:val="Normal"/>
    <w:next w:val="Normal"/>
    <w:uiPriority w:val="99"/>
    <w:semiHidden/>
    <w:unhideWhenUsed/>
    <w:rsid w:val="00770108"/>
    <w:pPr>
      <w:spacing w:before="120"/>
    </w:pPr>
    <w:rPr>
      <w:rFonts w:asciiTheme="majorHAnsi" w:eastAsiaTheme="majorEastAsia" w:hAnsiTheme="majorHAnsi" w:cstheme="majorBidi"/>
      <w:b/>
      <w:bCs/>
      <w:szCs w:val="24"/>
    </w:rPr>
  </w:style>
  <w:style w:type="paragraph" w:styleId="Encabezadodemensaje">
    <w:name w:val="Message Header"/>
    <w:basedOn w:val="Normal"/>
    <w:link w:val="EncabezadodemensajeCar"/>
    <w:uiPriority w:val="99"/>
    <w:semiHidden/>
    <w:unhideWhenUsed/>
    <w:rsid w:val="0077010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uiPriority w:val="99"/>
    <w:semiHidden/>
    <w:rsid w:val="00770108"/>
    <w:rPr>
      <w:rFonts w:asciiTheme="majorHAnsi" w:eastAsiaTheme="majorEastAsia" w:hAnsiTheme="majorHAnsi" w:cstheme="majorBidi"/>
      <w:sz w:val="24"/>
      <w:szCs w:val="24"/>
      <w:shd w:val="pct20" w:color="auto" w:fill="auto"/>
      <w:lang w:val="es-ES_tradnl"/>
    </w:rPr>
  </w:style>
  <w:style w:type="paragraph" w:styleId="Encabezadodenota">
    <w:name w:val="Note Heading"/>
    <w:basedOn w:val="Normal"/>
    <w:next w:val="Normal"/>
    <w:link w:val="EncabezadodenotaCar"/>
    <w:uiPriority w:val="99"/>
    <w:semiHidden/>
    <w:unhideWhenUsed/>
    <w:rsid w:val="00770108"/>
    <w:pPr>
      <w:spacing w:before="0" w:after="0" w:line="240" w:lineRule="auto"/>
    </w:pPr>
  </w:style>
  <w:style w:type="character" w:customStyle="1" w:styleId="EncabezadodenotaCar">
    <w:name w:val="Encabezado de nota Car"/>
    <w:basedOn w:val="Fuentedeprrafopredeter"/>
    <w:link w:val="Encabezadodenota"/>
    <w:uiPriority w:val="99"/>
    <w:semiHidden/>
    <w:rsid w:val="00770108"/>
    <w:rPr>
      <w:rFonts w:ascii="Arial" w:hAnsi="Arial"/>
      <w:sz w:val="24"/>
      <w:szCs w:val="26"/>
      <w:lang w:val="es-ES_tradnl"/>
    </w:rPr>
  </w:style>
  <w:style w:type="paragraph" w:styleId="Fecha">
    <w:name w:val="Date"/>
    <w:basedOn w:val="Normal"/>
    <w:next w:val="Normal"/>
    <w:link w:val="FechaCar"/>
    <w:uiPriority w:val="99"/>
    <w:semiHidden/>
    <w:unhideWhenUsed/>
    <w:rsid w:val="00770108"/>
  </w:style>
  <w:style w:type="character" w:customStyle="1" w:styleId="FechaCar">
    <w:name w:val="Fecha Car"/>
    <w:basedOn w:val="Fuentedeprrafopredeter"/>
    <w:link w:val="Fecha"/>
    <w:uiPriority w:val="99"/>
    <w:semiHidden/>
    <w:rsid w:val="00770108"/>
    <w:rPr>
      <w:rFonts w:ascii="Arial" w:hAnsi="Arial"/>
      <w:sz w:val="24"/>
      <w:szCs w:val="26"/>
      <w:lang w:val="es-ES_tradnl"/>
    </w:rPr>
  </w:style>
  <w:style w:type="paragraph" w:styleId="Firma">
    <w:name w:val="Signature"/>
    <w:basedOn w:val="Normal"/>
    <w:link w:val="FirmaCar"/>
    <w:uiPriority w:val="99"/>
    <w:semiHidden/>
    <w:unhideWhenUsed/>
    <w:rsid w:val="00770108"/>
    <w:pPr>
      <w:spacing w:before="0" w:after="0" w:line="240" w:lineRule="auto"/>
      <w:ind w:left="4252"/>
    </w:pPr>
  </w:style>
  <w:style w:type="character" w:customStyle="1" w:styleId="FirmaCar">
    <w:name w:val="Firma Car"/>
    <w:basedOn w:val="Fuentedeprrafopredeter"/>
    <w:link w:val="Firma"/>
    <w:uiPriority w:val="99"/>
    <w:semiHidden/>
    <w:rsid w:val="00770108"/>
    <w:rPr>
      <w:rFonts w:ascii="Arial" w:hAnsi="Arial"/>
      <w:sz w:val="24"/>
      <w:szCs w:val="26"/>
      <w:lang w:val="es-ES_tradnl"/>
    </w:rPr>
  </w:style>
  <w:style w:type="paragraph" w:styleId="Firmadecorreoelectrnico">
    <w:name w:val="E-mail Signature"/>
    <w:basedOn w:val="Normal"/>
    <w:link w:val="FirmadecorreoelectrnicoCar"/>
    <w:uiPriority w:val="99"/>
    <w:semiHidden/>
    <w:unhideWhenUsed/>
    <w:rsid w:val="00770108"/>
    <w:pPr>
      <w:spacing w:before="0" w:after="0" w:line="240" w:lineRule="auto"/>
    </w:pPr>
  </w:style>
  <w:style w:type="character" w:customStyle="1" w:styleId="FirmadecorreoelectrnicoCar">
    <w:name w:val="Firma de correo electrónico Car"/>
    <w:basedOn w:val="Fuentedeprrafopredeter"/>
    <w:link w:val="Firmadecorreoelectrnico"/>
    <w:uiPriority w:val="99"/>
    <w:semiHidden/>
    <w:rsid w:val="00770108"/>
    <w:rPr>
      <w:rFonts w:ascii="Arial" w:hAnsi="Arial"/>
      <w:sz w:val="24"/>
      <w:szCs w:val="26"/>
      <w:lang w:val="es-ES_tradnl"/>
    </w:rPr>
  </w:style>
  <w:style w:type="paragraph" w:styleId="HTMLconformatoprevio">
    <w:name w:val="HTML Preformatted"/>
    <w:basedOn w:val="Normal"/>
    <w:link w:val="HTMLconformatoprevioCar"/>
    <w:uiPriority w:val="99"/>
    <w:semiHidden/>
    <w:unhideWhenUsed/>
    <w:rsid w:val="00770108"/>
    <w:pPr>
      <w:spacing w:before="0"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70108"/>
    <w:rPr>
      <w:rFonts w:ascii="Consolas" w:hAnsi="Consolas"/>
      <w:lang w:val="es-ES_tradnl"/>
    </w:rPr>
  </w:style>
  <w:style w:type="paragraph" w:styleId="ndice1">
    <w:name w:val="index 1"/>
    <w:basedOn w:val="Normal"/>
    <w:next w:val="Normal"/>
    <w:autoRedefine/>
    <w:uiPriority w:val="99"/>
    <w:semiHidden/>
    <w:unhideWhenUsed/>
    <w:rsid w:val="00770108"/>
    <w:pPr>
      <w:spacing w:before="0" w:after="0" w:line="240" w:lineRule="auto"/>
      <w:ind w:left="240" w:hanging="240"/>
    </w:pPr>
  </w:style>
  <w:style w:type="paragraph" w:styleId="ndice2">
    <w:name w:val="index 2"/>
    <w:basedOn w:val="Normal"/>
    <w:next w:val="Normal"/>
    <w:autoRedefine/>
    <w:uiPriority w:val="99"/>
    <w:semiHidden/>
    <w:unhideWhenUsed/>
    <w:rsid w:val="00770108"/>
    <w:pPr>
      <w:spacing w:before="0" w:after="0" w:line="240" w:lineRule="auto"/>
      <w:ind w:left="480" w:hanging="240"/>
    </w:pPr>
  </w:style>
  <w:style w:type="paragraph" w:styleId="ndice3">
    <w:name w:val="index 3"/>
    <w:basedOn w:val="Normal"/>
    <w:next w:val="Normal"/>
    <w:autoRedefine/>
    <w:uiPriority w:val="99"/>
    <w:semiHidden/>
    <w:unhideWhenUsed/>
    <w:rsid w:val="00770108"/>
    <w:pPr>
      <w:spacing w:before="0" w:after="0" w:line="240" w:lineRule="auto"/>
      <w:ind w:left="720" w:hanging="240"/>
    </w:pPr>
  </w:style>
  <w:style w:type="paragraph" w:styleId="ndice4">
    <w:name w:val="index 4"/>
    <w:basedOn w:val="Normal"/>
    <w:next w:val="Normal"/>
    <w:autoRedefine/>
    <w:uiPriority w:val="99"/>
    <w:semiHidden/>
    <w:unhideWhenUsed/>
    <w:rsid w:val="00770108"/>
    <w:pPr>
      <w:spacing w:before="0" w:after="0" w:line="240" w:lineRule="auto"/>
      <w:ind w:left="960" w:hanging="240"/>
    </w:pPr>
  </w:style>
  <w:style w:type="paragraph" w:styleId="ndice5">
    <w:name w:val="index 5"/>
    <w:basedOn w:val="Normal"/>
    <w:next w:val="Normal"/>
    <w:autoRedefine/>
    <w:uiPriority w:val="99"/>
    <w:semiHidden/>
    <w:unhideWhenUsed/>
    <w:rsid w:val="00770108"/>
    <w:pPr>
      <w:spacing w:before="0" w:after="0" w:line="240" w:lineRule="auto"/>
      <w:ind w:left="1200" w:hanging="240"/>
    </w:pPr>
  </w:style>
  <w:style w:type="paragraph" w:styleId="ndice6">
    <w:name w:val="index 6"/>
    <w:basedOn w:val="Normal"/>
    <w:next w:val="Normal"/>
    <w:autoRedefine/>
    <w:uiPriority w:val="99"/>
    <w:semiHidden/>
    <w:unhideWhenUsed/>
    <w:rsid w:val="00770108"/>
    <w:pPr>
      <w:spacing w:before="0" w:after="0" w:line="240" w:lineRule="auto"/>
      <w:ind w:left="1440" w:hanging="240"/>
    </w:pPr>
  </w:style>
  <w:style w:type="paragraph" w:styleId="ndice7">
    <w:name w:val="index 7"/>
    <w:basedOn w:val="Normal"/>
    <w:next w:val="Normal"/>
    <w:autoRedefine/>
    <w:uiPriority w:val="99"/>
    <w:semiHidden/>
    <w:unhideWhenUsed/>
    <w:rsid w:val="00770108"/>
    <w:pPr>
      <w:spacing w:before="0" w:after="0" w:line="240" w:lineRule="auto"/>
      <w:ind w:left="1680" w:hanging="240"/>
    </w:pPr>
  </w:style>
  <w:style w:type="paragraph" w:styleId="ndice8">
    <w:name w:val="index 8"/>
    <w:basedOn w:val="Normal"/>
    <w:next w:val="Normal"/>
    <w:autoRedefine/>
    <w:uiPriority w:val="99"/>
    <w:semiHidden/>
    <w:unhideWhenUsed/>
    <w:rsid w:val="00770108"/>
    <w:pPr>
      <w:spacing w:before="0" w:after="0" w:line="240" w:lineRule="auto"/>
      <w:ind w:left="1920" w:hanging="240"/>
    </w:pPr>
  </w:style>
  <w:style w:type="paragraph" w:styleId="ndice9">
    <w:name w:val="index 9"/>
    <w:basedOn w:val="Normal"/>
    <w:next w:val="Normal"/>
    <w:autoRedefine/>
    <w:uiPriority w:val="99"/>
    <w:semiHidden/>
    <w:unhideWhenUsed/>
    <w:rsid w:val="00770108"/>
    <w:pPr>
      <w:spacing w:before="0" w:after="0" w:line="240" w:lineRule="auto"/>
      <w:ind w:left="2160" w:hanging="240"/>
    </w:pPr>
  </w:style>
  <w:style w:type="paragraph" w:styleId="Lista">
    <w:name w:val="List"/>
    <w:basedOn w:val="Normal"/>
    <w:uiPriority w:val="99"/>
    <w:semiHidden/>
    <w:unhideWhenUsed/>
    <w:rsid w:val="00770108"/>
    <w:pPr>
      <w:ind w:left="283" w:hanging="283"/>
      <w:contextualSpacing/>
    </w:pPr>
  </w:style>
  <w:style w:type="paragraph" w:styleId="Lista2">
    <w:name w:val="List 2"/>
    <w:basedOn w:val="Normal"/>
    <w:uiPriority w:val="99"/>
    <w:semiHidden/>
    <w:unhideWhenUsed/>
    <w:rsid w:val="00770108"/>
    <w:pPr>
      <w:ind w:left="566" w:hanging="283"/>
      <w:contextualSpacing/>
    </w:pPr>
  </w:style>
  <w:style w:type="paragraph" w:styleId="Lista3">
    <w:name w:val="List 3"/>
    <w:basedOn w:val="Normal"/>
    <w:uiPriority w:val="99"/>
    <w:semiHidden/>
    <w:unhideWhenUsed/>
    <w:rsid w:val="00770108"/>
    <w:pPr>
      <w:ind w:left="849" w:hanging="283"/>
      <w:contextualSpacing/>
    </w:pPr>
  </w:style>
  <w:style w:type="paragraph" w:styleId="Lista4">
    <w:name w:val="List 4"/>
    <w:basedOn w:val="Normal"/>
    <w:uiPriority w:val="99"/>
    <w:semiHidden/>
    <w:unhideWhenUsed/>
    <w:rsid w:val="00770108"/>
    <w:pPr>
      <w:ind w:left="1132" w:hanging="283"/>
      <w:contextualSpacing/>
    </w:pPr>
  </w:style>
  <w:style w:type="paragraph" w:styleId="Lista5">
    <w:name w:val="List 5"/>
    <w:basedOn w:val="Normal"/>
    <w:uiPriority w:val="99"/>
    <w:semiHidden/>
    <w:unhideWhenUsed/>
    <w:rsid w:val="00770108"/>
    <w:pPr>
      <w:ind w:left="1415" w:hanging="283"/>
      <w:contextualSpacing/>
    </w:pPr>
  </w:style>
  <w:style w:type="paragraph" w:styleId="Listaconnmeros">
    <w:name w:val="List Number"/>
    <w:basedOn w:val="Normal"/>
    <w:uiPriority w:val="99"/>
    <w:semiHidden/>
    <w:unhideWhenUsed/>
    <w:rsid w:val="00770108"/>
    <w:pPr>
      <w:numPr>
        <w:numId w:val="10"/>
      </w:numPr>
      <w:contextualSpacing/>
    </w:pPr>
  </w:style>
  <w:style w:type="paragraph" w:styleId="Listaconnmeros2">
    <w:name w:val="List Number 2"/>
    <w:basedOn w:val="Normal"/>
    <w:uiPriority w:val="99"/>
    <w:semiHidden/>
    <w:unhideWhenUsed/>
    <w:rsid w:val="00770108"/>
    <w:pPr>
      <w:numPr>
        <w:numId w:val="11"/>
      </w:numPr>
      <w:contextualSpacing/>
    </w:pPr>
  </w:style>
  <w:style w:type="paragraph" w:styleId="Listaconnmeros3">
    <w:name w:val="List Number 3"/>
    <w:basedOn w:val="Normal"/>
    <w:uiPriority w:val="99"/>
    <w:semiHidden/>
    <w:unhideWhenUsed/>
    <w:rsid w:val="00770108"/>
    <w:pPr>
      <w:numPr>
        <w:numId w:val="12"/>
      </w:numPr>
      <w:contextualSpacing/>
    </w:pPr>
  </w:style>
  <w:style w:type="paragraph" w:styleId="Listaconnmeros4">
    <w:name w:val="List Number 4"/>
    <w:basedOn w:val="Normal"/>
    <w:uiPriority w:val="99"/>
    <w:semiHidden/>
    <w:unhideWhenUsed/>
    <w:rsid w:val="00770108"/>
    <w:pPr>
      <w:numPr>
        <w:numId w:val="13"/>
      </w:numPr>
      <w:contextualSpacing/>
    </w:pPr>
  </w:style>
  <w:style w:type="paragraph" w:styleId="Listaconnmeros5">
    <w:name w:val="List Number 5"/>
    <w:basedOn w:val="Normal"/>
    <w:uiPriority w:val="99"/>
    <w:semiHidden/>
    <w:unhideWhenUsed/>
    <w:rsid w:val="00770108"/>
    <w:pPr>
      <w:numPr>
        <w:numId w:val="14"/>
      </w:numPr>
      <w:contextualSpacing/>
    </w:pPr>
  </w:style>
  <w:style w:type="paragraph" w:styleId="Listaconvietas">
    <w:name w:val="List Bullet"/>
    <w:basedOn w:val="Normal"/>
    <w:semiHidden/>
    <w:unhideWhenUsed/>
    <w:rsid w:val="00770108"/>
    <w:pPr>
      <w:numPr>
        <w:numId w:val="15"/>
      </w:numPr>
      <w:contextualSpacing/>
    </w:pPr>
  </w:style>
  <w:style w:type="paragraph" w:styleId="Listaconvietas2">
    <w:name w:val="List Bullet 2"/>
    <w:basedOn w:val="Normal"/>
    <w:uiPriority w:val="99"/>
    <w:semiHidden/>
    <w:unhideWhenUsed/>
    <w:rsid w:val="00770108"/>
    <w:pPr>
      <w:numPr>
        <w:numId w:val="16"/>
      </w:numPr>
      <w:contextualSpacing/>
    </w:pPr>
  </w:style>
  <w:style w:type="paragraph" w:styleId="Listaconvietas3">
    <w:name w:val="List Bullet 3"/>
    <w:basedOn w:val="Normal"/>
    <w:uiPriority w:val="99"/>
    <w:semiHidden/>
    <w:unhideWhenUsed/>
    <w:rsid w:val="00770108"/>
    <w:pPr>
      <w:numPr>
        <w:numId w:val="17"/>
      </w:numPr>
      <w:contextualSpacing/>
    </w:pPr>
  </w:style>
  <w:style w:type="paragraph" w:styleId="Listaconvietas4">
    <w:name w:val="List Bullet 4"/>
    <w:basedOn w:val="Normal"/>
    <w:uiPriority w:val="99"/>
    <w:semiHidden/>
    <w:unhideWhenUsed/>
    <w:rsid w:val="00770108"/>
    <w:pPr>
      <w:numPr>
        <w:numId w:val="18"/>
      </w:numPr>
      <w:contextualSpacing/>
    </w:pPr>
  </w:style>
  <w:style w:type="paragraph" w:styleId="Listaconvietas5">
    <w:name w:val="List Bullet 5"/>
    <w:basedOn w:val="Normal"/>
    <w:uiPriority w:val="99"/>
    <w:semiHidden/>
    <w:unhideWhenUsed/>
    <w:rsid w:val="00770108"/>
    <w:pPr>
      <w:numPr>
        <w:numId w:val="19"/>
      </w:numPr>
      <w:contextualSpacing/>
    </w:pPr>
  </w:style>
  <w:style w:type="paragraph" w:styleId="Remitedesobre">
    <w:name w:val="envelope return"/>
    <w:basedOn w:val="Normal"/>
    <w:uiPriority w:val="99"/>
    <w:semiHidden/>
    <w:unhideWhenUsed/>
    <w:rsid w:val="00770108"/>
    <w:pPr>
      <w:spacing w:before="0"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770108"/>
  </w:style>
  <w:style w:type="character" w:customStyle="1" w:styleId="SaludoCar">
    <w:name w:val="Saludo Car"/>
    <w:basedOn w:val="Fuentedeprrafopredeter"/>
    <w:link w:val="Saludo"/>
    <w:uiPriority w:val="99"/>
    <w:semiHidden/>
    <w:rsid w:val="00770108"/>
    <w:rPr>
      <w:rFonts w:ascii="Arial" w:hAnsi="Arial"/>
      <w:sz w:val="24"/>
      <w:szCs w:val="26"/>
      <w:lang w:val="es-ES_tradnl"/>
    </w:rPr>
  </w:style>
  <w:style w:type="paragraph" w:styleId="Sangra2detindependiente">
    <w:name w:val="Body Text Indent 2"/>
    <w:basedOn w:val="Normal"/>
    <w:link w:val="Sangra2detindependienteCar"/>
    <w:uiPriority w:val="99"/>
    <w:semiHidden/>
    <w:unhideWhenUsed/>
    <w:rsid w:val="007701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770108"/>
    <w:rPr>
      <w:rFonts w:ascii="Arial" w:hAnsi="Arial"/>
      <w:sz w:val="24"/>
      <w:szCs w:val="26"/>
      <w:lang w:val="es-ES_tradnl"/>
    </w:rPr>
  </w:style>
  <w:style w:type="paragraph" w:styleId="Sangra3detindependiente">
    <w:name w:val="Body Text Indent 3"/>
    <w:basedOn w:val="Normal"/>
    <w:link w:val="Sangra3detindependienteCar"/>
    <w:uiPriority w:val="99"/>
    <w:semiHidden/>
    <w:unhideWhenUsed/>
    <w:rsid w:val="0077010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70108"/>
    <w:rPr>
      <w:rFonts w:ascii="Arial" w:hAnsi="Arial"/>
      <w:sz w:val="16"/>
      <w:szCs w:val="16"/>
      <w:lang w:val="es-ES_tradnl"/>
    </w:rPr>
  </w:style>
  <w:style w:type="paragraph" w:styleId="Sangradetextonormal">
    <w:name w:val="Body Text Indent"/>
    <w:basedOn w:val="Normal"/>
    <w:link w:val="SangradetextonormalCar"/>
    <w:uiPriority w:val="99"/>
    <w:semiHidden/>
    <w:unhideWhenUsed/>
    <w:rsid w:val="00770108"/>
    <w:pPr>
      <w:spacing w:after="120"/>
      <w:ind w:left="283"/>
    </w:pPr>
  </w:style>
  <w:style w:type="character" w:customStyle="1" w:styleId="SangradetextonormalCar">
    <w:name w:val="Sangría de texto normal Car"/>
    <w:basedOn w:val="Fuentedeprrafopredeter"/>
    <w:link w:val="Sangradetextonormal"/>
    <w:uiPriority w:val="99"/>
    <w:semiHidden/>
    <w:rsid w:val="00770108"/>
    <w:rPr>
      <w:rFonts w:ascii="Arial" w:hAnsi="Arial"/>
      <w:sz w:val="24"/>
      <w:szCs w:val="26"/>
      <w:lang w:val="es-ES_tradnl"/>
    </w:rPr>
  </w:style>
  <w:style w:type="paragraph" w:styleId="Sangranormal">
    <w:name w:val="Normal Indent"/>
    <w:basedOn w:val="Normal"/>
    <w:uiPriority w:val="99"/>
    <w:semiHidden/>
    <w:unhideWhenUsed/>
    <w:rsid w:val="00770108"/>
    <w:pPr>
      <w:ind w:left="708"/>
    </w:pPr>
  </w:style>
  <w:style w:type="paragraph" w:styleId="Sinespaciado">
    <w:name w:val="No Spacing"/>
    <w:uiPriority w:val="1"/>
    <w:rsid w:val="00770108"/>
    <w:pPr>
      <w:spacing w:after="0" w:line="240" w:lineRule="auto"/>
    </w:pPr>
    <w:rPr>
      <w:rFonts w:ascii="Arial" w:hAnsi="Arial"/>
      <w:sz w:val="24"/>
      <w:szCs w:val="26"/>
      <w:lang w:val="es-ES_tradnl"/>
    </w:rPr>
  </w:style>
  <w:style w:type="paragraph" w:styleId="TDC5">
    <w:name w:val="toc 5"/>
    <w:basedOn w:val="Normal"/>
    <w:next w:val="Normal"/>
    <w:autoRedefine/>
    <w:uiPriority w:val="39"/>
    <w:unhideWhenUsed/>
    <w:rsid w:val="00770108"/>
    <w:pPr>
      <w:spacing w:after="100"/>
      <w:ind w:left="960"/>
    </w:pPr>
  </w:style>
  <w:style w:type="paragraph" w:styleId="TDC6">
    <w:name w:val="toc 6"/>
    <w:basedOn w:val="Normal"/>
    <w:next w:val="Normal"/>
    <w:autoRedefine/>
    <w:uiPriority w:val="39"/>
    <w:unhideWhenUsed/>
    <w:rsid w:val="00770108"/>
    <w:pPr>
      <w:spacing w:after="100"/>
      <w:ind w:left="1200"/>
    </w:pPr>
  </w:style>
  <w:style w:type="paragraph" w:styleId="TDC7">
    <w:name w:val="toc 7"/>
    <w:basedOn w:val="Normal"/>
    <w:next w:val="Normal"/>
    <w:autoRedefine/>
    <w:uiPriority w:val="39"/>
    <w:unhideWhenUsed/>
    <w:rsid w:val="00770108"/>
    <w:pPr>
      <w:spacing w:after="100"/>
      <w:ind w:left="1440"/>
    </w:pPr>
  </w:style>
  <w:style w:type="paragraph" w:styleId="TDC8">
    <w:name w:val="toc 8"/>
    <w:basedOn w:val="Normal"/>
    <w:next w:val="Normal"/>
    <w:autoRedefine/>
    <w:uiPriority w:val="39"/>
    <w:unhideWhenUsed/>
    <w:rsid w:val="00770108"/>
    <w:pPr>
      <w:spacing w:after="100"/>
      <w:ind w:left="1680"/>
    </w:pPr>
  </w:style>
  <w:style w:type="paragraph" w:styleId="TDC9">
    <w:name w:val="toc 9"/>
    <w:basedOn w:val="Normal"/>
    <w:next w:val="Normal"/>
    <w:autoRedefine/>
    <w:uiPriority w:val="39"/>
    <w:unhideWhenUsed/>
    <w:rsid w:val="00770108"/>
    <w:pPr>
      <w:spacing w:after="100"/>
      <w:ind w:left="1920"/>
    </w:pPr>
  </w:style>
  <w:style w:type="paragraph" w:styleId="Textoconsangra">
    <w:name w:val="table of authorities"/>
    <w:basedOn w:val="Normal"/>
    <w:next w:val="Normal"/>
    <w:uiPriority w:val="99"/>
    <w:semiHidden/>
    <w:unhideWhenUsed/>
    <w:rsid w:val="00770108"/>
    <w:pPr>
      <w:spacing w:after="0"/>
      <w:ind w:left="240" w:hanging="240"/>
    </w:pPr>
  </w:style>
  <w:style w:type="paragraph" w:styleId="Textodebloque">
    <w:name w:val="Block Text"/>
    <w:basedOn w:val="Normal"/>
    <w:uiPriority w:val="99"/>
    <w:semiHidden/>
    <w:unhideWhenUsed/>
    <w:rsid w:val="0077010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i/>
      <w:iCs/>
      <w:color w:val="5B9BD5" w:themeColor="accent1"/>
    </w:rPr>
  </w:style>
  <w:style w:type="paragraph" w:styleId="Textoindependiente">
    <w:name w:val="Body Text"/>
    <w:basedOn w:val="Normal"/>
    <w:link w:val="TextoindependienteCar"/>
    <w:uiPriority w:val="99"/>
    <w:semiHidden/>
    <w:unhideWhenUsed/>
    <w:rsid w:val="00770108"/>
    <w:pPr>
      <w:spacing w:after="120"/>
    </w:pPr>
  </w:style>
  <w:style w:type="character" w:customStyle="1" w:styleId="TextoindependienteCar">
    <w:name w:val="Texto independiente Car"/>
    <w:basedOn w:val="Fuentedeprrafopredeter"/>
    <w:link w:val="Textoindependiente"/>
    <w:uiPriority w:val="99"/>
    <w:semiHidden/>
    <w:rsid w:val="00770108"/>
    <w:rPr>
      <w:rFonts w:ascii="Arial" w:hAnsi="Arial"/>
      <w:sz w:val="24"/>
      <w:szCs w:val="26"/>
      <w:lang w:val="es-ES_tradnl"/>
    </w:rPr>
  </w:style>
  <w:style w:type="paragraph" w:styleId="Textoindependiente2">
    <w:name w:val="Body Text 2"/>
    <w:basedOn w:val="Normal"/>
    <w:link w:val="Textoindependiente2Car"/>
    <w:uiPriority w:val="99"/>
    <w:semiHidden/>
    <w:unhideWhenUsed/>
    <w:rsid w:val="00770108"/>
    <w:pPr>
      <w:spacing w:after="120" w:line="480" w:lineRule="auto"/>
    </w:pPr>
  </w:style>
  <w:style w:type="character" w:customStyle="1" w:styleId="Textoindependiente2Car">
    <w:name w:val="Texto independiente 2 Car"/>
    <w:basedOn w:val="Fuentedeprrafopredeter"/>
    <w:link w:val="Textoindependiente2"/>
    <w:uiPriority w:val="99"/>
    <w:semiHidden/>
    <w:rsid w:val="00770108"/>
    <w:rPr>
      <w:rFonts w:ascii="Arial" w:hAnsi="Arial"/>
      <w:sz w:val="24"/>
      <w:szCs w:val="26"/>
      <w:lang w:val="es-ES_tradnl"/>
    </w:rPr>
  </w:style>
  <w:style w:type="paragraph" w:styleId="Textoindependiente3">
    <w:name w:val="Body Text 3"/>
    <w:basedOn w:val="Normal"/>
    <w:link w:val="Textoindependiente3Car"/>
    <w:uiPriority w:val="99"/>
    <w:semiHidden/>
    <w:unhideWhenUsed/>
    <w:rsid w:val="0077010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70108"/>
    <w:rPr>
      <w:rFonts w:ascii="Arial" w:hAnsi="Arial"/>
      <w:sz w:val="16"/>
      <w:szCs w:val="16"/>
      <w:lang w:val="es-ES_tradnl"/>
    </w:rPr>
  </w:style>
  <w:style w:type="paragraph" w:styleId="Textoindependienteprimerasangra">
    <w:name w:val="Body Text First Indent"/>
    <w:basedOn w:val="Textoindependiente"/>
    <w:link w:val="TextoindependienteprimerasangraCar"/>
    <w:uiPriority w:val="99"/>
    <w:semiHidden/>
    <w:unhideWhenUsed/>
    <w:rsid w:val="00770108"/>
    <w:pPr>
      <w:spacing w:after="24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770108"/>
    <w:rPr>
      <w:rFonts w:ascii="Arial" w:hAnsi="Arial"/>
      <w:sz w:val="24"/>
      <w:szCs w:val="26"/>
      <w:lang w:val="es-ES_tradnl"/>
    </w:rPr>
  </w:style>
  <w:style w:type="paragraph" w:styleId="Textoindependienteprimerasangra2">
    <w:name w:val="Body Text First Indent 2"/>
    <w:basedOn w:val="Sangradetextonormal"/>
    <w:link w:val="Textoindependienteprimerasangra2Car"/>
    <w:uiPriority w:val="99"/>
    <w:semiHidden/>
    <w:unhideWhenUsed/>
    <w:rsid w:val="00770108"/>
    <w:pPr>
      <w:spacing w:after="24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770108"/>
    <w:rPr>
      <w:rFonts w:ascii="Arial" w:hAnsi="Arial"/>
      <w:sz w:val="24"/>
      <w:szCs w:val="26"/>
      <w:lang w:val="es-ES_tradnl"/>
    </w:rPr>
  </w:style>
  <w:style w:type="paragraph" w:styleId="Textomacro">
    <w:name w:val="macro"/>
    <w:link w:val="TextomacroCar"/>
    <w:uiPriority w:val="99"/>
    <w:semiHidden/>
    <w:unhideWhenUsed/>
    <w:rsid w:val="00770108"/>
    <w:pPr>
      <w:tabs>
        <w:tab w:val="left" w:pos="480"/>
        <w:tab w:val="left" w:pos="960"/>
        <w:tab w:val="left" w:pos="1440"/>
        <w:tab w:val="left" w:pos="1920"/>
        <w:tab w:val="left" w:pos="2400"/>
        <w:tab w:val="left" w:pos="2880"/>
        <w:tab w:val="left" w:pos="3360"/>
        <w:tab w:val="left" w:pos="3840"/>
        <w:tab w:val="left" w:pos="4320"/>
      </w:tabs>
      <w:spacing w:before="240" w:after="0" w:line="300" w:lineRule="auto"/>
    </w:pPr>
    <w:rPr>
      <w:rFonts w:ascii="Consolas" w:hAnsi="Consolas"/>
      <w:lang w:val="es-ES_tradnl"/>
    </w:rPr>
  </w:style>
  <w:style w:type="character" w:customStyle="1" w:styleId="TextomacroCar">
    <w:name w:val="Texto macro Car"/>
    <w:basedOn w:val="Fuentedeprrafopredeter"/>
    <w:link w:val="Textomacro"/>
    <w:uiPriority w:val="99"/>
    <w:semiHidden/>
    <w:rsid w:val="00770108"/>
    <w:rPr>
      <w:rFonts w:ascii="Consolas" w:hAnsi="Consolas"/>
      <w:lang w:val="es-ES_tradnl"/>
    </w:rPr>
  </w:style>
  <w:style w:type="paragraph" w:styleId="Textonotaalfinal">
    <w:name w:val="endnote text"/>
    <w:basedOn w:val="Normal"/>
    <w:link w:val="TextonotaalfinalCar"/>
    <w:uiPriority w:val="99"/>
    <w:semiHidden/>
    <w:unhideWhenUsed/>
    <w:rsid w:val="00770108"/>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70108"/>
    <w:rPr>
      <w:rFonts w:ascii="Arial" w:hAnsi="Arial"/>
      <w:lang w:val="es-ES_tradnl"/>
    </w:rPr>
  </w:style>
  <w:style w:type="paragraph" w:styleId="Textosinformato">
    <w:name w:val="Plain Text"/>
    <w:basedOn w:val="Normal"/>
    <w:link w:val="TextosinformatoCar"/>
    <w:uiPriority w:val="99"/>
    <w:semiHidden/>
    <w:unhideWhenUsed/>
    <w:rsid w:val="00770108"/>
    <w:pPr>
      <w:spacing w:before="0"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770108"/>
    <w:rPr>
      <w:rFonts w:ascii="Consolas" w:hAnsi="Consolas"/>
      <w:sz w:val="21"/>
      <w:szCs w:val="21"/>
      <w:lang w:val="es-ES_tradnl"/>
    </w:rPr>
  </w:style>
  <w:style w:type="paragraph" w:styleId="Ttulodendice">
    <w:name w:val="index heading"/>
    <w:basedOn w:val="Normal"/>
    <w:next w:val="ndice1"/>
    <w:uiPriority w:val="99"/>
    <w:semiHidden/>
    <w:unhideWhenUsed/>
    <w:rsid w:val="00770108"/>
    <w:rPr>
      <w:rFonts w:asciiTheme="majorHAnsi" w:eastAsiaTheme="majorEastAsia" w:hAnsiTheme="majorHAnsi" w:cstheme="majorBidi"/>
      <w:b/>
      <w:bCs/>
    </w:rPr>
  </w:style>
  <w:style w:type="paragraph" w:styleId="TtuloTDC">
    <w:name w:val="TOC Heading"/>
    <w:basedOn w:val="Ttulo1"/>
    <w:next w:val="Normal"/>
    <w:uiPriority w:val="39"/>
    <w:unhideWhenUsed/>
    <w:qFormat/>
    <w:rsid w:val="00B8250E"/>
    <w:pPr>
      <w:numPr>
        <w:numId w:val="0"/>
      </w:numPr>
      <w:spacing w:before="240" w:after="0" w:line="259" w:lineRule="auto"/>
      <w:outlineLvl w:val="9"/>
    </w:pPr>
    <w:rPr>
      <w:rFonts w:asciiTheme="majorHAnsi" w:hAnsiTheme="majorHAnsi"/>
      <w:bCs w:val="0"/>
      <w:smallCaps w:val="0"/>
      <w:color w:val="2E74B5" w:themeColor="accent1" w:themeShade="BF"/>
      <w:sz w:val="32"/>
      <w:szCs w:val="32"/>
      <w:lang w:val="es-CO" w:eastAsia="es-CO"/>
    </w:rPr>
  </w:style>
  <w:style w:type="paragraph" w:styleId="TDC1">
    <w:name w:val="toc 1"/>
    <w:basedOn w:val="Normal"/>
    <w:next w:val="Normal"/>
    <w:autoRedefine/>
    <w:uiPriority w:val="39"/>
    <w:unhideWhenUsed/>
    <w:qFormat/>
    <w:rsid w:val="00DB3543"/>
    <w:pPr>
      <w:tabs>
        <w:tab w:val="right" w:leader="dot" w:pos="9202"/>
      </w:tabs>
      <w:spacing w:after="100"/>
    </w:pPr>
  </w:style>
  <w:style w:type="paragraph" w:styleId="TDC2">
    <w:name w:val="toc 2"/>
    <w:basedOn w:val="Normal"/>
    <w:next w:val="Normal"/>
    <w:autoRedefine/>
    <w:uiPriority w:val="39"/>
    <w:unhideWhenUsed/>
    <w:qFormat/>
    <w:rsid w:val="00407CA4"/>
    <w:pPr>
      <w:tabs>
        <w:tab w:val="left" w:pos="960"/>
        <w:tab w:val="right" w:leader="dot" w:pos="9202"/>
      </w:tabs>
      <w:spacing w:after="100"/>
      <w:ind w:left="240"/>
    </w:pPr>
  </w:style>
  <w:style w:type="paragraph" w:styleId="TDC3">
    <w:name w:val="toc 3"/>
    <w:basedOn w:val="Normal"/>
    <w:next w:val="Normal"/>
    <w:autoRedefine/>
    <w:uiPriority w:val="39"/>
    <w:unhideWhenUsed/>
    <w:qFormat/>
    <w:rsid w:val="00A3158C"/>
    <w:pPr>
      <w:tabs>
        <w:tab w:val="left" w:pos="1440"/>
        <w:tab w:val="right" w:leader="dot" w:pos="9202"/>
      </w:tabs>
      <w:spacing w:after="100"/>
      <w:ind w:left="480"/>
    </w:pPr>
  </w:style>
  <w:style w:type="character" w:customStyle="1" w:styleId="Mencinsinresolver3">
    <w:name w:val="Mención sin resolver3"/>
    <w:basedOn w:val="Fuentedeprrafopredeter"/>
    <w:uiPriority w:val="99"/>
    <w:semiHidden/>
    <w:unhideWhenUsed/>
    <w:rsid w:val="00EE524D"/>
    <w:rPr>
      <w:color w:val="605E5C"/>
      <w:shd w:val="clear" w:color="auto" w:fill="E1DFDD"/>
    </w:rPr>
  </w:style>
  <w:style w:type="character" w:customStyle="1" w:styleId="Mencinsinresolver4">
    <w:name w:val="Mención sin resolver4"/>
    <w:basedOn w:val="Fuentedeprrafopredeter"/>
    <w:uiPriority w:val="99"/>
    <w:semiHidden/>
    <w:unhideWhenUsed/>
    <w:rsid w:val="00A25688"/>
    <w:rPr>
      <w:color w:val="605E5C"/>
      <w:shd w:val="clear" w:color="auto" w:fill="E1DFDD"/>
    </w:rPr>
  </w:style>
  <w:style w:type="character" w:customStyle="1" w:styleId="cf01">
    <w:name w:val="cf01"/>
    <w:basedOn w:val="Fuentedeprrafopredeter"/>
    <w:rsid w:val="00CA2A6C"/>
    <w:rPr>
      <w:rFonts w:ascii="Segoe UI" w:hAnsi="Segoe UI" w:cs="Segoe UI" w:hint="default"/>
      <w:sz w:val="18"/>
      <w:szCs w:val="18"/>
    </w:rPr>
  </w:style>
  <w:style w:type="character" w:styleId="Mencinsinresolver">
    <w:name w:val="Unresolved Mention"/>
    <w:basedOn w:val="Fuentedeprrafopredeter"/>
    <w:uiPriority w:val="99"/>
    <w:semiHidden/>
    <w:unhideWhenUsed/>
    <w:rsid w:val="00C57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9506">
      <w:bodyDiv w:val="1"/>
      <w:marLeft w:val="0"/>
      <w:marRight w:val="0"/>
      <w:marTop w:val="0"/>
      <w:marBottom w:val="0"/>
      <w:divBdr>
        <w:top w:val="none" w:sz="0" w:space="0" w:color="auto"/>
        <w:left w:val="none" w:sz="0" w:space="0" w:color="auto"/>
        <w:bottom w:val="none" w:sz="0" w:space="0" w:color="auto"/>
        <w:right w:val="none" w:sz="0" w:space="0" w:color="auto"/>
      </w:divBdr>
    </w:div>
    <w:div w:id="5986053">
      <w:bodyDiv w:val="1"/>
      <w:marLeft w:val="0"/>
      <w:marRight w:val="0"/>
      <w:marTop w:val="0"/>
      <w:marBottom w:val="0"/>
      <w:divBdr>
        <w:top w:val="none" w:sz="0" w:space="0" w:color="auto"/>
        <w:left w:val="none" w:sz="0" w:space="0" w:color="auto"/>
        <w:bottom w:val="none" w:sz="0" w:space="0" w:color="auto"/>
        <w:right w:val="none" w:sz="0" w:space="0" w:color="auto"/>
      </w:divBdr>
    </w:div>
    <w:div w:id="8220417">
      <w:bodyDiv w:val="1"/>
      <w:marLeft w:val="0"/>
      <w:marRight w:val="0"/>
      <w:marTop w:val="0"/>
      <w:marBottom w:val="0"/>
      <w:divBdr>
        <w:top w:val="none" w:sz="0" w:space="0" w:color="auto"/>
        <w:left w:val="none" w:sz="0" w:space="0" w:color="auto"/>
        <w:bottom w:val="none" w:sz="0" w:space="0" w:color="auto"/>
        <w:right w:val="none" w:sz="0" w:space="0" w:color="auto"/>
      </w:divBdr>
    </w:div>
    <w:div w:id="8725856">
      <w:bodyDiv w:val="1"/>
      <w:marLeft w:val="0"/>
      <w:marRight w:val="0"/>
      <w:marTop w:val="0"/>
      <w:marBottom w:val="0"/>
      <w:divBdr>
        <w:top w:val="none" w:sz="0" w:space="0" w:color="auto"/>
        <w:left w:val="none" w:sz="0" w:space="0" w:color="auto"/>
        <w:bottom w:val="none" w:sz="0" w:space="0" w:color="auto"/>
        <w:right w:val="none" w:sz="0" w:space="0" w:color="auto"/>
      </w:divBdr>
    </w:div>
    <w:div w:id="11881612">
      <w:bodyDiv w:val="1"/>
      <w:marLeft w:val="0"/>
      <w:marRight w:val="0"/>
      <w:marTop w:val="0"/>
      <w:marBottom w:val="0"/>
      <w:divBdr>
        <w:top w:val="none" w:sz="0" w:space="0" w:color="auto"/>
        <w:left w:val="none" w:sz="0" w:space="0" w:color="auto"/>
        <w:bottom w:val="none" w:sz="0" w:space="0" w:color="auto"/>
        <w:right w:val="none" w:sz="0" w:space="0" w:color="auto"/>
      </w:divBdr>
      <w:divsChild>
        <w:div w:id="167141218">
          <w:marLeft w:val="1152"/>
          <w:marRight w:val="0"/>
          <w:marTop w:val="0"/>
          <w:marBottom w:val="0"/>
          <w:divBdr>
            <w:top w:val="none" w:sz="0" w:space="0" w:color="auto"/>
            <w:left w:val="none" w:sz="0" w:space="0" w:color="auto"/>
            <w:bottom w:val="none" w:sz="0" w:space="0" w:color="auto"/>
            <w:right w:val="none" w:sz="0" w:space="0" w:color="auto"/>
          </w:divBdr>
        </w:div>
        <w:div w:id="401685683">
          <w:marLeft w:val="504"/>
          <w:marRight w:val="0"/>
          <w:marTop w:val="120"/>
          <w:marBottom w:val="0"/>
          <w:divBdr>
            <w:top w:val="none" w:sz="0" w:space="0" w:color="auto"/>
            <w:left w:val="none" w:sz="0" w:space="0" w:color="auto"/>
            <w:bottom w:val="none" w:sz="0" w:space="0" w:color="auto"/>
            <w:right w:val="none" w:sz="0" w:space="0" w:color="auto"/>
          </w:divBdr>
        </w:div>
        <w:div w:id="608511926">
          <w:marLeft w:val="432"/>
          <w:marRight w:val="0"/>
          <w:marTop w:val="0"/>
          <w:marBottom w:val="0"/>
          <w:divBdr>
            <w:top w:val="none" w:sz="0" w:space="0" w:color="auto"/>
            <w:left w:val="none" w:sz="0" w:space="0" w:color="auto"/>
            <w:bottom w:val="none" w:sz="0" w:space="0" w:color="auto"/>
            <w:right w:val="none" w:sz="0" w:space="0" w:color="auto"/>
          </w:divBdr>
        </w:div>
        <w:div w:id="688718278">
          <w:marLeft w:val="432"/>
          <w:marRight w:val="0"/>
          <w:marTop w:val="120"/>
          <w:marBottom w:val="0"/>
          <w:divBdr>
            <w:top w:val="none" w:sz="0" w:space="0" w:color="auto"/>
            <w:left w:val="none" w:sz="0" w:space="0" w:color="auto"/>
            <w:bottom w:val="none" w:sz="0" w:space="0" w:color="auto"/>
            <w:right w:val="none" w:sz="0" w:space="0" w:color="auto"/>
          </w:divBdr>
        </w:div>
        <w:div w:id="1183206041">
          <w:marLeft w:val="504"/>
          <w:marRight w:val="0"/>
          <w:marTop w:val="120"/>
          <w:marBottom w:val="0"/>
          <w:divBdr>
            <w:top w:val="none" w:sz="0" w:space="0" w:color="auto"/>
            <w:left w:val="none" w:sz="0" w:space="0" w:color="auto"/>
            <w:bottom w:val="none" w:sz="0" w:space="0" w:color="auto"/>
            <w:right w:val="none" w:sz="0" w:space="0" w:color="auto"/>
          </w:divBdr>
        </w:div>
        <w:div w:id="1502433598">
          <w:marLeft w:val="1224"/>
          <w:marRight w:val="0"/>
          <w:marTop w:val="0"/>
          <w:marBottom w:val="0"/>
          <w:divBdr>
            <w:top w:val="none" w:sz="0" w:space="0" w:color="auto"/>
            <w:left w:val="none" w:sz="0" w:space="0" w:color="auto"/>
            <w:bottom w:val="none" w:sz="0" w:space="0" w:color="auto"/>
            <w:right w:val="none" w:sz="0" w:space="0" w:color="auto"/>
          </w:divBdr>
        </w:div>
        <w:div w:id="1534879952">
          <w:marLeft w:val="1152"/>
          <w:marRight w:val="0"/>
          <w:marTop w:val="0"/>
          <w:marBottom w:val="0"/>
          <w:divBdr>
            <w:top w:val="none" w:sz="0" w:space="0" w:color="auto"/>
            <w:left w:val="none" w:sz="0" w:space="0" w:color="auto"/>
            <w:bottom w:val="none" w:sz="0" w:space="0" w:color="auto"/>
            <w:right w:val="none" w:sz="0" w:space="0" w:color="auto"/>
          </w:divBdr>
        </w:div>
        <w:div w:id="1583447952">
          <w:marLeft w:val="1152"/>
          <w:marRight w:val="0"/>
          <w:marTop w:val="0"/>
          <w:marBottom w:val="0"/>
          <w:divBdr>
            <w:top w:val="none" w:sz="0" w:space="0" w:color="auto"/>
            <w:left w:val="none" w:sz="0" w:space="0" w:color="auto"/>
            <w:bottom w:val="none" w:sz="0" w:space="0" w:color="auto"/>
            <w:right w:val="none" w:sz="0" w:space="0" w:color="auto"/>
          </w:divBdr>
        </w:div>
      </w:divsChild>
    </w:div>
    <w:div w:id="12000250">
      <w:bodyDiv w:val="1"/>
      <w:marLeft w:val="0"/>
      <w:marRight w:val="0"/>
      <w:marTop w:val="0"/>
      <w:marBottom w:val="0"/>
      <w:divBdr>
        <w:top w:val="none" w:sz="0" w:space="0" w:color="auto"/>
        <w:left w:val="none" w:sz="0" w:space="0" w:color="auto"/>
        <w:bottom w:val="none" w:sz="0" w:space="0" w:color="auto"/>
        <w:right w:val="none" w:sz="0" w:space="0" w:color="auto"/>
      </w:divBdr>
    </w:div>
    <w:div w:id="12079999">
      <w:bodyDiv w:val="1"/>
      <w:marLeft w:val="0"/>
      <w:marRight w:val="0"/>
      <w:marTop w:val="0"/>
      <w:marBottom w:val="0"/>
      <w:divBdr>
        <w:top w:val="none" w:sz="0" w:space="0" w:color="auto"/>
        <w:left w:val="none" w:sz="0" w:space="0" w:color="auto"/>
        <w:bottom w:val="none" w:sz="0" w:space="0" w:color="auto"/>
        <w:right w:val="none" w:sz="0" w:space="0" w:color="auto"/>
      </w:divBdr>
    </w:div>
    <w:div w:id="12460926">
      <w:bodyDiv w:val="1"/>
      <w:marLeft w:val="0"/>
      <w:marRight w:val="0"/>
      <w:marTop w:val="0"/>
      <w:marBottom w:val="0"/>
      <w:divBdr>
        <w:top w:val="none" w:sz="0" w:space="0" w:color="auto"/>
        <w:left w:val="none" w:sz="0" w:space="0" w:color="auto"/>
        <w:bottom w:val="none" w:sz="0" w:space="0" w:color="auto"/>
        <w:right w:val="none" w:sz="0" w:space="0" w:color="auto"/>
      </w:divBdr>
    </w:div>
    <w:div w:id="18051230">
      <w:bodyDiv w:val="1"/>
      <w:marLeft w:val="0"/>
      <w:marRight w:val="0"/>
      <w:marTop w:val="0"/>
      <w:marBottom w:val="0"/>
      <w:divBdr>
        <w:top w:val="none" w:sz="0" w:space="0" w:color="auto"/>
        <w:left w:val="none" w:sz="0" w:space="0" w:color="auto"/>
        <w:bottom w:val="none" w:sz="0" w:space="0" w:color="auto"/>
        <w:right w:val="none" w:sz="0" w:space="0" w:color="auto"/>
      </w:divBdr>
    </w:div>
    <w:div w:id="18430521">
      <w:bodyDiv w:val="1"/>
      <w:marLeft w:val="0"/>
      <w:marRight w:val="0"/>
      <w:marTop w:val="0"/>
      <w:marBottom w:val="0"/>
      <w:divBdr>
        <w:top w:val="none" w:sz="0" w:space="0" w:color="auto"/>
        <w:left w:val="none" w:sz="0" w:space="0" w:color="auto"/>
        <w:bottom w:val="none" w:sz="0" w:space="0" w:color="auto"/>
        <w:right w:val="none" w:sz="0" w:space="0" w:color="auto"/>
      </w:divBdr>
    </w:div>
    <w:div w:id="22052732">
      <w:bodyDiv w:val="1"/>
      <w:marLeft w:val="0"/>
      <w:marRight w:val="0"/>
      <w:marTop w:val="0"/>
      <w:marBottom w:val="0"/>
      <w:divBdr>
        <w:top w:val="none" w:sz="0" w:space="0" w:color="auto"/>
        <w:left w:val="none" w:sz="0" w:space="0" w:color="auto"/>
        <w:bottom w:val="none" w:sz="0" w:space="0" w:color="auto"/>
        <w:right w:val="none" w:sz="0" w:space="0" w:color="auto"/>
      </w:divBdr>
    </w:div>
    <w:div w:id="25715249">
      <w:bodyDiv w:val="1"/>
      <w:marLeft w:val="0"/>
      <w:marRight w:val="0"/>
      <w:marTop w:val="0"/>
      <w:marBottom w:val="0"/>
      <w:divBdr>
        <w:top w:val="none" w:sz="0" w:space="0" w:color="auto"/>
        <w:left w:val="none" w:sz="0" w:space="0" w:color="auto"/>
        <w:bottom w:val="none" w:sz="0" w:space="0" w:color="auto"/>
        <w:right w:val="none" w:sz="0" w:space="0" w:color="auto"/>
      </w:divBdr>
    </w:div>
    <w:div w:id="26412462">
      <w:bodyDiv w:val="1"/>
      <w:marLeft w:val="0"/>
      <w:marRight w:val="0"/>
      <w:marTop w:val="0"/>
      <w:marBottom w:val="0"/>
      <w:divBdr>
        <w:top w:val="none" w:sz="0" w:space="0" w:color="auto"/>
        <w:left w:val="none" w:sz="0" w:space="0" w:color="auto"/>
        <w:bottom w:val="none" w:sz="0" w:space="0" w:color="auto"/>
        <w:right w:val="none" w:sz="0" w:space="0" w:color="auto"/>
      </w:divBdr>
    </w:div>
    <w:div w:id="27075905">
      <w:bodyDiv w:val="1"/>
      <w:marLeft w:val="0"/>
      <w:marRight w:val="0"/>
      <w:marTop w:val="0"/>
      <w:marBottom w:val="0"/>
      <w:divBdr>
        <w:top w:val="none" w:sz="0" w:space="0" w:color="auto"/>
        <w:left w:val="none" w:sz="0" w:space="0" w:color="auto"/>
        <w:bottom w:val="none" w:sz="0" w:space="0" w:color="auto"/>
        <w:right w:val="none" w:sz="0" w:space="0" w:color="auto"/>
      </w:divBdr>
    </w:div>
    <w:div w:id="30806080">
      <w:bodyDiv w:val="1"/>
      <w:marLeft w:val="0"/>
      <w:marRight w:val="0"/>
      <w:marTop w:val="0"/>
      <w:marBottom w:val="0"/>
      <w:divBdr>
        <w:top w:val="none" w:sz="0" w:space="0" w:color="auto"/>
        <w:left w:val="none" w:sz="0" w:space="0" w:color="auto"/>
        <w:bottom w:val="none" w:sz="0" w:space="0" w:color="auto"/>
        <w:right w:val="none" w:sz="0" w:space="0" w:color="auto"/>
      </w:divBdr>
    </w:div>
    <w:div w:id="31348534">
      <w:bodyDiv w:val="1"/>
      <w:marLeft w:val="0"/>
      <w:marRight w:val="0"/>
      <w:marTop w:val="0"/>
      <w:marBottom w:val="0"/>
      <w:divBdr>
        <w:top w:val="none" w:sz="0" w:space="0" w:color="auto"/>
        <w:left w:val="none" w:sz="0" w:space="0" w:color="auto"/>
        <w:bottom w:val="none" w:sz="0" w:space="0" w:color="auto"/>
        <w:right w:val="none" w:sz="0" w:space="0" w:color="auto"/>
      </w:divBdr>
    </w:div>
    <w:div w:id="31655945">
      <w:bodyDiv w:val="1"/>
      <w:marLeft w:val="0"/>
      <w:marRight w:val="0"/>
      <w:marTop w:val="0"/>
      <w:marBottom w:val="0"/>
      <w:divBdr>
        <w:top w:val="none" w:sz="0" w:space="0" w:color="auto"/>
        <w:left w:val="none" w:sz="0" w:space="0" w:color="auto"/>
        <w:bottom w:val="none" w:sz="0" w:space="0" w:color="auto"/>
        <w:right w:val="none" w:sz="0" w:space="0" w:color="auto"/>
      </w:divBdr>
    </w:div>
    <w:div w:id="33625040">
      <w:bodyDiv w:val="1"/>
      <w:marLeft w:val="0"/>
      <w:marRight w:val="0"/>
      <w:marTop w:val="0"/>
      <w:marBottom w:val="0"/>
      <w:divBdr>
        <w:top w:val="none" w:sz="0" w:space="0" w:color="auto"/>
        <w:left w:val="none" w:sz="0" w:space="0" w:color="auto"/>
        <w:bottom w:val="none" w:sz="0" w:space="0" w:color="auto"/>
        <w:right w:val="none" w:sz="0" w:space="0" w:color="auto"/>
      </w:divBdr>
    </w:div>
    <w:div w:id="34698932">
      <w:bodyDiv w:val="1"/>
      <w:marLeft w:val="0"/>
      <w:marRight w:val="0"/>
      <w:marTop w:val="0"/>
      <w:marBottom w:val="0"/>
      <w:divBdr>
        <w:top w:val="none" w:sz="0" w:space="0" w:color="auto"/>
        <w:left w:val="none" w:sz="0" w:space="0" w:color="auto"/>
        <w:bottom w:val="none" w:sz="0" w:space="0" w:color="auto"/>
        <w:right w:val="none" w:sz="0" w:space="0" w:color="auto"/>
      </w:divBdr>
    </w:div>
    <w:div w:id="39522544">
      <w:bodyDiv w:val="1"/>
      <w:marLeft w:val="0"/>
      <w:marRight w:val="0"/>
      <w:marTop w:val="0"/>
      <w:marBottom w:val="0"/>
      <w:divBdr>
        <w:top w:val="none" w:sz="0" w:space="0" w:color="auto"/>
        <w:left w:val="none" w:sz="0" w:space="0" w:color="auto"/>
        <w:bottom w:val="none" w:sz="0" w:space="0" w:color="auto"/>
        <w:right w:val="none" w:sz="0" w:space="0" w:color="auto"/>
      </w:divBdr>
    </w:div>
    <w:div w:id="39981721">
      <w:bodyDiv w:val="1"/>
      <w:marLeft w:val="0"/>
      <w:marRight w:val="0"/>
      <w:marTop w:val="0"/>
      <w:marBottom w:val="0"/>
      <w:divBdr>
        <w:top w:val="none" w:sz="0" w:space="0" w:color="auto"/>
        <w:left w:val="none" w:sz="0" w:space="0" w:color="auto"/>
        <w:bottom w:val="none" w:sz="0" w:space="0" w:color="auto"/>
        <w:right w:val="none" w:sz="0" w:space="0" w:color="auto"/>
      </w:divBdr>
    </w:div>
    <w:div w:id="40521174">
      <w:bodyDiv w:val="1"/>
      <w:marLeft w:val="0"/>
      <w:marRight w:val="0"/>
      <w:marTop w:val="0"/>
      <w:marBottom w:val="0"/>
      <w:divBdr>
        <w:top w:val="none" w:sz="0" w:space="0" w:color="auto"/>
        <w:left w:val="none" w:sz="0" w:space="0" w:color="auto"/>
        <w:bottom w:val="none" w:sz="0" w:space="0" w:color="auto"/>
        <w:right w:val="none" w:sz="0" w:space="0" w:color="auto"/>
      </w:divBdr>
    </w:div>
    <w:div w:id="43414436">
      <w:bodyDiv w:val="1"/>
      <w:marLeft w:val="0"/>
      <w:marRight w:val="0"/>
      <w:marTop w:val="0"/>
      <w:marBottom w:val="0"/>
      <w:divBdr>
        <w:top w:val="none" w:sz="0" w:space="0" w:color="auto"/>
        <w:left w:val="none" w:sz="0" w:space="0" w:color="auto"/>
        <w:bottom w:val="none" w:sz="0" w:space="0" w:color="auto"/>
        <w:right w:val="none" w:sz="0" w:space="0" w:color="auto"/>
      </w:divBdr>
    </w:div>
    <w:div w:id="44527189">
      <w:bodyDiv w:val="1"/>
      <w:marLeft w:val="0"/>
      <w:marRight w:val="0"/>
      <w:marTop w:val="0"/>
      <w:marBottom w:val="0"/>
      <w:divBdr>
        <w:top w:val="none" w:sz="0" w:space="0" w:color="auto"/>
        <w:left w:val="none" w:sz="0" w:space="0" w:color="auto"/>
        <w:bottom w:val="none" w:sz="0" w:space="0" w:color="auto"/>
        <w:right w:val="none" w:sz="0" w:space="0" w:color="auto"/>
      </w:divBdr>
    </w:div>
    <w:div w:id="46537125">
      <w:bodyDiv w:val="1"/>
      <w:marLeft w:val="0"/>
      <w:marRight w:val="0"/>
      <w:marTop w:val="0"/>
      <w:marBottom w:val="0"/>
      <w:divBdr>
        <w:top w:val="none" w:sz="0" w:space="0" w:color="auto"/>
        <w:left w:val="none" w:sz="0" w:space="0" w:color="auto"/>
        <w:bottom w:val="none" w:sz="0" w:space="0" w:color="auto"/>
        <w:right w:val="none" w:sz="0" w:space="0" w:color="auto"/>
      </w:divBdr>
    </w:div>
    <w:div w:id="46614961">
      <w:bodyDiv w:val="1"/>
      <w:marLeft w:val="0"/>
      <w:marRight w:val="0"/>
      <w:marTop w:val="0"/>
      <w:marBottom w:val="0"/>
      <w:divBdr>
        <w:top w:val="none" w:sz="0" w:space="0" w:color="auto"/>
        <w:left w:val="none" w:sz="0" w:space="0" w:color="auto"/>
        <w:bottom w:val="none" w:sz="0" w:space="0" w:color="auto"/>
        <w:right w:val="none" w:sz="0" w:space="0" w:color="auto"/>
      </w:divBdr>
    </w:div>
    <w:div w:id="46998562">
      <w:bodyDiv w:val="1"/>
      <w:marLeft w:val="0"/>
      <w:marRight w:val="0"/>
      <w:marTop w:val="0"/>
      <w:marBottom w:val="0"/>
      <w:divBdr>
        <w:top w:val="none" w:sz="0" w:space="0" w:color="auto"/>
        <w:left w:val="none" w:sz="0" w:space="0" w:color="auto"/>
        <w:bottom w:val="none" w:sz="0" w:space="0" w:color="auto"/>
        <w:right w:val="none" w:sz="0" w:space="0" w:color="auto"/>
      </w:divBdr>
    </w:div>
    <w:div w:id="48380802">
      <w:bodyDiv w:val="1"/>
      <w:marLeft w:val="0"/>
      <w:marRight w:val="0"/>
      <w:marTop w:val="0"/>
      <w:marBottom w:val="0"/>
      <w:divBdr>
        <w:top w:val="none" w:sz="0" w:space="0" w:color="auto"/>
        <w:left w:val="none" w:sz="0" w:space="0" w:color="auto"/>
        <w:bottom w:val="none" w:sz="0" w:space="0" w:color="auto"/>
        <w:right w:val="none" w:sz="0" w:space="0" w:color="auto"/>
      </w:divBdr>
    </w:div>
    <w:div w:id="49110436">
      <w:bodyDiv w:val="1"/>
      <w:marLeft w:val="0"/>
      <w:marRight w:val="0"/>
      <w:marTop w:val="0"/>
      <w:marBottom w:val="0"/>
      <w:divBdr>
        <w:top w:val="none" w:sz="0" w:space="0" w:color="auto"/>
        <w:left w:val="none" w:sz="0" w:space="0" w:color="auto"/>
        <w:bottom w:val="none" w:sz="0" w:space="0" w:color="auto"/>
        <w:right w:val="none" w:sz="0" w:space="0" w:color="auto"/>
      </w:divBdr>
    </w:div>
    <w:div w:id="49890612">
      <w:bodyDiv w:val="1"/>
      <w:marLeft w:val="0"/>
      <w:marRight w:val="0"/>
      <w:marTop w:val="0"/>
      <w:marBottom w:val="0"/>
      <w:divBdr>
        <w:top w:val="none" w:sz="0" w:space="0" w:color="auto"/>
        <w:left w:val="none" w:sz="0" w:space="0" w:color="auto"/>
        <w:bottom w:val="none" w:sz="0" w:space="0" w:color="auto"/>
        <w:right w:val="none" w:sz="0" w:space="0" w:color="auto"/>
      </w:divBdr>
    </w:div>
    <w:div w:id="49966783">
      <w:bodyDiv w:val="1"/>
      <w:marLeft w:val="0"/>
      <w:marRight w:val="0"/>
      <w:marTop w:val="0"/>
      <w:marBottom w:val="0"/>
      <w:divBdr>
        <w:top w:val="none" w:sz="0" w:space="0" w:color="auto"/>
        <w:left w:val="none" w:sz="0" w:space="0" w:color="auto"/>
        <w:bottom w:val="none" w:sz="0" w:space="0" w:color="auto"/>
        <w:right w:val="none" w:sz="0" w:space="0" w:color="auto"/>
      </w:divBdr>
    </w:div>
    <w:div w:id="55399827">
      <w:bodyDiv w:val="1"/>
      <w:marLeft w:val="0"/>
      <w:marRight w:val="0"/>
      <w:marTop w:val="0"/>
      <w:marBottom w:val="0"/>
      <w:divBdr>
        <w:top w:val="none" w:sz="0" w:space="0" w:color="auto"/>
        <w:left w:val="none" w:sz="0" w:space="0" w:color="auto"/>
        <w:bottom w:val="none" w:sz="0" w:space="0" w:color="auto"/>
        <w:right w:val="none" w:sz="0" w:space="0" w:color="auto"/>
      </w:divBdr>
    </w:div>
    <w:div w:id="55663277">
      <w:bodyDiv w:val="1"/>
      <w:marLeft w:val="0"/>
      <w:marRight w:val="0"/>
      <w:marTop w:val="0"/>
      <w:marBottom w:val="0"/>
      <w:divBdr>
        <w:top w:val="none" w:sz="0" w:space="0" w:color="auto"/>
        <w:left w:val="none" w:sz="0" w:space="0" w:color="auto"/>
        <w:bottom w:val="none" w:sz="0" w:space="0" w:color="auto"/>
        <w:right w:val="none" w:sz="0" w:space="0" w:color="auto"/>
      </w:divBdr>
    </w:div>
    <w:div w:id="55974345">
      <w:bodyDiv w:val="1"/>
      <w:marLeft w:val="0"/>
      <w:marRight w:val="0"/>
      <w:marTop w:val="0"/>
      <w:marBottom w:val="0"/>
      <w:divBdr>
        <w:top w:val="none" w:sz="0" w:space="0" w:color="auto"/>
        <w:left w:val="none" w:sz="0" w:space="0" w:color="auto"/>
        <w:bottom w:val="none" w:sz="0" w:space="0" w:color="auto"/>
        <w:right w:val="none" w:sz="0" w:space="0" w:color="auto"/>
      </w:divBdr>
    </w:div>
    <w:div w:id="56322624">
      <w:bodyDiv w:val="1"/>
      <w:marLeft w:val="0"/>
      <w:marRight w:val="0"/>
      <w:marTop w:val="0"/>
      <w:marBottom w:val="0"/>
      <w:divBdr>
        <w:top w:val="none" w:sz="0" w:space="0" w:color="auto"/>
        <w:left w:val="none" w:sz="0" w:space="0" w:color="auto"/>
        <w:bottom w:val="none" w:sz="0" w:space="0" w:color="auto"/>
        <w:right w:val="none" w:sz="0" w:space="0" w:color="auto"/>
      </w:divBdr>
    </w:div>
    <w:div w:id="61804141">
      <w:bodyDiv w:val="1"/>
      <w:marLeft w:val="0"/>
      <w:marRight w:val="0"/>
      <w:marTop w:val="0"/>
      <w:marBottom w:val="0"/>
      <w:divBdr>
        <w:top w:val="none" w:sz="0" w:space="0" w:color="auto"/>
        <w:left w:val="none" w:sz="0" w:space="0" w:color="auto"/>
        <w:bottom w:val="none" w:sz="0" w:space="0" w:color="auto"/>
        <w:right w:val="none" w:sz="0" w:space="0" w:color="auto"/>
      </w:divBdr>
    </w:div>
    <w:div w:id="64887632">
      <w:bodyDiv w:val="1"/>
      <w:marLeft w:val="0"/>
      <w:marRight w:val="0"/>
      <w:marTop w:val="0"/>
      <w:marBottom w:val="0"/>
      <w:divBdr>
        <w:top w:val="none" w:sz="0" w:space="0" w:color="auto"/>
        <w:left w:val="none" w:sz="0" w:space="0" w:color="auto"/>
        <w:bottom w:val="none" w:sz="0" w:space="0" w:color="auto"/>
        <w:right w:val="none" w:sz="0" w:space="0" w:color="auto"/>
      </w:divBdr>
    </w:div>
    <w:div w:id="69013198">
      <w:bodyDiv w:val="1"/>
      <w:marLeft w:val="0"/>
      <w:marRight w:val="0"/>
      <w:marTop w:val="0"/>
      <w:marBottom w:val="0"/>
      <w:divBdr>
        <w:top w:val="none" w:sz="0" w:space="0" w:color="auto"/>
        <w:left w:val="none" w:sz="0" w:space="0" w:color="auto"/>
        <w:bottom w:val="none" w:sz="0" w:space="0" w:color="auto"/>
        <w:right w:val="none" w:sz="0" w:space="0" w:color="auto"/>
      </w:divBdr>
    </w:div>
    <w:div w:id="71201958">
      <w:bodyDiv w:val="1"/>
      <w:marLeft w:val="0"/>
      <w:marRight w:val="0"/>
      <w:marTop w:val="0"/>
      <w:marBottom w:val="0"/>
      <w:divBdr>
        <w:top w:val="none" w:sz="0" w:space="0" w:color="auto"/>
        <w:left w:val="none" w:sz="0" w:space="0" w:color="auto"/>
        <w:bottom w:val="none" w:sz="0" w:space="0" w:color="auto"/>
        <w:right w:val="none" w:sz="0" w:space="0" w:color="auto"/>
      </w:divBdr>
    </w:div>
    <w:div w:id="71583999">
      <w:bodyDiv w:val="1"/>
      <w:marLeft w:val="0"/>
      <w:marRight w:val="0"/>
      <w:marTop w:val="0"/>
      <w:marBottom w:val="0"/>
      <w:divBdr>
        <w:top w:val="none" w:sz="0" w:space="0" w:color="auto"/>
        <w:left w:val="none" w:sz="0" w:space="0" w:color="auto"/>
        <w:bottom w:val="none" w:sz="0" w:space="0" w:color="auto"/>
        <w:right w:val="none" w:sz="0" w:space="0" w:color="auto"/>
      </w:divBdr>
    </w:div>
    <w:div w:id="72049884">
      <w:bodyDiv w:val="1"/>
      <w:marLeft w:val="0"/>
      <w:marRight w:val="0"/>
      <w:marTop w:val="0"/>
      <w:marBottom w:val="0"/>
      <w:divBdr>
        <w:top w:val="none" w:sz="0" w:space="0" w:color="auto"/>
        <w:left w:val="none" w:sz="0" w:space="0" w:color="auto"/>
        <w:bottom w:val="none" w:sz="0" w:space="0" w:color="auto"/>
        <w:right w:val="none" w:sz="0" w:space="0" w:color="auto"/>
      </w:divBdr>
    </w:div>
    <w:div w:id="72745522">
      <w:bodyDiv w:val="1"/>
      <w:marLeft w:val="0"/>
      <w:marRight w:val="0"/>
      <w:marTop w:val="0"/>
      <w:marBottom w:val="0"/>
      <w:divBdr>
        <w:top w:val="none" w:sz="0" w:space="0" w:color="auto"/>
        <w:left w:val="none" w:sz="0" w:space="0" w:color="auto"/>
        <w:bottom w:val="none" w:sz="0" w:space="0" w:color="auto"/>
        <w:right w:val="none" w:sz="0" w:space="0" w:color="auto"/>
      </w:divBdr>
    </w:div>
    <w:div w:id="72900915">
      <w:bodyDiv w:val="1"/>
      <w:marLeft w:val="0"/>
      <w:marRight w:val="0"/>
      <w:marTop w:val="0"/>
      <w:marBottom w:val="0"/>
      <w:divBdr>
        <w:top w:val="none" w:sz="0" w:space="0" w:color="auto"/>
        <w:left w:val="none" w:sz="0" w:space="0" w:color="auto"/>
        <w:bottom w:val="none" w:sz="0" w:space="0" w:color="auto"/>
        <w:right w:val="none" w:sz="0" w:space="0" w:color="auto"/>
      </w:divBdr>
    </w:div>
    <w:div w:id="77559520">
      <w:bodyDiv w:val="1"/>
      <w:marLeft w:val="0"/>
      <w:marRight w:val="0"/>
      <w:marTop w:val="0"/>
      <w:marBottom w:val="0"/>
      <w:divBdr>
        <w:top w:val="none" w:sz="0" w:space="0" w:color="auto"/>
        <w:left w:val="none" w:sz="0" w:space="0" w:color="auto"/>
        <w:bottom w:val="none" w:sz="0" w:space="0" w:color="auto"/>
        <w:right w:val="none" w:sz="0" w:space="0" w:color="auto"/>
      </w:divBdr>
    </w:div>
    <w:div w:id="80109093">
      <w:bodyDiv w:val="1"/>
      <w:marLeft w:val="0"/>
      <w:marRight w:val="0"/>
      <w:marTop w:val="0"/>
      <w:marBottom w:val="0"/>
      <w:divBdr>
        <w:top w:val="none" w:sz="0" w:space="0" w:color="auto"/>
        <w:left w:val="none" w:sz="0" w:space="0" w:color="auto"/>
        <w:bottom w:val="none" w:sz="0" w:space="0" w:color="auto"/>
        <w:right w:val="none" w:sz="0" w:space="0" w:color="auto"/>
      </w:divBdr>
    </w:div>
    <w:div w:id="83108380">
      <w:bodyDiv w:val="1"/>
      <w:marLeft w:val="0"/>
      <w:marRight w:val="0"/>
      <w:marTop w:val="0"/>
      <w:marBottom w:val="0"/>
      <w:divBdr>
        <w:top w:val="none" w:sz="0" w:space="0" w:color="auto"/>
        <w:left w:val="none" w:sz="0" w:space="0" w:color="auto"/>
        <w:bottom w:val="none" w:sz="0" w:space="0" w:color="auto"/>
        <w:right w:val="none" w:sz="0" w:space="0" w:color="auto"/>
      </w:divBdr>
    </w:div>
    <w:div w:id="84352564">
      <w:bodyDiv w:val="1"/>
      <w:marLeft w:val="0"/>
      <w:marRight w:val="0"/>
      <w:marTop w:val="0"/>
      <w:marBottom w:val="0"/>
      <w:divBdr>
        <w:top w:val="none" w:sz="0" w:space="0" w:color="auto"/>
        <w:left w:val="none" w:sz="0" w:space="0" w:color="auto"/>
        <w:bottom w:val="none" w:sz="0" w:space="0" w:color="auto"/>
        <w:right w:val="none" w:sz="0" w:space="0" w:color="auto"/>
      </w:divBdr>
    </w:div>
    <w:div w:id="86537295">
      <w:bodyDiv w:val="1"/>
      <w:marLeft w:val="0"/>
      <w:marRight w:val="0"/>
      <w:marTop w:val="0"/>
      <w:marBottom w:val="0"/>
      <w:divBdr>
        <w:top w:val="none" w:sz="0" w:space="0" w:color="auto"/>
        <w:left w:val="none" w:sz="0" w:space="0" w:color="auto"/>
        <w:bottom w:val="none" w:sz="0" w:space="0" w:color="auto"/>
        <w:right w:val="none" w:sz="0" w:space="0" w:color="auto"/>
      </w:divBdr>
    </w:div>
    <w:div w:id="91703445">
      <w:bodyDiv w:val="1"/>
      <w:marLeft w:val="0"/>
      <w:marRight w:val="0"/>
      <w:marTop w:val="0"/>
      <w:marBottom w:val="0"/>
      <w:divBdr>
        <w:top w:val="none" w:sz="0" w:space="0" w:color="auto"/>
        <w:left w:val="none" w:sz="0" w:space="0" w:color="auto"/>
        <w:bottom w:val="none" w:sz="0" w:space="0" w:color="auto"/>
        <w:right w:val="none" w:sz="0" w:space="0" w:color="auto"/>
      </w:divBdr>
    </w:div>
    <w:div w:id="94638159">
      <w:bodyDiv w:val="1"/>
      <w:marLeft w:val="0"/>
      <w:marRight w:val="0"/>
      <w:marTop w:val="0"/>
      <w:marBottom w:val="0"/>
      <w:divBdr>
        <w:top w:val="none" w:sz="0" w:space="0" w:color="auto"/>
        <w:left w:val="none" w:sz="0" w:space="0" w:color="auto"/>
        <w:bottom w:val="none" w:sz="0" w:space="0" w:color="auto"/>
        <w:right w:val="none" w:sz="0" w:space="0" w:color="auto"/>
      </w:divBdr>
    </w:div>
    <w:div w:id="95105767">
      <w:bodyDiv w:val="1"/>
      <w:marLeft w:val="0"/>
      <w:marRight w:val="0"/>
      <w:marTop w:val="0"/>
      <w:marBottom w:val="0"/>
      <w:divBdr>
        <w:top w:val="none" w:sz="0" w:space="0" w:color="auto"/>
        <w:left w:val="none" w:sz="0" w:space="0" w:color="auto"/>
        <w:bottom w:val="none" w:sz="0" w:space="0" w:color="auto"/>
        <w:right w:val="none" w:sz="0" w:space="0" w:color="auto"/>
      </w:divBdr>
    </w:div>
    <w:div w:id="95256240">
      <w:bodyDiv w:val="1"/>
      <w:marLeft w:val="0"/>
      <w:marRight w:val="0"/>
      <w:marTop w:val="0"/>
      <w:marBottom w:val="0"/>
      <w:divBdr>
        <w:top w:val="none" w:sz="0" w:space="0" w:color="auto"/>
        <w:left w:val="none" w:sz="0" w:space="0" w:color="auto"/>
        <w:bottom w:val="none" w:sz="0" w:space="0" w:color="auto"/>
        <w:right w:val="none" w:sz="0" w:space="0" w:color="auto"/>
      </w:divBdr>
    </w:div>
    <w:div w:id="98647285">
      <w:bodyDiv w:val="1"/>
      <w:marLeft w:val="0"/>
      <w:marRight w:val="0"/>
      <w:marTop w:val="0"/>
      <w:marBottom w:val="0"/>
      <w:divBdr>
        <w:top w:val="none" w:sz="0" w:space="0" w:color="auto"/>
        <w:left w:val="none" w:sz="0" w:space="0" w:color="auto"/>
        <w:bottom w:val="none" w:sz="0" w:space="0" w:color="auto"/>
        <w:right w:val="none" w:sz="0" w:space="0" w:color="auto"/>
      </w:divBdr>
    </w:div>
    <w:div w:id="99882510">
      <w:bodyDiv w:val="1"/>
      <w:marLeft w:val="0"/>
      <w:marRight w:val="0"/>
      <w:marTop w:val="0"/>
      <w:marBottom w:val="0"/>
      <w:divBdr>
        <w:top w:val="none" w:sz="0" w:space="0" w:color="auto"/>
        <w:left w:val="none" w:sz="0" w:space="0" w:color="auto"/>
        <w:bottom w:val="none" w:sz="0" w:space="0" w:color="auto"/>
        <w:right w:val="none" w:sz="0" w:space="0" w:color="auto"/>
      </w:divBdr>
    </w:div>
    <w:div w:id="102110948">
      <w:bodyDiv w:val="1"/>
      <w:marLeft w:val="0"/>
      <w:marRight w:val="0"/>
      <w:marTop w:val="0"/>
      <w:marBottom w:val="0"/>
      <w:divBdr>
        <w:top w:val="none" w:sz="0" w:space="0" w:color="auto"/>
        <w:left w:val="none" w:sz="0" w:space="0" w:color="auto"/>
        <w:bottom w:val="none" w:sz="0" w:space="0" w:color="auto"/>
        <w:right w:val="none" w:sz="0" w:space="0" w:color="auto"/>
      </w:divBdr>
    </w:div>
    <w:div w:id="102118797">
      <w:bodyDiv w:val="1"/>
      <w:marLeft w:val="0"/>
      <w:marRight w:val="0"/>
      <w:marTop w:val="0"/>
      <w:marBottom w:val="0"/>
      <w:divBdr>
        <w:top w:val="none" w:sz="0" w:space="0" w:color="auto"/>
        <w:left w:val="none" w:sz="0" w:space="0" w:color="auto"/>
        <w:bottom w:val="none" w:sz="0" w:space="0" w:color="auto"/>
        <w:right w:val="none" w:sz="0" w:space="0" w:color="auto"/>
      </w:divBdr>
    </w:div>
    <w:div w:id="102119763">
      <w:bodyDiv w:val="1"/>
      <w:marLeft w:val="0"/>
      <w:marRight w:val="0"/>
      <w:marTop w:val="0"/>
      <w:marBottom w:val="0"/>
      <w:divBdr>
        <w:top w:val="none" w:sz="0" w:space="0" w:color="auto"/>
        <w:left w:val="none" w:sz="0" w:space="0" w:color="auto"/>
        <w:bottom w:val="none" w:sz="0" w:space="0" w:color="auto"/>
        <w:right w:val="none" w:sz="0" w:space="0" w:color="auto"/>
      </w:divBdr>
    </w:div>
    <w:div w:id="103379479">
      <w:bodyDiv w:val="1"/>
      <w:marLeft w:val="0"/>
      <w:marRight w:val="0"/>
      <w:marTop w:val="0"/>
      <w:marBottom w:val="0"/>
      <w:divBdr>
        <w:top w:val="none" w:sz="0" w:space="0" w:color="auto"/>
        <w:left w:val="none" w:sz="0" w:space="0" w:color="auto"/>
        <w:bottom w:val="none" w:sz="0" w:space="0" w:color="auto"/>
        <w:right w:val="none" w:sz="0" w:space="0" w:color="auto"/>
      </w:divBdr>
    </w:div>
    <w:div w:id="107166352">
      <w:bodyDiv w:val="1"/>
      <w:marLeft w:val="0"/>
      <w:marRight w:val="0"/>
      <w:marTop w:val="0"/>
      <w:marBottom w:val="0"/>
      <w:divBdr>
        <w:top w:val="none" w:sz="0" w:space="0" w:color="auto"/>
        <w:left w:val="none" w:sz="0" w:space="0" w:color="auto"/>
        <w:bottom w:val="none" w:sz="0" w:space="0" w:color="auto"/>
        <w:right w:val="none" w:sz="0" w:space="0" w:color="auto"/>
      </w:divBdr>
    </w:div>
    <w:div w:id="111479997">
      <w:bodyDiv w:val="1"/>
      <w:marLeft w:val="0"/>
      <w:marRight w:val="0"/>
      <w:marTop w:val="0"/>
      <w:marBottom w:val="0"/>
      <w:divBdr>
        <w:top w:val="none" w:sz="0" w:space="0" w:color="auto"/>
        <w:left w:val="none" w:sz="0" w:space="0" w:color="auto"/>
        <w:bottom w:val="none" w:sz="0" w:space="0" w:color="auto"/>
        <w:right w:val="none" w:sz="0" w:space="0" w:color="auto"/>
      </w:divBdr>
    </w:div>
    <w:div w:id="111705819">
      <w:bodyDiv w:val="1"/>
      <w:marLeft w:val="0"/>
      <w:marRight w:val="0"/>
      <w:marTop w:val="0"/>
      <w:marBottom w:val="0"/>
      <w:divBdr>
        <w:top w:val="none" w:sz="0" w:space="0" w:color="auto"/>
        <w:left w:val="none" w:sz="0" w:space="0" w:color="auto"/>
        <w:bottom w:val="none" w:sz="0" w:space="0" w:color="auto"/>
        <w:right w:val="none" w:sz="0" w:space="0" w:color="auto"/>
      </w:divBdr>
    </w:div>
    <w:div w:id="114757474">
      <w:bodyDiv w:val="1"/>
      <w:marLeft w:val="0"/>
      <w:marRight w:val="0"/>
      <w:marTop w:val="0"/>
      <w:marBottom w:val="0"/>
      <w:divBdr>
        <w:top w:val="none" w:sz="0" w:space="0" w:color="auto"/>
        <w:left w:val="none" w:sz="0" w:space="0" w:color="auto"/>
        <w:bottom w:val="none" w:sz="0" w:space="0" w:color="auto"/>
        <w:right w:val="none" w:sz="0" w:space="0" w:color="auto"/>
      </w:divBdr>
    </w:div>
    <w:div w:id="115606537">
      <w:bodyDiv w:val="1"/>
      <w:marLeft w:val="0"/>
      <w:marRight w:val="0"/>
      <w:marTop w:val="0"/>
      <w:marBottom w:val="0"/>
      <w:divBdr>
        <w:top w:val="none" w:sz="0" w:space="0" w:color="auto"/>
        <w:left w:val="none" w:sz="0" w:space="0" w:color="auto"/>
        <w:bottom w:val="none" w:sz="0" w:space="0" w:color="auto"/>
        <w:right w:val="none" w:sz="0" w:space="0" w:color="auto"/>
      </w:divBdr>
    </w:div>
    <w:div w:id="116293487">
      <w:bodyDiv w:val="1"/>
      <w:marLeft w:val="0"/>
      <w:marRight w:val="0"/>
      <w:marTop w:val="0"/>
      <w:marBottom w:val="0"/>
      <w:divBdr>
        <w:top w:val="none" w:sz="0" w:space="0" w:color="auto"/>
        <w:left w:val="none" w:sz="0" w:space="0" w:color="auto"/>
        <w:bottom w:val="none" w:sz="0" w:space="0" w:color="auto"/>
        <w:right w:val="none" w:sz="0" w:space="0" w:color="auto"/>
      </w:divBdr>
    </w:div>
    <w:div w:id="116796646">
      <w:bodyDiv w:val="1"/>
      <w:marLeft w:val="0"/>
      <w:marRight w:val="0"/>
      <w:marTop w:val="0"/>
      <w:marBottom w:val="0"/>
      <w:divBdr>
        <w:top w:val="none" w:sz="0" w:space="0" w:color="auto"/>
        <w:left w:val="none" w:sz="0" w:space="0" w:color="auto"/>
        <w:bottom w:val="none" w:sz="0" w:space="0" w:color="auto"/>
        <w:right w:val="none" w:sz="0" w:space="0" w:color="auto"/>
      </w:divBdr>
    </w:div>
    <w:div w:id="117576094">
      <w:bodyDiv w:val="1"/>
      <w:marLeft w:val="0"/>
      <w:marRight w:val="0"/>
      <w:marTop w:val="0"/>
      <w:marBottom w:val="0"/>
      <w:divBdr>
        <w:top w:val="none" w:sz="0" w:space="0" w:color="auto"/>
        <w:left w:val="none" w:sz="0" w:space="0" w:color="auto"/>
        <w:bottom w:val="none" w:sz="0" w:space="0" w:color="auto"/>
        <w:right w:val="none" w:sz="0" w:space="0" w:color="auto"/>
      </w:divBdr>
    </w:div>
    <w:div w:id="117649619">
      <w:bodyDiv w:val="1"/>
      <w:marLeft w:val="0"/>
      <w:marRight w:val="0"/>
      <w:marTop w:val="0"/>
      <w:marBottom w:val="0"/>
      <w:divBdr>
        <w:top w:val="none" w:sz="0" w:space="0" w:color="auto"/>
        <w:left w:val="none" w:sz="0" w:space="0" w:color="auto"/>
        <w:bottom w:val="none" w:sz="0" w:space="0" w:color="auto"/>
        <w:right w:val="none" w:sz="0" w:space="0" w:color="auto"/>
      </w:divBdr>
    </w:div>
    <w:div w:id="118648588">
      <w:bodyDiv w:val="1"/>
      <w:marLeft w:val="0"/>
      <w:marRight w:val="0"/>
      <w:marTop w:val="0"/>
      <w:marBottom w:val="0"/>
      <w:divBdr>
        <w:top w:val="none" w:sz="0" w:space="0" w:color="auto"/>
        <w:left w:val="none" w:sz="0" w:space="0" w:color="auto"/>
        <w:bottom w:val="none" w:sz="0" w:space="0" w:color="auto"/>
        <w:right w:val="none" w:sz="0" w:space="0" w:color="auto"/>
      </w:divBdr>
    </w:div>
    <w:div w:id="120538535">
      <w:bodyDiv w:val="1"/>
      <w:marLeft w:val="0"/>
      <w:marRight w:val="0"/>
      <w:marTop w:val="0"/>
      <w:marBottom w:val="0"/>
      <w:divBdr>
        <w:top w:val="none" w:sz="0" w:space="0" w:color="auto"/>
        <w:left w:val="none" w:sz="0" w:space="0" w:color="auto"/>
        <w:bottom w:val="none" w:sz="0" w:space="0" w:color="auto"/>
        <w:right w:val="none" w:sz="0" w:space="0" w:color="auto"/>
      </w:divBdr>
    </w:div>
    <w:div w:id="120848503">
      <w:bodyDiv w:val="1"/>
      <w:marLeft w:val="0"/>
      <w:marRight w:val="0"/>
      <w:marTop w:val="0"/>
      <w:marBottom w:val="0"/>
      <w:divBdr>
        <w:top w:val="none" w:sz="0" w:space="0" w:color="auto"/>
        <w:left w:val="none" w:sz="0" w:space="0" w:color="auto"/>
        <w:bottom w:val="none" w:sz="0" w:space="0" w:color="auto"/>
        <w:right w:val="none" w:sz="0" w:space="0" w:color="auto"/>
      </w:divBdr>
    </w:div>
    <w:div w:id="122619474">
      <w:bodyDiv w:val="1"/>
      <w:marLeft w:val="0"/>
      <w:marRight w:val="0"/>
      <w:marTop w:val="0"/>
      <w:marBottom w:val="0"/>
      <w:divBdr>
        <w:top w:val="none" w:sz="0" w:space="0" w:color="auto"/>
        <w:left w:val="none" w:sz="0" w:space="0" w:color="auto"/>
        <w:bottom w:val="none" w:sz="0" w:space="0" w:color="auto"/>
        <w:right w:val="none" w:sz="0" w:space="0" w:color="auto"/>
      </w:divBdr>
    </w:div>
    <w:div w:id="122698108">
      <w:bodyDiv w:val="1"/>
      <w:marLeft w:val="0"/>
      <w:marRight w:val="0"/>
      <w:marTop w:val="0"/>
      <w:marBottom w:val="0"/>
      <w:divBdr>
        <w:top w:val="none" w:sz="0" w:space="0" w:color="auto"/>
        <w:left w:val="none" w:sz="0" w:space="0" w:color="auto"/>
        <w:bottom w:val="none" w:sz="0" w:space="0" w:color="auto"/>
        <w:right w:val="none" w:sz="0" w:space="0" w:color="auto"/>
      </w:divBdr>
    </w:div>
    <w:div w:id="127673347">
      <w:bodyDiv w:val="1"/>
      <w:marLeft w:val="0"/>
      <w:marRight w:val="0"/>
      <w:marTop w:val="0"/>
      <w:marBottom w:val="0"/>
      <w:divBdr>
        <w:top w:val="none" w:sz="0" w:space="0" w:color="auto"/>
        <w:left w:val="none" w:sz="0" w:space="0" w:color="auto"/>
        <w:bottom w:val="none" w:sz="0" w:space="0" w:color="auto"/>
        <w:right w:val="none" w:sz="0" w:space="0" w:color="auto"/>
      </w:divBdr>
    </w:div>
    <w:div w:id="129565162">
      <w:bodyDiv w:val="1"/>
      <w:marLeft w:val="0"/>
      <w:marRight w:val="0"/>
      <w:marTop w:val="0"/>
      <w:marBottom w:val="0"/>
      <w:divBdr>
        <w:top w:val="none" w:sz="0" w:space="0" w:color="auto"/>
        <w:left w:val="none" w:sz="0" w:space="0" w:color="auto"/>
        <w:bottom w:val="none" w:sz="0" w:space="0" w:color="auto"/>
        <w:right w:val="none" w:sz="0" w:space="0" w:color="auto"/>
      </w:divBdr>
    </w:div>
    <w:div w:id="130946127">
      <w:bodyDiv w:val="1"/>
      <w:marLeft w:val="0"/>
      <w:marRight w:val="0"/>
      <w:marTop w:val="0"/>
      <w:marBottom w:val="0"/>
      <w:divBdr>
        <w:top w:val="none" w:sz="0" w:space="0" w:color="auto"/>
        <w:left w:val="none" w:sz="0" w:space="0" w:color="auto"/>
        <w:bottom w:val="none" w:sz="0" w:space="0" w:color="auto"/>
        <w:right w:val="none" w:sz="0" w:space="0" w:color="auto"/>
      </w:divBdr>
    </w:div>
    <w:div w:id="132646741">
      <w:bodyDiv w:val="1"/>
      <w:marLeft w:val="0"/>
      <w:marRight w:val="0"/>
      <w:marTop w:val="0"/>
      <w:marBottom w:val="0"/>
      <w:divBdr>
        <w:top w:val="none" w:sz="0" w:space="0" w:color="auto"/>
        <w:left w:val="none" w:sz="0" w:space="0" w:color="auto"/>
        <w:bottom w:val="none" w:sz="0" w:space="0" w:color="auto"/>
        <w:right w:val="none" w:sz="0" w:space="0" w:color="auto"/>
      </w:divBdr>
    </w:div>
    <w:div w:id="135952151">
      <w:bodyDiv w:val="1"/>
      <w:marLeft w:val="0"/>
      <w:marRight w:val="0"/>
      <w:marTop w:val="0"/>
      <w:marBottom w:val="0"/>
      <w:divBdr>
        <w:top w:val="none" w:sz="0" w:space="0" w:color="auto"/>
        <w:left w:val="none" w:sz="0" w:space="0" w:color="auto"/>
        <w:bottom w:val="none" w:sz="0" w:space="0" w:color="auto"/>
        <w:right w:val="none" w:sz="0" w:space="0" w:color="auto"/>
      </w:divBdr>
    </w:div>
    <w:div w:id="137916762">
      <w:bodyDiv w:val="1"/>
      <w:marLeft w:val="0"/>
      <w:marRight w:val="0"/>
      <w:marTop w:val="0"/>
      <w:marBottom w:val="0"/>
      <w:divBdr>
        <w:top w:val="none" w:sz="0" w:space="0" w:color="auto"/>
        <w:left w:val="none" w:sz="0" w:space="0" w:color="auto"/>
        <w:bottom w:val="none" w:sz="0" w:space="0" w:color="auto"/>
        <w:right w:val="none" w:sz="0" w:space="0" w:color="auto"/>
      </w:divBdr>
    </w:div>
    <w:div w:id="139151559">
      <w:bodyDiv w:val="1"/>
      <w:marLeft w:val="0"/>
      <w:marRight w:val="0"/>
      <w:marTop w:val="0"/>
      <w:marBottom w:val="0"/>
      <w:divBdr>
        <w:top w:val="none" w:sz="0" w:space="0" w:color="auto"/>
        <w:left w:val="none" w:sz="0" w:space="0" w:color="auto"/>
        <w:bottom w:val="none" w:sz="0" w:space="0" w:color="auto"/>
        <w:right w:val="none" w:sz="0" w:space="0" w:color="auto"/>
      </w:divBdr>
    </w:div>
    <w:div w:id="140319166">
      <w:bodyDiv w:val="1"/>
      <w:marLeft w:val="0"/>
      <w:marRight w:val="0"/>
      <w:marTop w:val="0"/>
      <w:marBottom w:val="0"/>
      <w:divBdr>
        <w:top w:val="none" w:sz="0" w:space="0" w:color="auto"/>
        <w:left w:val="none" w:sz="0" w:space="0" w:color="auto"/>
        <w:bottom w:val="none" w:sz="0" w:space="0" w:color="auto"/>
        <w:right w:val="none" w:sz="0" w:space="0" w:color="auto"/>
      </w:divBdr>
    </w:div>
    <w:div w:id="143593483">
      <w:bodyDiv w:val="1"/>
      <w:marLeft w:val="0"/>
      <w:marRight w:val="0"/>
      <w:marTop w:val="0"/>
      <w:marBottom w:val="0"/>
      <w:divBdr>
        <w:top w:val="none" w:sz="0" w:space="0" w:color="auto"/>
        <w:left w:val="none" w:sz="0" w:space="0" w:color="auto"/>
        <w:bottom w:val="none" w:sz="0" w:space="0" w:color="auto"/>
        <w:right w:val="none" w:sz="0" w:space="0" w:color="auto"/>
      </w:divBdr>
    </w:div>
    <w:div w:id="144010218">
      <w:bodyDiv w:val="1"/>
      <w:marLeft w:val="0"/>
      <w:marRight w:val="0"/>
      <w:marTop w:val="0"/>
      <w:marBottom w:val="0"/>
      <w:divBdr>
        <w:top w:val="none" w:sz="0" w:space="0" w:color="auto"/>
        <w:left w:val="none" w:sz="0" w:space="0" w:color="auto"/>
        <w:bottom w:val="none" w:sz="0" w:space="0" w:color="auto"/>
        <w:right w:val="none" w:sz="0" w:space="0" w:color="auto"/>
      </w:divBdr>
    </w:div>
    <w:div w:id="144585760">
      <w:bodyDiv w:val="1"/>
      <w:marLeft w:val="0"/>
      <w:marRight w:val="0"/>
      <w:marTop w:val="0"/>
      <w:marBottom w:val="0"/>
      <w:divBdr>
        <w:top w:val="none" w:sz="0" w:space="0" w:color="auto"/>
        <w:left w:val="none" w:sz="0" w:space="0" w:color="auto"/>
        <w:bottom w:val="none" w:sz="0" w:space="0" w:color="auto"/>
        <w:right w:val="none" w:sz="0" w:space="0" w:color="auto"/>
      </w:divBdr>
    </w:div>
    <w:div w:id="145971482">
      <w:bodyDiv w:val="1"/>
      <w:marLeft w:val="0"/>
      <w:marRight w:val="0"/>
      <w:marTop w:val="0"/>
      <w:marBottom w:val="0"/>
      <w:divBdr>
        <w:top w:val="none" w:sz="0" w:space="0" w:color="auto"/>
        <w:left w:val="none" w:sz="0" w:space="0" w:color="auto"/>
        <w:bottom w:val="none" w:sz="0" w:space="0" w:color="auto"/>
        <w:right w:val="none" w:sz="0" w:space="0" w:color="auto"/>
      </w:divBdr>
    </w:div>
    <w:div w:id="146367308">
      <w:bodyDiv w:val="1"/>
      <w:marLeft w:val="0"/>
      <w:marRight w:val="0"/>
      <w:marTop w:val="0"/>
      <w:marBottom w:val="0"/>
      <w:divBdr>
        <w:top w:val="none" w:sz="0" w:space="0" w:color="auto"/>
        <w:left w:val="none" w:sz="0" w:space="0" w:color="auto"/>
        <w:bottom w:val="none" w:sz="0" w:space="0" w:color="auto"/>
        <w:right w:val="none" w:sz="0" w:space="0" w:color="auto"/>
      </w:divBdr>
    </w:div>
    <w:div w:id="146636177">
      <w:bodyDiv w:val="1"/>
      <w:marLeft w:val="0"/>
      <w:marRight w:val="0"/>
      <w:marTop w:val="0"/>
      <w:marBottom w:val="0"/>
      <w:divBdr>
        <w:top w:val="none" w:sz="0" w:space="0" w:color="auto"/>
        <w:left w:val="none" w:sz="0" w:space="0" w:color="auto"/>
        <w:bottom w:val="none" w:sz="0" w:space="0" w:color="auto"/>
        <w:right w:val="none" w:sz="0" w:space="0" w:color="auto"/>
      </w:divBdr>
    </w:div>
    <w:div w:id="148718076">
      <w:bodyDiv w:val="1"/>
      <w:marLeft w:val="0"/>
      <w:marRight w:val="0"/>
      <w:marTop w:val="0"/>
      <w:marBottom w:val="0"/>
      <w:divBdr>
        <w:top w:val="none" w:sz="0" w:space="0" w:color="auto"/>
        <w:left w:val="none" w:sz="0" w:space="0" w:color="auto"/>
        <w:bottom w:val="none" w:sz="0" w:space="0" w:color="auto"/>
        <w:right w:val="none" w:sz="0" w:space="0" w:color="auto"/>
      </w:divBdr>
    </w:div>
    <w:div w:id="150143031">
      <w:bodyDiv w:val="1"/>
      <w:marLeft w:val="0"/>
      <w:marRight w:val="0"/>
      <w:marTop w:val="0"/>
      <w:marBottom w:val="0"/>
      <w:divBdr>
        <w:top w:val="none" w:sz="0" w:space="0" w:color="auto"/>
        <w:left w:val="none" w:sz="0" w:space="0" w:color="auto"/>
        <w:bottom w:val="none" w:sz="0" w:space="0" w:color="auto"/>
        <w:right w:val="none" w:sz="0" w:space="0" w:color="auto"/>
      </w:divBdr>
    </w:div>
    <w:div w:id="150606010">
      <w:bodyDiv w:val="1"/>
      <w:marLeft w:val="0"/>
      <w:marRight w:val="0"/>
      <w:marTop w:val="0"/>
      <w:marBottom w:val="0"/>
      <w:divBdr>
        <w:top w:val="none" w:sz="0" w:space="0" w:color="auto"/>
        <w:left w:val="none" w:sz="0" w:space="0" w:color="auto"/>
        <w:bottom w:val="none" w:sz="0" w:space="0" w:color="auto"/>
        <w:right w:val="none" w:sz="0" w:space="0" w:color="auto"/>
      </w:divBdr>
    </w:div>
    <w:div w:id="152532573">
      <w:bodyDiv w:val="1"/>
      <w:marLeft w:val="0"/>
      <w:marRight w:val="0"/>
      <w:marTop w:val="0"/>
      <w:marBottom w:val="0"/>
      <w:divBdr>
        <w:top w:val="none" w:sz="0" w:space="0" w:color="auto"/>
        <w:left w:val="none" w:sz="0" w:space="0" w:color="auto"/>
        <w:bottom w:val="none" w:sz="0" w:space="0" w:color="auto"/>
        <w:right w:val="none" w:sz="0" w:space="0" w:color="auto"/>
      </w:divBdr>
    </w:div>
    <w:div w:id="155651463">
      <w:bodyDiv w:val="1"/>
      <w:marLeft w:val="0"/>
      <w:marRight w:val="0"/>
      <w:marTop w:val="0"/>
      <w:marBottom w:val="0"/>
      <w:divBdr>
        <w:top w:val="none" w:sz="0" w:space="0" w:color="auto"/>
        <w:left w:val="none" w:sz="0" w:space="0" w:color="auto"/>
        <w:bottom w:val="none" w:sz="0" w:space="0" w:color="auto"/>
        <w:right w:val="none" w:sz="0" w:space="0" w:color="auto"/>
      </w:divBdr>
    </w:div>
    <w:div w:id="159079802">
      <w:bodyDiv w:val="1"/>
      <w:marLeft w:val="0"/>
      <w:marRight w:val="0"/>
      <w:marTop w:val="0"/>
      <w:marBottom w:val="0"/>
      <w:divBdr>
        <w:top w:val="none" w:sz="0" w:space="0" w:color="auto"/>
        <w:left w:val="none" w:sz="0" w:space="0" w:color="auto"/>
        <w:bottom w:val="none" w:sz="0" w:space="0" w:color="auto"/>
        <w:right w:val="none" w:sz="0" w:space="0" w:color="auto"/>
      </w:divBdr>
    </w:div>
    <w:div w:id="159977225">
      <w:bodyDiv w:val="1"/>
      <w:marLeft w:val="0"/>
      <w:marRight w:val="0"/>
      <w:marTop w:val="0"/>
      <w:marBottom w:val="0"/>
      <w:divBdr>
        <w:top w:val="none" w:sz="0" w:space="0" w:color="auto"/>
        <w:left w:val="none" w:sz="0" w:space="0" w:color="auto"/>
        <w:bottom w:val="none" w:sz="0" w:space="0" w:color="auto"/>
        <w:right w:val="none" w:sz="0" w:space="0" w:color="auto"/>
      </w:divBdr>
    </w:div>
    <w:div w:id="161315679">
      <w:bodyDiv w:val="1"/>
      <w:marLeft w:val="0"/>
      <w:marRight w:val="0"/>
      <w:marTop w:val="0"/>
      <w:marBottom w:val="0"/>
      <w:divBdr>
        <w:top w:val="none" w:sz="0" w:space="0" w:color="auto"/>
        <w:left w:val="none" w:sz="0" w:space="0" w:color="auto"/>
        <w:bottom w:val="none" w:sz="0" w:space="0" w:color="auto"/>
        <w:right w:val="none" w:sz="0" w:space="0" w:color="auto"/>
      </w:divBdr>
    </w:div>
    <w:div w:id="162013300">
      <w:bodyDiv w:val="1"/>
      <w:marLeft w:val="0"/>
      <w:marRight w:val="0"/>
      <w:marTop w:val="0"/>
      <w:marBottom w:val="0"/>
      <w:divBdr>
        <w:top w:val="none" w:sz="0" w:space="0" w:color="auto"/>
        <w:left w:val="none" w:sz="0" w:space="0" w:color="auto"/>
        <w:bottom w:val="none" w:sz="0" w:space="0" w:color="auto"/>
        <w:right w:val="none" w:sz="0" w:space="0" w:color="auto"/>
      </w:divBdr>
    </w:div>
    <w:div w:id="164319284">
      <w:bodyDiv w:val="1"/>
      <w:marLeft w:val="0"/>
      <w:marRight w:val="0"/>
      <w:marTop w:val="0"/>
      <w:marBottom w:val="0"/>
      <w:divBdr>
        <w:top w:val="none" w:sz="0" w:space="0" w:color="auto"/>
        <w:left w:val="none" w:sz="0" w:space="0" w:color="auto"/>
        <w:bottom w:val="none" w:sz="0" w:space="0" w:color="auto"/>
        <w:right w:val="none" w:sz="0" w:space="0" w:color="auto"/>
      </w:divBdr>
    </w:div>
    <w:div w:id="169563829">
      <w:bodyDiv w:val="1"/>
      <w:marLeft w:val="0"/>
      <w:marRight w:val="0"/>
      <w:marTop w:val="0"/>
      <w:marBottom w:val="0"/>
      <w:divBdr>
        <w:top w:val="none" w:sz="0" w:space="0" w:color="auto"/>
        <w:left w:val="none" w:sz="0" w:space="0" w:color="auto"/>
        <w:bottom w:val="none" w:sz="0" w:space="0" w:color="auto"/>
        <w:right w:val="none" w:sz="0" w:space="0" w:color="auto"/>
      </w:divBdr>
    </w:div>
    <w:div w:id="170292197">
      <w:bodyDiv w:val="1"/>
      <w:marLeft w:val="0"/>
      <w:marRight w:val="0"/>
      <w:marTop w:val="0"/>
      <w:marBottom w:val="0"/>
      <w:divBdr>
        <w:top w:val="none" w:sz="0" w:space="0" w:color="auto"/>
        <w:left w:val="none" w:sz="0" w:space="0" w:color="auto"/>
        <w:bottom w:val="none" w:sz="0" w:space="0" w:color="auto"/>
        <w:right w:val="none" w:sz="0" w:space="0" w:color="auto"/>
      </w:divBdr>
    </w:div>
    <w:div w:id="170527912">
      <w:bodyDiv w:val="1"/>
      <w:marLeft w:val="0"/>
      <w:marRight w:val="0"/>
      <w:marTop w:val="0"/>
      <w:marBottom w:val="0"/>
      <w:divBdr>
        <w:top w:val="none" w:sz="0" w:space="0" w:color="auto"/>
        <w:left w:val="none" w:sz="0" w:space="0" w:color="auto"/>
        <w:bottom w:val="none" w:sz="0" w:space="0" w:color="auto"/>
        <w:right w:val="none" w:sz="0" w:space="0" w:color="auto"/>
      </w:divBdr>
    </w:div>
    <w:div w:id="171801741">
      <w:bodyDiv w:val="1"/>
      <w:marLeft w:val="0"/>
      <w:marRight w:val="0"/>
      <w:marTop w:val="0"/>
      <w:marBottom w:val="0"/>
      <w:divBdr>
        <w:top w:val="none" w:sz="0" w:space="0" w:color="auto"/>
        <w:left w:val="none" w:sz="0" w:space="0" w:color="auto"/>
        <w:bottom w:val="none" w:sz="0" w:space="0" w:color="auto"/>
        <w:right w:val="none" w:sz="0" w:space="0" w:color="auto"/>
      </w:divBdr>
    </w:div>
    <w:div w:id="172496888">
      <w:bodyDiv w:val="1"/>
      <w:marLeft w:val="0"/>
      <w:marRight w:val="0"/>
      <w:marTop w:val="0"/>
      <w:marBottom w:val="0"/>
      <w:divBdr>
        <w:top w:val="none" w:sz="0" w:space="0" w:color="auto"/>
        <w:left w:val="none" w:sz="0" w:space="0" w:color="auto"/>
        <w:bottom w:val="none" w:sz="0" w:space="0" w:color="auto"/>
        <w:right w:val="none" w:sz="0" w:space="0" w:color="auto"/>
      </w:divBdr>
    </w:div>
    <w:div w:id="174881782">
      <w:bodyDiv w:val="1"/>
      <w:marLeft w:val="0"/>
      <w:marRight w:val="0"/>
      <w:marTop w:val="0"/>
      <w:marBottom w:val="0"/>
      <w:divBdr>
        <w:top w:val="none" w:sz="0" w:space="0" w:color="auto"/>
        <w:left w:val="none" w:sz="0" w:space="0" w:color="auto"/>
        <w:bottom w:val="none" w:sz="0" w:space="0" w:color="auto"/>
        <w:right w:val="none" w:sz="0" w:space="0" w:color="auto"/>
      </w:divBdr>
    </w:div>
    <w:div w:id="175853358">
      <w:bodyDiv w:val="1"/>
      <w:marLeft w:val="0"/>
      <w:marRight w:val="0"/>
      <w:marTop w:val="0"/>
      <w:marBottom w:val="0"/>
      <w:divBdr>
        <w:top w:val="none" w:sz="0" w:space="0" w:color="auto"/>
        <w:left w:val="none" w:sz="0" w:space="0" w:color="auto"/>
        <w:bottom w:val="none" w:sz="0" w:space="0" w:color="auto"/>
        <w:right w:val="none" w:sz="0" w:space="0" w:color="auto"/>
      </w:divBdr>
    </w:div>
    <w:div w:id="176358252">
      <w:bodyDiv w:val="1"/>
      <w:marLeft w:val="0"/>
      <w:marRight w:val="0"/>
      <w:marTop w:val="0"/>
      <w:marBottom w:val="0"/>
      <w:divBdr>
        <w:top w:val="none" w:sz="0" w:space="0" w:color="auto"/>
        <w:left w:val="none" w:sz="0" w:space="0" w:color="auto"/>
        <w:bottom w:val="none" w:sz="0" w:space="0" w:color="auto"/>
        <w:right w:val="none" w:sz="0" w:space="0" w:color="auto"/>
      </w:divBdr>
    </w:div>
    <w:div w:id="179509678">
      <w:bodyDiv w:val="1"/>
      <w:marLeft w:val="0"/>
      <w:marRight w:val="0"/>
      <w:marTop w:val="0"/>
      <w:marBottom w:val="0"/>
      <w:divBdr>
        <w:top w:val="none" w:sz="0" w:space="0" w:color="auto"/>
        <w:left w:val="none" w:sz="0" w:space="0" w:color="auto"/>
        <w:bottom w:val="none" w:sz="0" w:space="0" w:color="auto"/>
        <w:right w:val="none" w:sz="0" w:space="0" w:color="auto"/>
      </w:divBdr>
    </w:div>
    <w:div w:id="182011960">
      <w:bodyDiv w:val="1"/>
      <w:marLeft w:val="0"/>
      <w:marRight w:val="0"/>
      <w:marTop w:val="0"/>
      <w:marBottom w:val="0"/>
      <w:divBdr>
        <w:top w:val="none" w:sz="0" w:space="0" w:color="auto"/>
        <w:left w:val="none" w:sz="0" w:space="0" w:color="auto"/>
        <w:bottom w:val="none" w:sz="0" w:space="0" w:color="auto"/>
        <w:right w:val="none" w:sz="0" w:space="0" w:color="auto"/>
      </w:divBdr>
    </w:div>
    <w:div w:id="185677728">
      <w:bodyDiv w:val="1"/>
      <w:marLeft w:val="0"/>
      <w:marRight w:val="0"/>
      <w:marTop w:val="0"/>
      <w:marBottom w:val="0"/>
      <w:divBdr>
        <w:top w:val="none" w:sz="0" w:space="0" w:color="auto"/>
        <w:left w:val="none" w:sz="0" w:space="0" w:color="auto"/>
        <w:bottom w:val="none" w:sz="0" w:space="0" w:color="auto"/>
        <w:right w:val="none" w:sz="0" w:space="0" w:color="auto"/>
      </w:divBdr>
    </w:div>
    <w:div w:id="186601775">
      <w:bodyDiv w:val="1"/>
      <w:marLeft w:val="0"/>
      <w:marRight w:val="0"/>
      <w:marTop w:val="0"/>
      <w:marBottom w:val="0"/>
      <w:divBdr>
        <w:top w:val="none" w:sz="0" w:space="0" w:color="auto"/>
        <w:left w:val="none" w:sz="0" w:space="0" w:color="auto"/>
        <w:bottom w:val="none" w:sz="0" w:space="0" w:color="auto"/>
        <w:right w:val="none" w:sz="0" w:space="0" w:color="auto"/>
      </w:divBdr>
    </w:div>
    <w:div w:id="186605878">
      <w:bodyDiv w:val="1"/>
      <w:marLeft w:val="0"/>
      <w:marRight w:val="0"/>
      <w:marTop w:val="0"/>
      <w:marBottom w:val="0"/>
      <w:divBdr>
        <w:top w:val="none" w:sz="0" w:space="0" w:color="auto"/>
        <w:left w:val="none" w:sz="0" w:space="0" w:color="auto"/>
        <w:bottom w:val="none" w:sz="0" w:space="0" w:color="auto"/>
        <w:right w:val="none" w:sz="0" w:space="0" w:color="auto"/>
      </w:divBdr>
    </w:div>
    <w:div w:id="186993334">
      <w:bodyDiv w:val="1"/>
      <w:marLeft w:val="0"/>
      <w:marRight w:val="0"/>
      <w:marTop w:val="0"/>
      <w:marBottom w:val="0"/>
      <w:divBdr>
        <w:top w:val="none" w:sz="0" w:space="0" w:color="auto"/>
        <w:left w:val="none" w:sz="0" w:space="0" w:color="auto"/>
        <w:bottom w:val="none" w:sz="0" w:space="0" w:color="auto"/>
        <w:right w:val="none" w:sz="0" w:space="0" w:color="auto"/>
      </w:divBdr>
    </w:div>
    <w:div w:id="187258385">
      <w:bodyDiv w:val="1"/>
      <w:marLeft w:val="0"/>
      <w:marRight w:val="0"/>
      <w:marTop w:val="0"/>
      <w:marBottom w:val="0"/>
      <w:divBdr>
        <w:top w:val="none" w:sz="0" w:space="0" w:color="auto"/>
        <w:left w:val="none" w:sz="0" w:space="0" w:color="auto"/>
        <w:bottom w:val="none" w:sz="0" w:space="0" w:color="auto"/>
        <w:right w:val="none" w:sz="0" w:space="0" w:color="auto"/>
      </w:divBdr>
    </w:div>
    <w:div w:id="187375622">
      <w:bodyDiv w:val="1"/>
      <w:marLeft w:val="0"/>
      <w:marRight w:val="0"/>
      <w:marTop w:val="0"/>
      <w:marBottom w:val="0"/>
      <w:divBdr>
        <w:top w:val="none" w:sz="0" w:space="0" w:color="auto"/>
        <w:left w:val="none" w:sz="0" w:space="0" w:color="auto"/>
        <w:bottom w:val="none" w:sz="0" w:space="0" w:color="auto"/>
        <w:right w:val="none" w:sz="0" w:space="0" w:color="auto"/>
      </w:divBdr>
    </w:div>
    <w:div w:id="189530454">
      <w:bodyDiv w:val="1"/>
      <w:marLeft w:val="0"/>
      <w:marRight w:val="0"/>
      <w:marTop w:val="0"/>
      <w:marBottom w:val="0"/>
      <w:divBdr>
        <w:top w:val="none" w:sz="0" w:space="0" w:color="auto"/>
        <w:left w:val="none" w:sz="0" w:space="0" w:color="auto"/>
        <w:bottom w:val="none" w:sz="0" w:space="0" w:color="auto"/>
        <w:right w:val="none" w:sz="0" w:space="0" w:color="auto"/>
      </w:divBdr>
    </w:div>
    <w:div w:id="190345593">
      <w:bodyDiv w:val="1"/>
      <w:marLeft w:val="0"/>
      <w:marRight w:val="0"/>
      <w:marTop w:val="0"/>
      <w:marBottom w:val="0"/>
      <w:divBdr>
        <w:top w:val="none" w:sz="0" w:space="0" w:color="auto"/>
        <w:left w:val="none" w:sz="0" w:space="0" w:color="auto"/>
        <w:bottom w:val="none" w:sz="0" w:space="0" w:color="auto"/>
        <w:right w:val="none" w:sz="0" w:space="0" w:color="auto"/>
      </w:divBdr>
    </w:div>
    <w:div w:id="190730491">
      <w:bodyDiv w:val="1"/>
      <w:marLeft w:val="0"/>
      <w:marRight w:val="0"/>
      <w:marTop w:val="0"/>
      <w:marBottom w:val="0"/>
      <w:divBdr>
        <w:top w:val="none" w:sz="0" w:space="0" w:color="auto"/>
        <w:left w:val="none" w:sz="0" w:space="0" w:color="auto"/>
        <w:bottom w:val="none" w:sz="0" w:space="0" w:color="auto"/>
        <w:right w:val="none" w:sz="0" w:space="0" w:color="auto"/>
      </w:divBdr>
    </w:div>
    <w:div w:id="191308085">
      <w:bodyDiv w:val="1"/>
      <w:marLeft w:val="0"/>
      <w:marRight w:val="0"/>
      <w:marTop w:val="0"/>
      <w:marBottom w:val="0"/>
      <w:divBdr>
        <w:top w:val="none" w:sz="0" w:space="0" w:color="auto"/>
        <w:left w:val="none" w:sz="0" w:space="0" w:color="auto"/>
        <w:bottom w:val="none" w:sz="0" w:space="0" w:color="auto"/>
        <w:right w:val="none" w:sz="0" w:space="0" w:color="auto"/>
      </w:divBdr>
    </w:div>
    <w:div w:id="194393340">
      <w:bodyDiv w:val="1"/>
      <w:marLeft w:val="0"/>
      <w:marRight w:val="0"/>
      <w:marTop w:val="0"/>
      <w:marBottom w:val="0"/>
      <w:divBdr>
        <w:top w:val="none" w:sz="0" w:space="0" w:color="auto"/>
        <w:left w:val="none" w:sz="0" w:space="0" w:color="auto"/>
        <w:bottom w:val="none" w:sz="0" w:space="0" w:color="auto"/>
        <w:right w:val="none" w:sz="0" w:space="0" w:color="auto"/>
      </w:divBdr>
    </w:div>
    <w:div w:id="195049830">
      <w:bodyDiv w:val="1"/>
      <w:marLeft w:val="0"/>
      <w:marRight w:val="0"/>
      <w:marTop w:val="0"/>
      <w:marBottom w:val="0"/>
      <w:divBdr>
        <w:top w:val="none" w:sz="0" w:space="0" w:color="auto"/>
        <w:left w:val="none" w:sz="0" w:space="0" w:color="auto"/>
        <w:bottom w:val="none" w:sz="0" w:space="0" w:color="auto"/>
        <w:right w:val="none" w:sz="0" w:space="0" w:color="auto"/>
      </w:divBdr>
    </w:div>
    <w:div w:id="195193517">
      <w:bodyDiv w:val="1"/>
      <w:marLeft w:val="0"/>
      <w:marRight w:val="0"/>
      <w:marTop w:val="0"/>
      <w:marBottom w:val="0"/>
      <w:divBdr>
        <w:top w:val="none" w:sz="0" w:space="0" w:color="auto"/>
        <w:left w:val="none" w:sz="0" w:space="0" w:color="auto"/>
        <w:bottom w:val="none" w:sz="0" w:space="0" w:color="auto"/>
        <w:right w:val="none" w:sz="0" w:space="0" w:color="auto"/>
      </w:divBdr>
    </w:div>
    <w:div w:id="195312244">
      <w:bodyDiv w:val="1"/>
      <w:marLeft w:val="0"/>
      <w:marRight w:val="0"/>
      <w:marTop w:val="0"/>
      <w:marBottom w:val="0"/>
      <w:divBdr>
        <w:top w:val="none" w:sz="0" w:space="0" w:color="auto"/>
        <w:left w:val="none" w:sz="0" w:space="0" w:color="auto"/>
        <w:bottom w:val="none" w:sz="0" w:space="0" w:color="auto"/>
        <w:right w:val="none" w:sz="0" w:space="0" w:color="auto"/>
      </w:divBdr>
    </w:div>
    <w:div w:id="196508694">
      <w:bodyDiv w:val="1"/>
      <w:marLeft w:val="0"/>
      <w:marRight w:val="0"/>
      <w:marTop w:val="0"/>
      <w:marBottom w:val="0"/>
      <w:divBdr>
        <w:top w:val="none" w:sz="0" w:space="0" w:color="auto"/>
        <w:left w:val="none" w:sz="0" w:space="0" w:color="auto"/>
        <w:bottom w:val="none" w:sz="0" w:space="0" w:color="auto"/>
        <w:right w:val="none" w:sz="0" w:space="0" w:color="auto"/>
      </w:divBdr>
    </w:div>
    <w:div w:id="197662914">
      <w:bodyDiv w:val="1"/>
      <w:marLeft w:val="0"/>
      <w:marRight w:val="0"/>
      <w:marTop w:val="0"/>
      <w:marBottom w:val="0"/>
      <w:divBdr>
        <w:top w:val="none" w:sz="0" w:space="0" w:color="auto"/>
        <w:left w:val="none" w:sz="0" w:space="0" w:color="auto"/>
        <w:bottom w:val="none" w:sz="0" w:space="0" w:color="auto"/>
        <w:right w:val="none" w:sz="0" w:space="0" w:color="auto"/>
      </w:divBdr>
    </w:div>
    <w:div w:id="202134763">
      <w:bodyDiv w:val="1"/>
      <w:marLeft w:val="0"/>
      <w:marRight w:val="0"/>
      <w:marTop w:val="0"/>
      <w:marBottom w:val="0"/>
      <w:divBdr>
        <w:top w:val="none" w:sz="0" w:space="0" w:color="auto"/>
        <w:left w:val="none" w:sz="0" w:space="0" w:color="auto"/>
        <w:bottom w:val="none" w:sz="0" w:space="0" w:color="auto"/>
        <w:right w:val="none" w:sz="0" w:space="0" w:color="auto"/>
      </w:divBdr>
    </w:div>
    <w:div w:id="202526964">
      <w:bodyDiv w:val="1"/>
      <w:marLeft w:val="0"/>
      <w:marRight w:val="0"/>
      <w:marTop w:val="0"/>
      <w:marBottom w:val="0"/>
      <w:divBdr>
        <w:top w:val="none" w:sz="0" w:space="0" w:color="auto"/>
        <w:left w:val="none" w:sz="0" w:space="0" w:color="auto"/>
        <w:bottom w:val="none" w:sz="0" w:space="0" w:color="auto"/>
        <w:right w:val="none" w:sz="0" w:space="0" w:color="auto"/>
      </w:divBdr>
    </w:div>
    <w:div w:id="203638924">
      <w:bodyDiv w:val="1"/>
      <w:marLeft w:val="0"/>
      <w:marRight w:val="0"/>
      <w:marTop w:val="0"/>
      <w:marBottom w:val="0"/>
      <w:divBdr>
        <w:top w:val="none" w:sz="0" w:space="0" w:color="auto"/>
        <w:left w:val="none" w:sz="0" w:space="0" w:color="auto"/>
        <w:bottom w:val="none" w:sz="0" w:space="0" w:color="auto"/>
        <w:right w:val="none" w:sz="0" w:space="0" w:color="auto"/>
      </w:divBdr>
    </w:div>
    <w:div w:id="204369449">
      <w:bodyDiv w:val="1"/>
      <w:marLeft w:val="0"/>
      <w:marRight w:val="0"/>
      <w:marTop w:val="0"/>
      <w:marBottom w:val="0"/>
      <w:divBdr>
        <w:top w:val="none" w:sz="0" w:space="0" w:color="auto"/>
        <w:left w:val="none" w:sz="0" w:space="0" w:color="auto"/>
        <w:bottom w:val="none" w:sz="0" w:space="0" w:color="auto"/>
        <w:right w:val="none" w:sz="0" w:space="0" w:color="auto"/>
      </w:divBdr>
    </w:div>
    <w:div w:id="208809718">
      <w:bodyDiv w:val="1"/>
      <w:marLeft w:val="0"/>
      <w:marRight w:val="0"/>
      <w:marTop w:val="0"/>
      <w:marBottom w:val="0"/>
      <w:divBdr>
        <w:top w:val="none" w:sz="0" w:space="0" w:color="auto"/>
        <w:left w:val="none" w:sz="0" w:space="0" w:color="auto"/>
        <w:bottom w:val="none" w:sz="0" w:space="0" w:color="auto"/>
        <w:right w:val="none" w:sz="0" w:space="0" w:color="auto"/>
      </w:divBdr>
    </w:div>
    <w:div w:id="209339935">
      <w:bodyDiv w:val="1"/>
      <w:marLeft w:val="0"/>
      <w:marRight w:val="0"/>
      <w:marTop w:val="0"/>
      <w:marBottom w:val="0"/>
      <w:divBdr>
        <w:top w:val="none" w:sz="0" w:space="0" w:color="auto"/>
        <w:left w:val="none" w:sz="0" w:space="0" w:color="auto"/>
        <w:bottom w:val="none" w:sz="0" w:space="0" w:color="auto"/>
        <w:right w:val="none" w:sz="0" w:space="0" w:color="auto"/>
      </w:divBdr>
    </w:div>
    <w:div w:id="213082454">
      <w:bodyDiv w:val="1"/>
      <w:marLeft w:val="0"/>
      <w:marRight w:val="0"/>
      <w:marTop w:val="0"/>
      <w:marBottom w:val="0"/>
      <w:divBdr>
        <w:top w:val="none" w:sz="0" w:space="0" w:color="auto"/>
        <w:left w:val="none" w:sz="0" w:space="0" w:color="auto"/>
        <w:bottom w:val="none" w:sz="0" w:space="0" w:color="auto"/>
        <w:right w:val="none" w:sz="0" w:space="0" w:color="auto"/>
      </w:divBdr>
    </w:div>
    <w:div w:id="214780151">
      <w:bodyDiv w:val="1"/>
      <w:marLeft w:val="0"/>
      <w:marRight w:val="0"/>
      <w:marTop w:val="0"/>
      <w:marBottom w:val="0"/>
      <w:divBdr>
        <w:top w:val="none" w:sz="0" w:space="0" w:color="auto"/>
        <w:left w:val="none" w:sz="0" w:space="0" w:color="auto"/>
        <w:bottom w:val="none" w:sz="0" w:space="0" w:color="auto"/>
        <w:right w:val="none" w:sz="0" w:space="0" w:color="auto"/>
      </w:divBdr>
    </w:div>
    <w:div w:id="216093156">
      <w:bodyDiv w:val="1"/>
      <w:marLeft w:val="0"/>
      <w:marRight w:val="0"/>
      <w:marTop w:val="0"/>
      <w:marBottom w:val="0"/>
      <w:divBdr>
        <w:top w:val="none" w:sz="0" w:space="0" w:color="auto"/>
        <w:left w:val="none" w:sz="0" w:space="0" w:color="auto"/>
        <w:bottom w:val="none" w:sz="0" w:space="0" w:color="auto"/>
        <w:right w:val="none" w:sz="0" w:space="0" w:color="auto"/>
      </w:divBdr>
    </w:div>
    <w:div w:id="216163355">
      <w:bodyDiv w:val="1"/>
      <w:marLeft w:val="0"/>
      <w:marRight w:val="0"/>
      <w:marTop w:val="0"/>
      <w:marBottom w:val="0"/>
      <w:divBdr>
        <w:top w:val="none" w:sz="0" w:space="0" w:color="auto"/>
        <w:left w:val="none" w:sz="0" w:space="0" w:color="auto"/>
        <w:bottom w:val="none" w:sz="0" w:space="0" w:color="auto"/>
        <w:right w:val="none" w:sz="0" w:space="0" w:color="auto"/>
      </w:divBdr>
    </w:div>
    <w:div w:id="221723380">
      <w:bodyDiv w:val="1"/>
      <w:marLeft w:val="0"/>
      <w:marRight w:val="0"/>
      <w:marTop w:val="0"/>
      <w:marBottom w:val="0"/>
      <w:divBdr>
        <w:top w:val="none" w:sz="0" w:space="0" w:color="auto"/>
        <w:left w:val="none" w:sz="0" w:space="0" w:color="auto"/>
        <w:bottom w:val="none" w:sz="0" w:space="0" w:color="auto"/>
        <w:right w:val="none" w:sz="0" w:space="0" w:color="auto"/>
      </w:divBdr>
    </w:div>
    <w:div w:id="223108123">
      <w:bodyDiv w:val="1"/>
      <w:marLeft w:val="0"/>
      <w:marRight w:val="0"/>
      <w:marTop w:val="0"/>
      <w:marBottom w:val="0"/>
      <w:divBdr>
        <w:top w:val="none" w:sz="0" w:space="0" w:color="auto"/>
        <w:left w:val="none" w:sz="0" w:space="0" w:color="auto"/>
        <w:bottom w:val="none" w:sz="0" w:space="0" w:color="auto"/>
        <w:right w:val="none" w:sz="0" w:space="0" w:color="auto"/>
      </w:divBdr>
    </w:div>
    <w:div w:id="224730946">
      <w:bodyDiv w:val="1"/>
      <w:marLeft w:val="0"/>
      <w:marRight w:val="0"/>
      <w:marTop w:val="0"/>
      <w:marBottom w:val="0"/>
      <w:divBdr>
        <w:top w:val="none" w:sz="0" w:space="0" w:color="auto"/>
        <w:left w:val="none" w:sz="0" w:space="0" w:color="auto"/>
        <w:bottom w:val="none" w:sz="0" w:space="0" w:color="auto"/>
        <w:right w:val="none" w:sz="0" w:space="0" w:color="auto"/>
      </w:divBdr>
    </w:div>
    <w:div w:id="226961758">
      <w:bodyDiv w:val="1"/>
      <w:marLeft w:val="0"/>
      <w:marRight w:val="0"/>
      <w:marTop w:val="0"/>
      <w:marBottom w:val="0"/>
      <w:divBdr>
        <w:top w:val="none" w:sz="0" w:space="0" w:color="auto"/>
        <w:left w:val="none" w:sz="0" w:space="0" w:color="auto"/>
        <w:bottom w:val="none" w:sz="0" w:space="0" w:color="auto"/>
        <w:right w:val="none" w:sz="0" w:space="0" w:color="auto"/>
      </w:divBdr>
    </w:div>
    <w:div w:id="229314315">
      <w:bodyDiv w:val="1"/>
      <w:marLeft w:val="0"/>
      <w:marRight w:val="0"/>
      <w:marTop w:val="0"/>
      <w:marBottom w:val="0"/>
      <w:divBdr>
        <w:top w:val="none" w:sz="0" w:space="0" w:color="auto"/>
        <w:left w:val="none" w:sz="0" w:space="0" w:color="auto"/>
        <w:bottom w:val="none" w:sz="0" w:space="0" w:color="auto"/>
        <w:right w:val="none" w:sz="0" w:space="0" w:color="auto"/>
      </w:divBdr>
    </w:div>
    <w:div w:id="229584741">
      <w:bodyDiv w:val="1"/>
      <w:marLeft w:val="0"/>
      <w:marRight w:val="0"/>
      <w:marTop w:val="0"/>
      <w:marBottom w:val="0"/>
      <w:divBdr>
        <w:top w:val="none" w:sz="0" w:space="0" w:color="auto"/>
        <w:left w:val="none" w:sz="0" w:space="0" w:color="auto"/>
        <w:bottom w:val="none" w:sz="0" w:space="0" w:color="auto"/>
        <w:right w:val="none" w:sz="0" w:space="0" w:color="auto"/>
      </w:divBdr>
    </w:div>
    <w:div w:id="232084633">
      <w:bodyDiv w:val="1"/>
      <w:marLeft w:val="0"/>
      <w:marRight w:val="0"/>
      <w:marTop w:val="0"/>
      <w:marBottom w:val="0"/>
      <w:divBdr>
        <w:top w:val="none" w:sz="0" w:space="0" w:color="auto"/>
        <w:left w:val="none" w:sz="0" w:space="0" w:color="auto"/>
        <w:bottom w:val="none" w:sz="0" w:space="0" w:color="auto"/>
        <w:right w:val="none" w:sz="0" w:space="0" w:color="auto"/>
      </w:divBdr>
    </w:div>
    <w:div w:id="232592923">
      <w:bodyDiv w:val="1"/>
      <w:marLeft w:val="0"/>
      <w:marRight w:val="0"/>
      <w:marTop w:val="0"/>
      <w:marBottom w:val="0"/>
      <w:divBdr>
        <w:top w:val="none" w:sz="0" w:space="0" w:color="auto"/>
        <w:left w:val="none" w:sz="0" w:space="0" w:color="auto"/>
        <w:bottom w:val="none" w:sz="0" w:space="0" w:color="auto"/>
        <w:right w:val="none" w:sz="0" w:space="0" w:color="auto"/>
      </w:divBdr>
    </w:div>
    <w:div w:id="234363645">
      <w:bodyDiv w:val="1"/>
      <w:marLeft w:val="0"/>
      <w:marRight w:val="0"/>
      <w:marTop w:val="0"/>
      <w:marBottom w:val="0"/>
      <w:divBdr>
        <w:top w:val="none" w:sz="0" w:space="0" w:color="auto"/>
        <w:left w:val="none" w:sz="0" w:space="0" w:color="auto"/>
        <w:bottom w:val="none" w:sz="0" w:space="0" w:color="auto"/>
        <w:right w:val="none" w:sz="0" w:space="0" w:color="auto"/>
      </w:divBdr>
    </w:div>
    <w:div w:id="235434334">
      <w:bodyDiv w:val="1"/>
      <w:marLeft w:val="0"/>
      <w:marRight w:val="0"/>
      <w:marTop w:val="0"/>
      <w:marBottom w:val="0"/>
      <w:divBdr>
        <w:top w:val="none" w:sz="0" w:space="0" w:color="auto"/>
        <w:left w:val="none" w:sz="0" w:space="0" w:color="auto"/>
        <w:bottom w:val="none" w:sz="0" w:space="0" w:color="auto"/>
        <w:right w:val="none" w:sz="0" w:space="0" w:color="auto"/>
      </w:divBdr>
    </w:div>
    <w:div w:id="235672595">
      <w:bodyDiv w:val="1"/>
      <w:marLeft w:val="0"/>
      <w:marRight w:val="0"/>
      <w:marTop w:val="0"/>
      <w:marBottom w:val="0"/>
      <w:divBdr>
        <w:top w:val="none" w:sz="0" w:space="0" w:color="auto"/>
        <w:left w:val="none" w:sz="0" w:space="0" w:color="auto"/>
        <w:bottom w:val="none" w:sz="0" w:space="0" w:color="auto"/>
        <w:right w:val="none" w:sz="0" w:space="0" w:color="auto"/>
      </w:divBdr>
    </w:div>
    <w:div w:id="237327074">
      <w:bodyDiv w:val="1"/>
      <w:marLeft w:val="0"/>
      <w:marRight w:val="0"/>
      <w:marTop w:val="0"/>
      <w:marBottom w:val="0"/>
      <w:divBdr>
        <w:top w:val="none" w:sz="0" w:space="0" w:color="auto"/>
        <w:left w:val="none" w:sz="0" w:space="0" w:color="auto"/>
        <w:bottom w:val="none" w:sz="0" w:space="0" w:color="auto"/>
        <w:right w:val="none" w:sz="0" w:space="0" w:color="auto"/>
      </w:divBdr>
    </w:div>
    <w:div w:id="246110296">
      <w:bodyDiv w:val="1"/>
      <w:marLeft w:val="0"/>
      <w:marRight w:val="0"/>
      <w:marTop w:val="0"/>
      <w:marBottom w:val="0"/>
      <w:divBdr>
        <w:top w:val="none" w:sz="0" w:space="0" w:color="auto"/>
        <w:left w:val="none" w:sz="0" w:space="0" w:color="auto"/>
        <w:bottom w:val="none" w:sz="0" w:space="0" w:color="auto"/>
        <w:right w:val="none" w:sz="0" w:space="0" w:color="auto"/>
      </w:divBdr>
    </w:div>
    <w:div w:id="249510401">
      <w:bodyDiv w:val="1"/>
      <w:marLeft w:val="0"/>
      <w:marRight w:val="0"/>
      <w:marTop w:val="0"/>
      <w:marBottom w:val="0"/>
      <w:divBdr>
        <w:top w:val="none" w:sz="0" w:space="0" w:color="auto"/>
        <w:left w:val="none" w:sz="0" w:space="0" w:color="auto"/>
        <w:bottom w:val="none" w:sz="0" w:space="0" w:color="auto"/>
        <w:right w:val="none" w:sz="0" w:space="0" w:color="auto"/>
      </w:divBdr>
    </w:div>
    <w:div w:id="249588796">
      <w:bodyDiv w:val="1"/>
      <w:marLeft w:val="0"/>
      <w:marRight w:val="0"/>
      <w:marTop w:val="0"/>
      <w:marBottom w:val="0"/>
      <w:divBdr>
        <w:top w:val="none" w:sz="0" w:space="0" w:color="auto"/>
        <w:left w:val="none" w:sz="0" w:space="0" w:color="auto"/>
        <w:bottom w:val="none" w:sz="0" w:space="0" w:color="auto"/>
        <w:right w:val="none" w:sz="0" w:space="0" w:color="auto"/>
      </w:divBdr>
    </w:div>
    <w:div w:id="254292232">
      <w:bodyDiv w:val="1"/>
      <w:marLeft w:val="0"/>
      <w:marRight w:val="0"/>
      <w:marTop w:val="0"/>
      <w:marBottom w:val="0"/>
      <w:divBdr>
        <w:top w:val="none" w:sz="0" w:space="0" w:color="auto"/>
        <w:left w:val="none" w:sz="0" w:space="0" w:color="auto"/>
        <w:bottom w:val="none" w:sz="0" w:space="0" w:color="auto"/>
        <w:right w:val="none" w:sz="0" w:space="0" w:color="auto"/>
      </w:divBdr>
    </w:div>
    <w:div w:id="254871027">
      <w:bodyDiv w:val="1"/>
      <w:marLeft w:val="0"/>
      <w:marRight w:val="0"/>
      <w:marTop w:val="0"/>
      <w:marBottom w:val="0"/>
      <w:divBdr>
        <w:top w:val="none" w:sz="0" w:space="0" w:color="auto"/>
        <w:left w:val="none" w:sz="0" w:space="0" w:color="auto"/>
        <w:bottom w:val="none" w:sz="0" w:space="0" w:color="auto"/>
        <w:right w:val="none" w:sz="0" w:space="0" w:color="auto"/>
      </w:divBdr>
    </w:div>
    <w:div w:id="255476660">
      <w:bodyDiv w:val="1"/>
      <w:marLeft w:val="0"/>
      <w:marRight w:val="0"/>
      <w:marTop w:val="0"/>
      <w:marBottom w:val="0"/>
      <w:divBdr>
        <w:top w:val="none" w:sz="0" w:space="0" w:color="auto"/>
        <w:left w:val="none" w:sz="0" w:space="0" w:color="auto"/>
        <w:bottom w:val="none" w:sz="0" w:space="0" w:color="auto"/>
        <w:right w:val="none" w:sz="0" w:space="0" w:color="auto"/>
      </w:divBdr>
    </w:div>
    <w:div w:id="255672354">
      <w:bodyDiv w:val="1"/>
      <w:marLeft w:val="0"/>
      <w:marRight w:val="0"/>
      <w:marTop w:val="0"/>
      <w:marBottom w:val="0"/>
      <w:divBdr>
        <w:top w:val="none" w:sz="0" w:space="0" w:color="auto"/>
        <w:left w:val="none" w:sz="0" w:space="0" w:color="auto"/>
        <w:bottom w:val="none" w:sz="0" w:space="0" w:color="auto"/>
        <w:right w:val="none" w:sz="0" w:space="0" w:color="auto"/>
      </w:divBdr>
    </w:div>
    <w:div w:id="256523626">
      <w:bodyDiv w:val="1"/>
      <w:marLeft w:val="0"/>
      <w:marRight w:val="0"/>
      <w:marTop w:val="0"/>
      <w:marBottom w:val="0"/>
      <w:divBdr>
        <w:top w:val="none" w:sz="0" w:space="0" w:color="auto"/>
        <w:left w:val="none" w:sz="0" w:space="0" w:color="auto"/>
        <w:bottom w:val="none" w:sz="0" w:space="0" w:color="auto"/>
        <w:right w:val="none" w:sz="0" w:space="0" w:color="auto"/>
      </w:divBdr>
    </w:div>
    <w:div w:id="258492483">
      <w:bodyDiv w:val="1"/>
      <w:marLeft w:val="0"/>
      <w:marRight w:val="0"/>
      <w:marTop w:val="0"/>
      <w:marBottom w:val="0"/>
      <w:divBdr>
        <w:top w:val="none" w:sz="0" w:space="0" w:color="auto"/>
        <w:left w:val="none" w:sz="0" w:space="0" w:color="auto"/>
        <w:bottom w:val="none" w:sz="0" w:space="0" w:color="auto"/>
        <w:right w:val="none" w:sz="0" w:space="0" w:color="auto"/>
      </w:divBdr>
    </w:div>
    <w:div w:id="267201011">
      <w:bodyDiv w:val="1"/>
      <w:marLeft w:val="0"/>
      <w:marRight w:val="0"/>
      <w:marTop w:val="0"/>
      <w:marBottom w:val="0"/>
      <w:divBdr>
        <w:top w:val="none" w:sz="0" w:space="0" w:color="auto"/>
        <w:left w:val="none" w:sz="0" w:space="0" w:color="auto"/>
        <w:bottom w:val="none" w:sz="0" w:space="0" w:color="auto"/>
        <w:right w:val="none" w:sz="0" w:space="0" w:color="auto"/>
      </w:divBdr>
    </w:div>
    <w:div w:id="268972344">
      <w:bodyDiv w:val="1"/>
      <w:marLeft w:val="0"/>
      <w:marRight w:val="0"/>
      <w:marTop w:val="0"/>
      <w:marBottom w:val="0"/>
      <w:divBdr>
        <w:top w:val="none" w:sz="0" w:space="0" w:color="auto"/>
        <w:left w:val="none" w:sz="0" w:space="0" w:color="auto"/>
        <w:bottom w:val="none" w:sz="0" w:space="0" w:color="auto"/>
        <w:right w:val="none" w:sz="0" w:space="0" w:color="auto"/>
      </w:divBdr>
    </w:div>
    <w:div w:id="269556054">
      <w:bodyDiv w:val="1"/>
      <w:marLeft w:val="0"/>
      <w:marRight w:val="0"/>
      <w:marTop w:val="0"/>
      <w:marBottom w:val="0"/>
      <w:divBdr>
        <w:top w:val="none" w:sz="0" w:space="0" w:color="auto"/>
        <w:left w:val="none" w:sz="0" w:space="0" w:color="auto"/>
        <w:bottom w:val="none" w:sz="0" w:space="0" w:color="auto"/>
        <w:right w:val="none" w:sz="0" w:space="0" w:color="auto"/>
      </w:divBdr>
    </w:div>
    <w:div w:id="269777084">
      <w:bodyDiv w:val="1"/>
      <w:marLeft w:val="0"/>
      <w:marRight w:val="0"/>
      <w:marTop w:val="0"/>
      <w:marBottom w:val="0"/>
      <w:divBdr>
        <w:top w:val="none" w:sz="0" w:space="0" w:color="auto"/>
        <w:left w:val="none" w:sz="0" w:space="0" w:color="auto"/>
        <w:bottom w:val="none" w:sz="0" w:space="0" w:color="auto"/>
        <w:right w:val="none" w:sz="0" w:space="0" w:color="auto"/>
      </w:divBdr>
    </w:div>
    <w:div w:id="272596658">
      <w:bodyDiv w:val="1"/>
      <w:marLeft w:val="0"/>
      <w:marRight w:val="0"/>
      <w:marTop w:val="0"/>
      <w:marBottom w:val="0"/>
      <w:divBdr>
        <w:top w:val="none" w:sz="0" w:space="0" w:color="auto"/>
        <w:left w:val="none" w:sz="0" w:space="0" w:color="auto"/>
        <w:bottom w:val="none" w:sz="0" w:space="0" w:color="auto"/>
        <w:right w:val="none" w:sz="0" w:space="0" w:color="auto"/>
      </w:divBdr>
    </w:div>
    <w:div w:id="274799161">
      <w:bodyDiv w:val="1"/>
      <w:marLeft w:val="0"/>
      <w:marRight w:val="0"/>
      <w:marTop w:val="0"/>
      <w:marBottom w:val="0"/>
      <w:divBdr>
        <w:top w:val="none" w:sz="0" w:space="0" w:color="auto"/>
        <w:left w:val="none" w:sz="0" w:space="0" w:color="auto"/>
        <w:bottom w:val="none" w:sz="0" w:space="0" w:color="auto"/>
        <w:right w:val="none" w:sz="0" w:space="0" w:color="auto"/>
      </w:divBdr>
    </w:div>
    <w:div w:id="275330257">
      <w:bodyDiv w:val="1"/>
      <w:marLeft w:val="0"/>
      <w:marRight w:val="0"/>
      <w:marTop w:val="0"/>
      <w:marBottom w:val="0"/>
      <w:divBdr>
        <w:top w:val="none" w:sz="0" w:space="0" w:color="auto"/>
        <w:left w:val="none" w:sz="0" w:space="0" w:color="auto"/>
        <w:bottom w:val="none" w:sz="0" w:space="0" w:color="auto"/>
        <w:right w:val="none" w:sz="0" w:space="0" w:color="auto"/>
      </w:divBdr>
    </w:div>
    <w:div w:id="275796980">
      <w:bodyDiv w:val="1"/>
      <w:marLeft w:val="0"/>
      <w:marRight w:val="0"/>
      <w:marTop w:val="0"/>
      <w:marBottom w:val="0"/>
      <w:divBdr>
        <w:top w:val="none" w:sz="0" w:space="0" w:color="auto"/>
        <w:left w:val="none" w:sz="0" w:space="0" w:color="auto"/>
        <w:bottom w:val="none" w:sz="0" w:space="0" w:color="auto"/>
        <w:right w:val="none" w:sz="0" w:space="0" w:color="auto"/>
      </w:divBdr>
    </w:div>
    <w:div w:id="275841396">
      <w:bodyDiv w:val="1"/>
      <w:marLeft w:val="0"/>
      <w:marRight w:val="0"/>
      <w:marTop w:val="0"/>
      <w:marBottom w:val="0"/>
      <w:divBdr>
        <w:top w:val="none" w:sz="0" w:space="0" w:color="auto"/>
        <w:left w:val="none" w:sz="0" w:space="0" w:color="auto"/>
        <w:bottom w:val="none" w:sz="0" w:space="0" w:color="auto"/>
        <w:right w:val="none" w:sz="0" w:space="0" w:color="auto"/>
      </w:divBdr>
    </w:div>
    <w:div w:id="275988176">
      <w:bodyDiv w:val="1"/>
      <w:marLeft w:val="0"/>
      <w:marRight w:val="0"/>
      <w:marTop w:val="0"/>
      <w:marBottom w:val="0"/>
      <w:divBdr>
        <w:top w:val="none" w:sz="0" w:space="0" w:color="auto"/>
        <w:left w:val="none" w:sz="0" w:space="0" w:color="auto"/>
        <w:bottom w:val="none" w:sz="0" w:space="0" w:color="auto"/>
        <w:right w:val="none" w:sz="0" w:space="0" w:color="auto"/>
      </w:divBdr>
    </w:div>
    <w:div w:id="276252421">
      <w:bodyDiv w:val="1"/>
      <w:marLeft w:val="0"/>
      <w:marRight w:val="0"/>
      <w:marTop w:val="0"/>
      <w:marBottom w:val="0"/>
      <w:divBdr>
        <w:top w:val="none" w:sz="0" w:space="0" w:color="auto"/>
        <w:left w:val="none" w:sz="0" w:space="0" w:color="auto"/>
        <w:bottom w:val="none" w:sz="0" w:space="0" w:color="auto"/>
        <w:right w:val="none" w:sz="0" w:space="0" w:color="auto"/>
      </w:divBdr>
    </w:div>
    <w:div w:id="276522061">
      <w:bodyDiv w:val="1"/>
      <w:marLeft w:val="0"/>
      <w:marRight w:val="0"/>
      <w:marTop w:val="0"/>
      <w:marBottom w:val="0"/>
      <w:divBdr>
        <w:top w:val="none" w:sz="0" w:space="0" w:color="auto"/>
        <w:left w:val="none" w:sz="0" w:space="0" w:color="auto"/>
        <w:bottom w:val="none" w:sz="0" w:space="0" w:color="auto"/>
        <w:right w:val="none" w:sz="0" w:space="0" w:color="auto"/>
      </w:divBdr>
    </w:div>
    <w:div w:id="277378707">
      <w:bodyDiv w:val="1"/>
      <w:marLeft w:val="0"/>
      <w:marRight w:val="0"/>
      <w:marTop w:val="0"/>
      <w:marBottom w:val="0"/>
      <w:divBdr>
        <w:top w:val="none" w:sz="0" w:space="0" w:color="auto"/>
        <w:left w:val="none" w:sz="0" w:space="0" w:color="auto"/>
        <w:bottom w:val="none" w:sz="0" w:space="0" w:color="auto"/>
        <w:right w:val="none" w:sz="0" w:space="0" w:color="auto"/>
      </w:divBdr>
    </w:div>
    <w:div w:id="281696239">
      <w:bodyDiv w:val="1"/>
      <w:marLeft w:val="0"/>
      <w:marRight w:val="0"/>
      <w:marTop w:val="0"/>
      <w:marBottom w:val="0"/>
      <w:divBdr>
        <w:top w:val="none" w:sz="0" w:space="0" w:color="auto"/>
        <w:left w:val="none" w:sz="0" w:space="0" w:color="auto"/>
        <w:bottom w:val="none" w:sz="0" w:space="0" w:color="auto"/>
        <w:right w:val="none" w:sz="0" w:space="0" w:color="auto"/>
      </w:divBdr>
    </w:div>
    <w:div w:id="287976591">
      <w:bodyDiv w:val="1"/>
      <w:marLeft w:val="0"/>
      <w:marRight w:val="0"/>
      <w:marTop w:val="0"/>
      <w:marBottom w:val="0"/>
      <w:divBdr>
        <w:top w:val="none" w:sz="0" w:space="0" w:color="auto"/>
        <w:left w:val="none" w:sz="0" w:space="0" w:color="auto"/>
        <w:bottom w:val="none" w:sz="0" w:space="0" w:color="auto"/>
        <w:right w:val="none" w:sz="0" w:space="0" w:color="auto"/>
      </w:divBdr>
    </w:div>
    <w:div w:id="292445076">
      <w:bodyDiv w:val="1"/>
      <w:marLeft w:val="0"/>
      <w:marRight w:val="0"/>
      <w:marTop w:val="0"/>
      <w:marBottom w:val="0"/>
      <w:divBdr>
        <w:top w:val="none" w:sz="0" w:space="0" w:color="auto"/>
        <w:left w:val="none" w:sz="0" w:space="0" w:color="auto"/>
        <w:bottom w:val="none" w:sz="0" w:space="0" w:color="auto"/>
        <w:right w:val="none" w:sz="0" w:space="0" w:color="auto"/>
      </w:divBdr>
    </w:div>
    <w:div w:id="294719764">
      <w:bodyDiv w:val="1"/>
      <w:marLeft w:val="0"/>
      <w:marRight w:val="0"/>
      <w:marTop w:val="0"/>
      <w:marBottom w:val="0"/>
      <w:divBdr>
        <w:top w:val="none" w:sz="0" w:space="0" w:color="auto"/>
        <w:left w:val="none" w:sz="0" w:space="0" w:color="auto"/>
        <w:bottom w:val="none" w:sz="0" w:space="0" w:color="auto"/>
        <w:right w:val="none" w:sz="0" w:space="0" w:color="auto"/>
      </w:divBdr>
    </w:div>
    <w:div w:id="294986165">
      <w:bodyDiv w:val="1"/>
      <w:marLeft w:val="0"/>
      <w:marRight w:val="0"/>
      <w:marTop w:val="0"/>
      <w:marBottom w:val="0"/>
      <w:divBdr>
        <w:top w:val="none" w:sz="0" w:space="0" w:color="auto"/>
        <w:left w:val="none" w:sz="0" w:space="0" w:color="auto"/>
        <w:bottom w:val="none" w:sz="0" w:space="0" w:color="auto"/>
        <w:right w:val="none" w:sz="0" w:space="0" w:color="auto"/>
      </w:divBdr>
    </w:div>
    <w:div w:id="296494333">
      <w:bodyDiv w:val="1"/>
      <w:marLeft w:val="0"/>
      <w:marRight w:val="0"/>
      <w:marTop w:val="0"/>
      <w:marBottom w:val="0"/>
      <w:divBdr>
        <w:top w:val="none" w:sz="0" w:space="0" w:color="auto"/>
        <w:left w:val="none" w:sz="0" w:space="0" w:color="auto"/>
        <w:bottom w:val="none" w:sz="0" w:space="0" w:color="auto"/>
        <w:right w:val="none" w:sz="0" w:space="0" w:color="auto"/>
      </w:divBdr>
    </w:div>
    <w:div w:id="297416329">
      <w:bodyDiv w:val="1"/>
      <w:marLeft w:val="0"/>
      <w:marRight w:val="0"/>
      <w:marTop w:val="0"/>
      <w:marBottom w:val="0"/>
      <w:divBdr>
        <w:top w:val="none" w:sz="0" w:space="0" w:color="auto"/>
        <w:left w:val="none" w:sz="0" w:space="0" w:color="auto"/>
        <w:bottom w:val="none" w:sz="0" w:space="0" w:color="auto"/>
        <w:right w:val="none" w:sz="0" w:space="0" w:color="auto"/>
      </w:divBdr>
    </w:div>
    <w:div w:id="297420764">
      <w:bodyDiv w:val="1"/>
      <w:marLeft w:val="0"/>
      <w:marRight w:val="0"/>
      <w:marTop w:val="0"/>
      <w:marBottom w:val="0"/>
      <w:divBdr>
        <w:top w:val="none" w:sz="0" w:space="0" w:color="auto"/>
        <w:left w:val="none" w:sz="0" w:space="0" w:color="auto"/>
        <w:bottom w:val="none" w:sz="0" w:space="0" w:color="auto"/>
        <w:right w:val="none" w:sz="0" w:space="0" w:color="auto"/>
      </w:divBdr>
    </w:div>
    <w:div w:id="299653858">
      <w:bodyDiv w:val="1"/>
      <w:marLeft w:val="0"/>
      <w:marRight w:val="0"/>
      <w:marTop w:val="0"/>
      <w:marBottom w:val="0"/>
      <w:divBdr>
        <w:top w:val="none" w:sz="0" w:space="0" w:color="auto"/>
        <w:left w:val="none" w:sz="0" w:space="0" w:color="auto"/>
        <w:bottom w:val="none" w:sz="0" w:space="0" w:color="auto"/>
        <w:right w:val="none" w:sz="0" w:space="0" w:color="auto"/>
      </w:divBdr>
    </w:div>
    <w:div w:id="300503792">
      <w:bodyDiv w:val="1"/>
      <w:marLeft w:val="0"/>
      <w:marRight w:val="0"/>
      <w:marTop w:val="0"/>
      <w:marBottom w:val="0"/>
      <w:divBdr>
        <w:top w:val="none" w:sz="0" w:space="0" w:color="auto"/>
        <w:left w:val="none" w:sz="0" w:space="0" w:color="auto"/>
        <w:bottom w:val="none" w:sz="0" w:space="0" w:color="auto"/>
        <w:right w:val="none" w:sz="0" w:space="0" w:color="auto"/>
      </w:divBdr>
    </w:div>
    <w:div w:id="304505818">
      <w:bodyDiv w:val="1"/>
      <w:marLeft w:val="0"/>
      <w:marRight w:val="0"/>
      <w:marTop w:val="0"/>
      <w:marBottom w:val="0"/>
      <w:divBdr>
        <w:top w:val="none" w:sz="0" w:space="0" w:color="auto"/>
        <w:left w:val="none" w:sz="0" w:space="0" w:color="auto"/>
        <w:bottom w:val="none" w:sz="0" w:space="0" w:color="auto"/>
        <w:right w:val="none" w:sz="0" w:space="0" w:color="auto"/>
      </w:divBdr>
    </w:div>
    <w:div w:id="304630430">
      <w:bodyDiv w:val="1"/>
      <w:marLeft w:val="0"/>
      <w:marRight w:val="0"/>
      <w:marTop w:val="0"/>
      <w:marBottom w:val="0"/>
      <w:divBdr>
        <w:top w:val="none" w:sz="0" w:space="0" w:color="auto"/>
        <w:left w:val="none" w:sz="0" w:space="0" w:color="auto"/>
        <w:bottom w:val="none" w:sz="0" w:space="0" w:color="auto"/>
        <w:right w:val="none" w:sz="0" w:space="0" w:color="auto"/>
      </w:divBdr>
    </w:div>
    <w:div w:id="310527734">
      <w:bodyDiv w:val="1"/>
      <w:marLeft w:val="0"/>
      <w:marRight w:val="0"/>
      <w:marTop w:val="0"/>
      <w:marBottom w:val="0"/>
      <w:divBdr>
        <w:top w:val="none" w:sz="0" w:space="0" w:color="auto"/>
        <w:left w:val="none" w:sz="0" w:space="0" w:color="auto"/>
        <w:bottom w:val="none" w:sz="0" w:space="0" w:color="auto"/>
        <w:right w:val="none" w:sz="0" w:space="0" w:color="auto"/>
      </w:divBdr>
    </w:div>
    <w:div w:id="312754407">
      <w:bodyDiv w:val="1"/>
      <w:marLeft w:val="0"/>
      <w:marRight w:val="0"/>
      <w:marTop w:val="0"/>
      <w:marBottom w:val="0"/>
      <w:divBdr>
        <w:top w:val="none" w:sz="0" w:space="0" w:color="auto"/>
        <w:left w:val="none" w:sz="0" w:space="0" w:color="auto"/>
        <w:bottom w:val="none" w:sz="0" w:space="0" w:color="auto"/>
        <w:right w:val="none" w:sz="0" w:space="0" w:color="auto"/>
      </w:divBdr>
    </w:div>
    <w:div w:id="312831383">
      <w:bodyDiv w:val="1"/>
      <w:marLeft w:val="0"/>
      <w:marRight w:val="0"/>
      <w:marTop w:val="0"/>
      <w:marBottom w:val="0"/>
      <w:divBdr>
        <w:top w:val="none" w:sz="0" w:space="0" w:color="auto"/>
        <w:left w:val="none" w:sz="0" w:space="0" w:color="auto"/>
        <w:bottom w:val="none" w:sz="0" w:space="0" w:color="auto"/>
        <w:right w:val="none" w:sz="0" w:space="0" w:color="auto"/>
      </w:divBdr>
    </w:div>
    <w:div w:id="314573737">
      <w:bodyDiv w:val="1"/>
      <w:marLeft w:val="0"/>
      <w:marRight w:val="0"/>
      <w:marTop w:val="0"/>
      <w:marBottom w:val="0"/>
      <w:divBdr>
        <w:top w:val="none" w:sz="0" w:space="0" w:color="auto"/>
        <w:left w:val="none" w:sz="0" w:space="0" w:color="auto"/>
        <w:bottom w:val="none" w:sz="0" w:space="0" w:color="auto"/>
        <w:right w:val="none" w:sz="0" w:space="0" w:color="auto"/>
      </w:divBdr>
    </w:div>
    <w:div w:id="316039003">
      <w:bodyDiv w:val="1"/>
      <w:marLeft w:val="0"/>
      <w:marRight w:val="0"/>
      <w:marTop w:val="0"/>
      <w:marBottom w:val="0"/>
      <w:divBdr>
        <w:top w:val="none" w:sz="0" w:space="0" w:color="auto"/>
        <w:left w:val="none" w:sz="0" w:space="0" w:color="auto"/>
        <w:bottom w:val="none" w:sz="0" w:space="0" w:color="auto"/>
        <w:right w:val="none" w:sz="0" w:space="0" w:color="auto"/>
      </w:divBdr>
    </w:div>
    <w:div w:id="316227068">
      <w:bodyDiv w:val="1"/>
      <w:marLeft w:val="0"/>
      <w:marRight w:val="0"/>
      <w:marTop w:val="0"/>
      <w:marBottom w:val="0"/>
      <w:divBdr>
        <w:top w:val="none" w:sz="0" w:space="0" w:color="auto"/>
        <w:left w:val="none" w:sz="0" w:space="0" w:color="auto"/>
        <w:bottom w:val="none" w:sz="0" w:space="0" w:color="auto"/>
        <w:right w:val="none" w:sz="0" w:space="0" w:color="auto"/>
      </w:divBdr>
    </w:div>
    <w:div w:id="316693563">
      <w:bodyDiv w:val="1"/>
      <w:marLeft w:val="0"/>
      <w:marRight w:val="0"/>
      <w:marTop w:val="0"/>
      <w:marBottom w:val="0"/>
      <w:divBdr>
        <w:top w:val="none" w:sz="0" w:space="0" w:color="auto"/>
        <w:left w:val="none" w:sz="0" w:space="0" w:color="auto"/>
        <w:bottom w:val="none" w:sz="0" w:space="0" w:color="auto"/>
        <w:right w:val="none" w:sz="0" w:space="0" w:color="auto"/>
      </w:divBdr>
    </w:div>
    <w:div w:id="318383718">
      <w:bodyDiv w:val="1"/>
      <w:marLeft w:val="0"/>
      <w:marRight w:val="0"/>
      <w:marTop w:val="0"/>
      <w:marBottom w:val="0"/>
      <w:divBdr>
        <w:top w:val="none" w:sz="0" w:space="0" w:color="auto"/>
        <w:left w:val="none" w:sz="0" w:space="0" w:color="auto"/>
        <w:bottom w:val="none" w:sz="0" w:space="0" w:color="auto"/>
        <w:right w:val="none" w:sz="0" w:space="0" w:color="auto"/>
      </w:divBdr>
    </w:div>
    <w:div w:id="320624848">
      <w:bodyDiv w:val="1"/>
      <w:marLeft w:val="0"/>
      <w:marRight w:val="0"/>
      <w:marTop w:val="0"/>
      <w:marBottom w:val="0"/>
      <w:divBdr>
        <w:top w:val="none" w:sz="0" w:space="0" w:color="auto"/>
        <w:left w:val="none" w:sz="0" w:space="0" w:color="auto"/>
        <w:bottom w:val="none" w:sz="0" w:space="0" w:color="auto"/>
        <w:right w:val="none" w:sz="0" w:space="0" w:color="auto"/>
      </w:divBdr>
    </w:div>
    <w:div w:id="321154344">
      <w:bodyDiv w:val="1"/>
      <w:marLeft w:val="0"/>
      <w:marRight w:val="0"/>
      <w:marTop w:val="0"/>
      <w:marBottom w:val="0"/>
      <w:divBdr>
        <w:top w:val="none" w:sz="0" w:space="0" w:color="auto"/>
        <w:left w:val="none" w:sz="0" w:space="0" w:color="auto"/>
        <w:bottom w:val="none" w:sz="0" w:space="0" w:color="auto"/>
        <w:right w:val="none" w:sz="0" w:space="0" w:color="auto"/>
      </w:divBdr>
    </w:div>
    <w:div w:id="323514650">
      <w:bodyDiv w:val="1"/>
      <w:marLeft w:val="0"/>
      <w:marRight w:val="0"/>
      <w:marTop w:val="0"/>
      <w:marBottom w:val="0"/>
      <w:divBdr>
        <w:top w:val="none" w:sz="0" w:space="0" w:color="auto"/>
        <w:left w:val="none" w:sz="0" w:space="0" w:color="auto"/>
        <w:bottom w:val="none" w:sz="0" w:space="0" w:color="auto"/>
        <w:right w:val="none" w:sz="0" w:space="0" w:color="auto"/>
      </w:divBdr>
    </w:div>
    <w:div w:id="324475306">
      <w:bodyDiv w:val="1"/>
      <w:marLeft w:val="0"/>
      <w:marRight w:val="0"/>
      <w:marTop w:val="0"/>
      <w:marBottom w:val="0"/>
      <w:divBdr>
        <w:top w:val="none" w:sz="0" w:space="0" w:color="auto"/>
        <w:left w:val="none" w:sz="0" w:space="0" w:color="auto"/>
        <w:bottom w:val="none" w:sz="0" w:space="0" w:color="auto"/>
        <w:right w:val="none" w:sz="0" w:space="0" w:color="auto"/>
      </w:divBdr>
    </w:div>
    <w:div w:id="326326418">
      <w:bodyDiv w:val="1"/>
      <w:marLeft w:val="0"/>
      <w:marRight w:val="0"/>
      <w:marTop w:val="0"/>
      <w:marBottom w:val="0"/>
      <w:divBdr>
        <w:top w:val="none" w:sz="0" w:space="0" w:color="auto"/>
        <w:left w:val="none" w:sz="0" w:space="0" w:color="auto"/>
        <w:bottom w:val="none" w:sz="0" w:space="0" w:color="auto"/>
        <w:right w:val="none" w:sz="0" w:space="0" w:color="auto"/>
      </w:divBdr>
    </w:div>
    <w:div w:id="326442224">
      <w:bodyDiv w:val="1"/>
      <w:marLeft w:val="0"/>
      <w:marRight w:val="0"/>
      <w:marTop w:val="0"/>
      <w:marBottom w:val="0"/>
      <w:divBdr>
        <w:top w:val="none" w:sz="0" w:space="0" w:color="auto"/>
        <w:left w:val="none" w:sz="0" w:space="0" w:color="auto"/>
        <w:bottom w:val="none" w:sz="0" w:space="0" w:color="auto"/>
        <w:right w:val="none" w:sz="0" w:space="0" w:color="auto"/>
      </w:divBdr>
    </w:div>
    <w:div w:id="326593346">
      <w:bodyDiv w:val="1"/>
      <w:marLeft w:val="0"/>
      <w:marRight w:val="0"/>
      <w:marTop w:val="0"/>
      <w:marBottom w:val="0"/>
      <w:divBdr>
        <w:top w:val="none" w:sz="0" w:space="0" w:color="auto"/>
        <w:left w:val="none" w:sz="0" w:space="0" w:color="auto"/>
        <w:bottom w:val="none" w:sz="0" w:space="0" w:color="auto"/>
        <w:right w:val="none" w:sz="0" w:space="0" w:color="auto"/>
      </w:divBdr>
    </w:div>
    <w:div w:id="326784799">
      <w:bodyDiv w:val="1"/>
      <w:marLeft w:val="0"/>
      <w:marRight w:val="0"/>
      <w:marTop w:val="0"/>
      <w:marBottom w:val="0"/>
      <w:divBdr>
        <w:top w:val="none" w:sz="0" w:space="0" w:color="auto"/>
        <w:left w:val="none" w:sz="0" w:space="0" w:color="auto"/>
        <w:bottom w:val="none" w:sz="0" w:space="0" w:color="auto"/>
        <w:right w:val="none" w:sz="0" w:space="0" w:color="auto"/>
      </w:divBdr>
    </w:div>
    <w:div w:id="330916857">
      <w:bodyDiv w:val="1"/>
      <w:marLeft w:val="0"/>
      <w:marRight w:val="0"/>
      <w:marTop w:val="0"/>
      <w:marBottom w:val="0"/>
      <w:divBdr>
        <w:top w:val="none" w:sz="0" w:space="0" w:color="auto"/>
        <w:left w:val="none" w:sz="0" w:space="0" w:color="auto"/>
        <w:bottom w:val="none" w:sz="0" w:space="0" w:color="auto"/>
        <w:right w:val="none" w:sz="0" w:space="0" w:color="auto"/>
      </w:divBdr>
    </w:div>
    <w:div w:id="331179105">
      <w:bodyDiv w:val="1"/>
      <w:marLeft w:val="0"/>
      <w:marRight w:val="0"/>
      <w:marTop w:val="0"/>
      <w:marBottom w:val="0"/>
      <w:divBdr>
        <w:top w:val="none" w:sz="0" w:space="0" w:color="auto"/>
        <w:left w:val="none" w:sz="0" w:space="0" w:color="auto"/>
        <w:bottom w:val="none" w:sz="0" w:space="0" w:color="auto"/>
        <w:right w:val="none" w:sz="0" w:space="0" w:color="auto"/>
      </w:divBdr>
    </w:div>
    <w:div w:id="332416909">
      <w:bodyDiv w:val="1"/>
      <w:marLeft w:val="0"/>
      <w:marRight w:val="0"/>
      <w:marTop w:val="0"/>
      <w:marBottom w:val="0"/>
      <w:divBdr>
        <w:top w:val="none" w:sz="0" w:space="0" w:color="auto"/>
        <w:left w:val="none" w:sz="0" w:space="0" w:color="auto"/>
        <w:bottom w:val="none" w:sz="0" w:space="0" w:color="auto"/>
        <w:right w:val="none" w:sz="0" w:space="0" w:color="auto"/>
      </w:divBdr>
    </w:div>
    <w:div w:id="333190616">
      <w:bodyDiv w:val="1"/>
      <w:marLeft w:val="0"/>
      <w:marRight w:val="0"/>
      <w:marTop w:val="0"/>
      <w:marBottom w:val="0"/>
      <w:divBdr>
        <w:top w:val="none" w:sz="0" w:space="0" w:color="auto"/>
        <w:left w:val="none" w:sz="0" w:space="0" w:color="auto"/>
        <w:bottom w:val="none" w:sz="0" w:space="0" w:color="auto"/>
        <w:right w:val="none" w:sz="0" w:space="0" w:color="auto"/>
      </w:divBdr>
    </w:div>
    <w:div w:id="334917134">
      <w:bodyDiv w:val="1"/>
      <w:marLeft w:val="0"/>
      <w:marRight w:val="0"/>
      <w:marTop w:val="0"/>
      <w:marBottom w:val="0"/>
      <w:divBdr>
        <w:top w:val="none" w:sz="0" w:space="0" w:color="auto"/>
        <w:left w:val="none" w:sz="0" w:space="0" w:color="auto"/>
        <w:bottom w:val="none" w:sz="0" w:space="0" w:color="auto"/>
        <w:right w:val="none" w:sz="0" w:space="0" w:color="auto"/>
      </w:divBdr>
    </w:div>
    <w:div w:id="335424118">
      <w:bodyDiv w:val="1"/>
      <w:marLeft w:val="0"/>
      <w:marRight w:val="0"/>
      <w:marTop w:val="0"/>
      <w:marBottom w:val="0"/>
      <w:divBdr>
        <w:top w:val="none" w:sz="0" w:space="0" w:color="auto"/>
        <w:left w:val="none" w:sz="0" w:space="0" w:color="auto"/>
        <w:bottom w:val="none" w:sz="0" w:space="0" w:color="auto"/>
        <w:right w:val="none" w:sz="0" w:space="0" w:color="auto"/>
      </w:divBdr>
    </w:div>
    <w:div w:id="336809747">
      <w:bodyDiv w:val="1"/>
      <w:marLeft w:val="0"/>
      <w:marRight w:val="0"/>
      <w:marTop w:val="0"/>
      <w:marBottom w:val="0"/>
      <w:divBdr>
        <w:top w:val="none" w:sz="0" w:space="0" w:color="auto"/>
        <w:left w:val="none" w:sz="0" w:space="0" w:color="auto"/>
        <w:bottom w:val="none" w:sz="0" w:space="0" w:color="auto"/>
        <w:right w:val="none" w:sz="0" w:space="0" w:color="auto"/>
      </w:divBdr>
    </w:div>
    <w:div w:id="337121162">
      <w:bodyDiv w:val="1"/>
      <w:marLeft w:val="0"/>
      <w:marRight w:val="0"/>
      <w:marTop w:val="0"/>
      <w:marBottom w:val="0"/>
      <w:divBdr>
        <w:top w:val="none" w:sz="0" w:space="0" w:color="auto"/>
        <w:left w:val="none" w:sz="0" w:space="0" w:color="auto"/>
        <w:bottom w:val="none" w:sz="0" w:space="0" w:color="auto"/>
        <w:right w:val="none" w:sz="0" w:space="0" w:color="auto"/>
      </w:divBdr>
    </w:div>
    <w:div w:id="337199956">
      <w:bodyDiv w:val="1"/>
      <w:marLeft w:val="0"/>
      <w:marRight w:val="0"/>
      <w:marTop w:val="0"/>
      <w:marBottom w:val="0"/>
      <w:divBdr>
        <w:top w:val="none" w:sz="0" w:space="0" w:color="auto"/>
        <w:left w:val="none" w:sz="0" w:space="0" w:color="auto"/>
        <w:bottom w:val="none" w:sz="0" w:space="0" w:color="auto"/>
        <w:right w:val="none" w:sz="0" w:space="0" w:color="auto"/>
      </w:divBdr>
    </w:div>
    <w:div w:id="338392564">
      <w:bodyDiv w:val="1"/>
      <w:marLeft w:val="0"/>
      <w:marRight w:val="0"/>
      <w:marTop w:val="0"/>
      <w:marBottom w:val="0"/>
      <w:divBdr>
        <w:top w:val="none" w:sz="0" w:space="0" w:color="auto"/>
        <w:left w:val="none" w:sz="0" w:space="0" w:color="auto"/>
        <w:bottom w:val="none" w:sz="0" w:space="0" w:color="auto"/>
        <w:right w:val="none" w:sz="0" w:space="0" w:color="auto"/>
      </w:divBdr>
    </w:div>
    <w:div w:id="339088334">
      <w:bodyDiv w:val="1"/>
      <w:marLeft w:val="0"/>
      <w:marRight w:val="0"/>
      <w:marTop w:val="0"/>
      <w:marBottom w:val="0"/>
      <w:divBdr>
        <w:top w:val="none" w:sz="0" w:space="0" w:color="auto"/>
        <w:left w:val="none" w:sz="0" w:space="0" w:color="auto"/>
        <w:bottom w:val="none" w:sz="0" w:space="0" w:color="auto"/>
        <w:right w:val="none" w:sz="0" w:space="0" w:color="auto"/>
      </w:divBdr>
    </w:div>
    <w:div w:id="339161241">
      <w:bodyDiv w:val="1"/>
      <w:marLeft w:val="0"/>
      <w:marRight w:val="0"/>
      <w:marTop w:val="0"/>
      <w:marBottom w:val="0"/>
      <w:divBdr>
        <w:top w:val="none" w:sz="0" w:space="0" w:color="auto"/>
        <w:left w:val="none" w:sz="0" w:space="0" w:color="auto"/>
        <w:bottom w:val="none" w:sz="0" w:space="0" w:color="auto"/>
        <w:right w:val="none" w:sz="0" w:space="0" w:color="auto"/>
      </w:divBdr>
    </w:div>
    <w:div w:id="339310032">
      <w:bodyDiv w:val="1"/>
      <w:marLeft w:val="0"/>
      <w:marRight w:val="0"/>
      <w:marTop w:val="0"/>
      <w:marBottom w:val="0"/>
      <w:divBdr>
        <w:top w:val="none" w:sz="0" w:space="0" w:color="auto"/>
        <w:left w:val="none" w:sz="0" w:space="0" w:color="auto"/>
        <w:bottom w:val="none" w:sz="0" w:space="0" w:color="auto"/>
        <w:right w:val="none" w:sz="0" w:space="0" w:color="auto"/>
      </w:divBdr>
    </w:div>
    <w:div w:id="340010809">
      <w:bodyDiv w:val="1"/>
      <w:marLeft w:val="0"/>
      <w:marRight w:val="0"/>
      <w:marTop w:val="0"/>
      <w:marBottom w:val="0"/>
      <w:divBdr>
        <w:top w:val="none" w:sz="0" w:space="0" w:color="auto"/>
        <w:left w:val="none" w:sz="0" w:space="0" w:color="auto"/>
        <w:bottom w:val="none" w:sz="0" w:space="0" w:color="auto"/>
        <w:right w:val="none" w:sz="0" w:space="0" w:color="auto"/>
      </w:divBdr>
    </w:div>
    <w:div w:id="345715904">
      <w:bodyDiv w:val="1"/>
      <w:marLeft w:val="0"/>
      <w:marRight w:val="0"/>
      <w:marTop w:val="0"/>
      <w:marBottom w:val="0"/>
      <w:divBdr>
        <w:top w:val="none" w:sz="0" w:space="0" w:color="auto"/>
        <w:left w:val="none" w:sz="0" w:space="0" w:color="auto"/>
        <w:bottom w:val="none" w:sz="0" w:space="0" w:color="auto"/>
        <w:right w:val="none" w:sz="0" w:space="0" w:color="auto"/>
      </w:divBdr>
    </w:div>
    <w:div w:id="346490659">
      <w:bodyDiv w:val="1"/>
      <w:marLeft w:val="0"/>
      <w:marRight w:val="0"/>
      <w:marTop w:val="0"/>
      <w:marBottom w:val="0"/>
      <w:divBdr>
        <w:top w:val="none" w:sz="0" w:space="0" w:color="auto"/>
        <w:left w:val="none" w:sz="0" w:space="0" w:color="auto"/>
        <w:bottom w:val="none" w:sz="0" w:space="0" w:color="auto"/>
        <w:right w:val="none" w:sz="0" w:space="0" w:color="auto"/>
      </w:divBdr>
    </w:div>
    <w:div w:id="346641517">
      <w:bodyDiv w:val="1"/>
      <w:marLeft w:val="0"/>
      <w:marRight w:val="0"/>
      <w:marTop w:val="0"/>
      <w:marBottom w:val="0"/>
      <w:divBdr>
        <w:top w:val="none" w:sz="0" w:space="0" w:color="auto"/>
        <w:left w:val="none" w:sz="0" w:space="0" w:color="auto"/>
        <w:bottom w:val="none" w:sz="0" w:space="0" w:color="auto"/>
        <w:right w:val="none" w:sz="0" w:space="0" w:color="auto"/>
      </w:divBdr>
    </w:div>
    <w:div w:id="347340978">
      <w:bodyDiv w:val="1"/>
      <w:marLeft w:val="0"/>
      <w:marRight w:val="0"/>
      <w:marTop w:val="0"/>
      <w:marBottom w:val="0"/>
      <w:divBdr>
        <w:top w:val="none" w:sz="0" w:space="0" w:color="auto"/>
        <w:left w:val="none" w:sz="0" w:space="0" w:color="auto"/>
        <w:bottom w:val="none" w:sz="0" w:space="0" w:color="auto"/>
        <w:right w:val="none" w:sz="0" w:space="0" w:color="auto"/>
      </w:divBdr>
    </w:div>
    <w:div w:id="347413530">
      <w:bodyDiv w:val="1"/>
      <w:marLeft w:val="0"/>
      <w:marRight w:val="0"/>
      <w:marTop w:val="0"/>
      <w:marBottom w:val="0"/>
      <w:divBdr>
        <w:top w:val="none" w:sz="0" w:space="0" w:color="auto"/>
        <w:left w:val="none" w:sz="0" w:space="0" w:color="auto"/>
        <w:bottom w:val="none" w:sz="0" w:space="0" w:color="auto"/>
        <w:right w:val="none" w:sz="0" w:space="0" w:color="auto"/>
      </w:divBdr>
    </w:div>
    <w:div w:id="348681450">
      <w:bodyDiv w:val="1"/>
      <w:marLeft w:val="0"/>
      <w:marRight w:val="0"/>
      <w:marTop w:val="0"/>
      <w:marBottom w:val="0"/>
      <w:divBdr>
        <w:top w:val="none" w:sz="0" w:space="0" w:color="auto"/>
        <w:left w:val="none" w:sz="0" w:space="0" w:color="auto"/>
        <w:bottom w:val="none" w:sz="0" w:space="0" w:color="auto"/>
        <w:right w:val="none" w:sz="0" w:space="0" w:color="auto"/>
      </w:divBdr>
    </w:div>
    <w:div w:id="350031073">
      <w:bodyDiv w:val="1"/>
      <w:marLeft w:val="0"/>
      <w:marRight w:val="0"/>
      <w:marTop w:val="0"/>
      <w:marBottom w:val="0"/>
      <w:divBdr>
        <w:top w:val="none" w:sz="0" w:space="0" w:color="auto"/>
        <w:left w:val="none" w:sz="0" w:space="0" w:color="auto"/>
        <w:bottom w:val="none" w:sz="0" w:space="0" w:color="auto"/>
        <w:right w:val="none" w:sz="0" w:space="0" w:color="auto"/>
      </w:divBdr>
    </w:div>
    <w:div w:id="351154502">
      <w:bodyDiv w:val="1"/>
      <w:marLeft w:val="0"/>
      <w:marRight w:val="0"/>
      <w:marTop w:val="0"/>
      <w:marBottom w:val="0"/>
      <w:divBdr>
        <w:top w:val="none" w:sz="0" w:space="0" w:color="auto"/>
        <w:left w:val="none" w:sz="0" w:space="0" w:color="auto"/>
        <w:bottom w:val="none" w:sz="0" w:space="0" w:color="auto"/>
        <w:right w:val="none" w:sz="0" w:space="0" w:color="auto"/>
      </w:divBdr>
    </w:div>
    <w:div w:id="351686330">
      <w:bodyDiv w:val="1"/>
      <w:marLeft w:val="0"/>
      <w:marRight w:val="0"/>
      <w:marTop w:val="0"/>
      <w:marBottom w:val="0"/>
      <w:divBdr>
        <w:top w:val="none" w:sz="0" w:space="0" w:color="auto"/>
        <w:left w:val="none" w:sz="0" w:space="0" w:color="auto"/>
        <w:bottom w:val="none" w:sz="0" w:space="0" w:color="auto"/>
        <w:right w:val="none" w:sz="0" w:space="0" w:color="auto"/>
      </w:divBdr>
    </w:div>
    <w:div w:id="351994507">
      <w:bodyDiv w:val="1"/>
      <w:marLeft w:val="0"/>
      <w:marRight w:val="0"/>
      <w:marTop w:val="0"/>
      <w:marBottom w:val="0"/>
      <w:divBdr>
        <w:top w:val="none" w:sz="0" w:space="0" w:color="auto"/>
        <w:left w:val="none" w:sz="0" w:space="0" w:color="auto"/>
        <w:bottom w:val="none" w:sz="0" w:space="0" w:color="auto"/>
        <w:right w:val="none" w:sz="0" w:space="0" w:color="auto"/>
      </w:divBdr>
    </w:div>
    <w:div w:id="356932227">
      <w:bodyDiv w:val="1"/>
      <w:marLeft w:val="0"/>
      <w:marRight w:val="0"/>
      <w:marTop w:val="0"/>
      <w:marBottom w:val="0"/>
      <w:divBdr>
        <w:top w:val="none" w:sz="0" w:space="0" w:color="auto"/>
        <w:left w:val="none" w:sz="0" w:space="0" w:color="auto"/>
        <w:bottom w:val="none" w:sz="0" w:space="0" w:color="auto"/>
        <w:right w:val="none" w:sz="0" w:space="0" w:color="auto"/>
      </w:divBdr>
    </w:div>
    <w:div w:id="357901421">
      <w:bodyDiv w:val="1"/>
      <w:marLeft w:val="0"/>
      <w:marRight w:val="0"/>
      <w:marTop w:val="0"/>
      <w:marBottom w:val="0"/>
      <w:divBdr>
        <w:top w:val="none" w:sz="0" w:space="0" w:color="auto"/>
        <w:left w:val="none" w:sz="0" w:space="0" w:color="auto"/>
        <w:bottom w:val="none" w:sz="0" w:space="0" w:color="auto"/>
        <w:right w:val="none" w:sz="0" w:space="0" w:color="auto"/>
      </w:divBdr>
    </w:div>
    <w:div w:id="358119412">
      <w:bodyDiv w:val="1"/>
      <w:marLeft w:val="0"/>
      <w:marRight w:val="0"/>
      <w:marTop w:val="0"/>
      <w:marBottom w:val="0"/>
      <w:divBdr>
        <w:top w:val="none" w:sz="0" w:space="0" w:color="auto"/>
        <w:left w:val="none" w:sz="0" w:space="0" w:color="auto"/>
        <w:bottom w:val="none" w:sz="0" w:space="0" w:color="auto"/>
        <w:right w:val="none" w:sz="0" w:space="0" w:color="auto"/>
      </w:divBdr>
    </w:div>
    <w:div w:id="360715904">
      <w:bodyDiv w:val="1"/>
      <w:marLeft w:val="0"/>
      <w:marRight w:val="0"/>
      <w:marTop w:val="0"/>
      <w:marBottom w:val="0"/>
      <w:divBdr>
        <w:top w:val="none" w:sz="0" w:space="0" w:color="auto"/>
        <w:left w:val="none" w:sz="0" w:space="0" w:color="auto"/>
        <w:bottom w:val="none" w:sz="0" w:space="0" w:color="auto"/>
        <w:right w:val="none" w:sz="0" w:space="0" w:color="auto"/>
      </w:divBdr>
    </w:div>
    <w:div w:id="360975255">
      <w:bodyDiv w:val="1"/>
      <w:marLeft w:val="0"/>
      <w:marRight w:val="0"/>
      <w:marTop w:val="0"/>
      <w:marBottom w:val="0"/>
      <w:divBdr>
        <w:top w:val="none" w:sz="0" w:space="0" w:color="auto"/>
        <w:left w:val="none" w:sz="0" w:space="0" w:color="auto"/>
        <w:bottom w:val="none" w:sz="0" w:space="0" w:color="auto"/>
        <w:right w:val="none" w:sz="0" w:space="0" w:color="auto"/>
      </w:divBdr>
    </w:div>
    <w:div w:id="363142844">
      <w:bodyDiv w:val="1"/>
      <w:marLeft w:val="0"/>
      <w:marRight w:val="0"/>
      <w:marTop w:val="0"/>
      <w:marBottom w:val="0"/>
      <w:divBdr>
        <w:top w:val="none" w:sz="0" w:space="0" w:color="auto"/>
        <w:left w:val="none" w:sz="0" w:space="0" w:color="auto"/>
        <w:bottom w:val="none" w:sz="0" w:space="0" w:color="auto"/>
        <w:right w:val="none" w:sz="0" w:space="0" w:color="auto"/>
      </w:divBdr>
    </w:div>
    <w:div w:id="363407337">
      <w:bodyDiv w:val="1"/>
      <w:marLeft w:val="0"/>
      <w:marRight w:val="0"/>
      <w:marTop w:val="0"/>
      <w:marBottom w:val="0"/>
      <w:divBdr>
        <w:top w:val="none" w:sz="0" w:space="0" w:color="auto"/>
        <w:left w:val="none" w:sz="0" w:space="0" w:color="auto"/>
        <w:bottom w:val="none" w:sz="0" w:space="0" w:color="auto"/>
        <w:right w:val="none" w:sz="0" w:space="0" w:color="auto"/>
      </w:divBdr>
    </w:div>
    <w:div w:id="367264253">
      <w:bodyDiv w:val="1"/>
      <w:marLeft w:val="0"/>
      <w:marRight w:val="0"/>
      <w:marTop w:val="0"/>
      <w:marBottom w:val="0"/>
      <w:divBdr>
        <w:top w:val="none" w:sz="0" w:space="0" w:color="auto"/>
        <w:left w:val="none" w:sz="0" w:space="0" w:color="auto"/>
        <w:bottom w:val="none" w:sz="0" w:space="0" w:color="auto"/>
        <w:right w:val="none" w:sz="0" w:space="0" w:color="auto"/>
      </w:divBdr>
    </w:div>
    <w:div w:id="367802200">
      <w:bodyDiv w:val="1"/>
      <w:marLeft w:val="0"/>
      <w:marRight w:val="0"/>
      <w:marTop w:val="0"/>
      <w:marBottom w:val="0"/>
      <w:divBdr>
        <w:top w:val="none" w:sz="0" w:space="0" w:color="auto"/>
        <w:left w:val="none" w:sz="0" w:space="0" w:color="auto"/>
        <w:bottom w:val="none" w:sz="0" w:space="0" w:color="auto"/>
        <w:right w:val="none" w:sz="0" w:space="0" w:color="auto"/>
      </w:divBdr>
    </w:div>
    <w:div w:id="368266680">
      <w:bodyDiv w:val="1"/>
      <w:marLeft w:val="0"/>
      <w:marRight w:val="0"/>
      <w:marTop w:val="0"/>
      <w:marBottom w:val="0"/>
      <w:divBdr>
        <w:top w:val="none" w:sz="0" w:space="0" w:color="auto"/>
        <w:left w:val="none" w:sz="0" w:space="0" w:color="auto"/>
        <w:bottom w:val="none" w:sz="0" w:space="0" w:color="auto"/>
        <w:right w:val="none" w:sz="0" w:space="0" w:color="auto"/>
      </w:divBdr>
    </w:div>
    <w:div w:id="368916000">
      <w:bodyDiv w:val="1"/>
      <w:marLeft w:val="0"/>
      <w:marRight w:val="0"/>
      <w:marTop w:val="0"/>
      <w:marBottom w:val="0"/>
      <w:divBdr>
        <w:top w:val="none" w:sz="0" w:space="0" w:color="auto"/>
        <w:left w:val="none" w:sz="0" w:space="0" w:color="auto"/>
        <w:bottom w:val="none" w:sz="0" w:space="0" w:color="auto"/>
        <w:right w:val="none" w:sz="0" w:space="0" w:color="auto"/>
      </w:divBdr>
    </w:div>
    <w:div w:id="369034276">
      <w:bodyDiv w:val="1"/>
      <w:marLeft w:val="0"/>
      <w:marRight w:val="0"/>
      <w:marTop w:val="0"/>
      <w:marBottom w:val="0"/>
      <w:divBdr>
        <w:top w:val="none" w:sz="0" w:space="0" w:color="auto"/>
        <w:left w:val="none" w:sz="0" w:space="0" w:color="auto"/>
        <w:bottom w:val="none" w:sz="0" w:space="0" w:color="auto"/>
        <w:right w:val="none" w:sz="0" w:space="0" w:color="auto"/>
      </w:divBdr>
    </w:div>
    <w:div w:id="370689346">
      <w:bodyDiv w:val="1"/>
      <w:marLeft w:val="0"/>
      <w:marRight w:val="0"/>
      <w:marTop w:val="0"/>
      <w:marBottom w:val="0"/>
      <w:divBdr>
        <w:top w:val="none" w:sz="0" w:space="0" w:color="auto"/>
        <w:left w:val="none" w:sz="0" w:space="0" w:color="auto"/>
        <w:bottom w:val="none" w:sz="0" w:space="0" w:color="auto"/>
        <w:right w:val="none" w:sz="0" w:space="0" w:color="auto"/>
      </w:divBdr>
    </w:div>
    <w:div w:id="375587083">
      <w:bodyDiv w:val="1"/>
      <w:marLeft w:val="0"/>
      <w:marRight w:val="0"/>
      <w:marTop w:val="0"/>
      <w:marBottom w:val="0"/>
      <w:divBdr>
        <w:top w:val="none" w:sz="0" w:space="0" w:color="auto"/>
        <w:left w:val="none" w:sz="0" w:space="0" w:color="auto"/>
        <w:bottom w:val="none" w:sz="0" w:space="0" w:color="auto"/>
        <w:right w:val="none" w:sz="0" w:space="0" w:color="auto"/>
      </w:divBdr>
    </w:div>
    <w:div w:id="377358939">
      <w:bodyDiv w:val="1"/>
      <w:marLeft w:val="0"/>
      <w:marRight w:val="0"/>
      <w:marTop w:val="0"/>
      <w:marBottom w:val="0"/>
      <w:divBdr>
        <w:top w:val="none" w:sz="0" w:space="0" w:color="auto"/>
        <w:left w:val="none" w:sz="0" w:space="0" w:color="auto"/>
        <w:bottom w:val="none" w:sz="0" w:space="0" w:color="auto"/>
        <w:right w:val="none" w:sz="0" w:space="0" w:color="auto"/>
      </w:divBdr>
    </w:div>
    <w:div w:id="378360924">
      <w:bodyDiv w:val="1"/>
      <w:marLeft w:val="0"/>
      <w:marRight w:val="0"/>
      <w:marTop w:val="0"/>
      <w:marBottom w:val="0"/>
      <w:divBdr>
        <w:top w:val="none" w:sz="0" w:space="0" w:color="auto"/>
        <w:left w:val="none" w:sz="0" w:space="0" w:color="auto"/>
        <w:bottom w:val="none" w:sz="0" w:space="0" w:color="auto"/>
        <w:right w:val="none" w:sz="0" w:space="0" w:color="auto"/>
      </w:divBdr>
    </w:div>
    <w:div w:id="378670041">
      <w:bodyDiv w:val="1"/>
      <w:marLeft w:val="0"/>
      <w:marRight w:val="0"/>
      <w:marTop w:val="0"/>
      <w:marBottom w:val="0"/>
      <w:divBdr>
        <w:top w:val="none" w:sz="0" w:space="0" w:color="auto"/>
        <w:left w:val="none" w:sz="0" w:space="0" w:color="auto"/>
        <w:bottom w:val="none" w:sz="0" w:space="0" w:color="auto"/>
        <w:right w:val="none" w:sz="0" w:space="0" w:color="auto"/>
      </w:divBdr>
    </w:div>
    <w:div w:id="379015955">
      <w:bodyDiv w:val="1"/>
      <w:marLeft w:val="0"/>
      <w:marRight w:val="0"/>
      <w:marTop w:val="0"/>
      <w:marBottom w:val="0"/>
      <w:divBdr>
        <w:top w:val="none" w:sz="0" w:space="0" w:color="auto"/>
        <w:left w:val="none" w:sz="0" w:space="0" w:color="auto"/>
        <w:bottom w:val="none" w:sz="0" w:space="0" w:color="auto"/>
        <w:right w:val="none" w:sz="0" w:space="0" w:color="auto"/>
      </w:divBdr>
    </w:div>
    <w:div w:id="379982828">
      <w:bodyDiv w:val="1"/>
      <w:marLeft w:val="0"/>
      <w:marRight w:val="0"/>
      <w:marTop w:val="0"/>
      <w:marBottom w:val="0"/>
      <w:divBdr>
        <w:top w:val="none" w:sz="0" w:space="0" w:color="auto"/>
        <w:left w:val="none" w:sz="0" w:space="0" w:color="auto"/>
        <w:bottom w:val="none" w:sz="0" w:space="0" w:color="auto"/>
        <w:right w:val="none" w:sz="0" w:space="0" w:color="auto"/>
      </w:divBdr>
    </w:div>
    <w:div w:id="380059660">
      <w:bodyDiv w:val="1"/>
      <w:marLeft w:val="0"/>
      <w:marRight w:val="0"/>
      <w:marTop w:val="0"/>
      <w:marBottom w:val="0"/>
      <w:divBdr>
        <w:top w:val="none" w:sz="0" w:space="0" w:color="auto"/>
        <w:left w:val="none" w:sz="0" w:space="0" w:color="auto"/>
        <w:bottom w:val="none" w:sz="0" w:space="0" w:color="auto"/>
        <w:right w:val="none" w:sz="0" w:space="0" w:color="auto"/>
      </w:divBdr>
    </w:div>
    <w:div w:id="382415050">
      <w:bodyDiv w:val="1"/>
      <w:marLeft w:val="0"/>
      <w:marRight w:val="0"/>
      <w:marTop w:val="0"/>
      <w:marBottom w:val="0"/>
      <w:divBdr>
        <w:top w:val="none" w:sz="0" w:space="0" w:color="auto"/>
        <w:left w:val="none" w:sz="0" w:space="0" w:color="auto"/>
        <w:bottom w:val="none" w:sz="0" w:space="0" w:color="auto"/>
        <w:right w:val="none" w:sz="0" w:space="0" w:color="auto"/>
      </w:divBdr>
    </w:div>
    <w:div w:id="387844857">
      <w:bodyDiv w:val="1"/>
      <w:marLeft w:val="0"/>
      <w:marRight w:val="0"/>
      <w:marTop w:val="0"/>
      <w:marBottom w:val="0"/>
      <w:divBdr>
        <w:top w:val="none" w:sz="0" w:space="0" w:color="auto"/>
        <w:left w:val="none" w:sz="0" w:space="0" w:color="auto"/>
        <w:bottom w:val="none" w:sz="0" w:space="0" w:color="auto"/>
        <w:right w:val="none" w:sz="0" w:space="0" w:color="auto"/>
      </w:divBdr>
    </w:div>
    <w:div w:id="390811018">
      <w:bodyDiv w:val="1"/>
      <w:marLeft w:val="0"/>
      <w:marRight w:val="0"/>
      <w:marTop w:val="0"/>
      <w:marBottom w:val="0"/>
      <w:divBdr>
        <w:top w:val="none" w:sz="0" w:space="0" w:color="auto"/>
        <w:left w:val="none" w:sz="0" w:space="0" w:color="auto"/>
        <w:bottom w:val="none" w:sz="0" w:space="0" w:color="auto"/>
        <w:right w:val="none" w:sz="0" w:space="0" w:color="auto"/>
      </w:divBdr>
    </w:div>
    <w:div w:id="390925254">
      <w:bodyDiv w:val="1"/>
      <w:marLeft w:val="0"/>
      <w:marRight w:val="0"/>
      <w:marTop w:val="0"/>
      <w:marBottom w:val="0"/>
      <w:divBdr>
        <w:top w:val="none" w:sz="0" w:space="0" w:color="auto"/>
        <w:left w:val="none" w:sz="0" w:space="0" w:color="auto"/>
        <w:bottom w:val="none" w:sz="0" w:space="0" w:color="auto"/>
        <w:right w:val="none" w:sz="0" w:space="0" w:color="auto"/>
      </w:divBdr>
    </w:div>
    <w:div w:id="391774862">
      <w:bodyDiv w:val="1"/>
      <w:marLeft w:val="0"/>
      <w:marRight w:val="0"/>
      <w:marTop w:val="0"/>
      <w:marBottom w:val="0"/>
      <w:divBdr>
        <w:top w:val="none" w:sz="0" w:space="0" w:color="auto"/>
        <w:left w:val="none" w:sz="0" w:space="0" w:color="auto"/>
        <w:bottom w:val="none" w:sz="0" w:space="0" w:color="auto"/>
        <w:right w:val="none" w:sz="0" w:space="0" w:color="auto"/>
      </w:divBdr>
    </w:div>
    <w:div w:id="393428814">
      <w:bodyDiv w:val="1"/>
      <w:marLeft w:val="0"/>
      <w:marRight w:val="0"/>
      <w:marTop w:val="0"/>
      <w:marBottom w:val="0"/>
      <w:divBdr>
        <w:top w:val="none" w:sz="0" w:space="0" w:color="auto"/>
        <w:left w:val="none" w:sz="0" w:space="0" w:color="auto"/>
        <w:bottom w:val="none" w:sz="0" w:space="0" w:color="auto"/>
        <w:right w:val="none" w:sz="0" w:space="0" w:color="auto"/>
      </w:divBdr>
    </w:div>
    <w:div w:id="394546670">
      <w:bodyDiv w:val="1"/>
      <w:marLeft w:val="0"/>
      <w:marRight w:val="0"/>
      <w:marTop w:val="0"/>
      <w:marBottom w:val="0"/>
      <w:divBdr>
        <w:top w:val="none" w:sz="0" w:space="0" w:color="auto"/>
        <w:left w:val="none" w:sz="0" w:space="0" w:color="auto"/>
        <w:bottom w:val="none" w:sz="0" w:space="0" w:color="auto"/>
        <w:right w:val="none" w:sz="0" w:space="0" w:color="auto"/>
      </w:divBdr>
    </w:div>
    <w:div w:id="395320758">
      <w:bodyDiv w:val="1"/>
      <w:marLeft w:val="0"/>
      <w:marRight w:val="0"/>
      <w:marTop w:val="0"/>
      <w:marBottom w:val="0"/>
      <w:divBdr>
        <w:top w:val="none" w:sz="0" w:space="0" w:color="auto"/>
        <w:left w:val="none" w:sz="0" w:space="0" w:color="auto"/>
        <w:bottom w:val="none" w:sz="0" w:space="0" w:color="auto"/>
        <w:right w:val="none" w:sz="0" w:space="0" w:color="auto"/>
      </w:divBdr>
    </w:div>
    <w:div w:id="395520366">
      <w:bodyDiv w:val="1"/>
      <w:marLeft w:val="0"/>
      <w:marRight w:val="0"/>
      <w:marTop w:val="0"/>
      <w:marBottom w:val="0"/>
      <w:divBdr>
        <w:top w:val="none" w:sz="0" w:space="0" w:color="auto"/>
        <w:left w:val="none" w:sz="0" w:space="0" w:color="auto"/>
        <w:bottom w:val="none" w:sz="0" w:space="0" w:color="auto"/>
        <w:right w:val="none" w:sz="0" w:space="0" w:color="auto"/>
      </w:divBdr>
    </w:div>
    <w:div w:id="397746877">
      <w:bodyDiv w:val="1"/>
      <w:marLeft w:val="0"/>
      <w:marRight w:val="0"/>
      <w:marTop w:val="0"/>
      <w:marBottom w:val="0"/>
      <w:divBdr>
        <w:top w:val="none" w:sz="0" w:space="0" w:color="auto"/>
        <w:left w:val="none" w:sz="0" w:space="0" w:color="auto"/>
        <w:bottom w:val="none" w:sz="0" w:space="0" w:color="auto"/>
        <w:right w:val="none" w:sz="0" w:space="0" w:color="auto"/>
      </w:divBdr>
    </w:div>
    <w:div w:id="399788912">
      <w:bodyDiv w:val="1"/>
      <w:marLeft w:val="0"/>
      <w:marRight w:val="0"/>
      <w:marTop w:val="0"/>
      <w:marBottom w:val="0"/>
      <w:divBdr>
        <w:top w:val="none" w:sz="0" w:space="0" w:color="auto"/>
        <w:left w:val="none" w:sz="0" w:space="0" w:color="auto"/>
        <w:bottom w:val="none" w:sz="0" w:space="0" w:color="auto"/>
        <w:right w:val="none" w:sz="0" w:space="0" w:color="auto"/>
      </w:divBdr>
    </w:div>
    <w:div w:id="400032262">
      <w:bodyDiv w:val="1"/>
      <w:marLeft w:val="0"/>
      <w:marRight w:val="0"/>
      <w:marTop w:val="0"/>
      <w:marBottom w:val="0"/>
      <w:divBdr>
        <w:top w:val="none" w:sz="0" w:space="0" w:color="auto"/>
        <w:left w:val="none" w:sz="0" w:space="0" w:color="auto"/>
        <w:bottom w:val="none" w:sz="0" w:space="0" w:color="auto"/>
        <w:right w:val="none" w:sz="0" w:space="0" w:color="auto"/>
      </w:divBdr>
    </w:div>
    <w:div w:id="403452422">
      <w:bodyDiv w:val="1"/>
      <w:marLeft w:val="0"/>
      <w:marRight w:val="0"/>
      <w:marTop w:val="0"/>
      <w:marBottom w:val="0"/>
      <w:divBdr>
        <w:top w:val="none" w:sz="0" w:space="0" w:color="auto"/>
        <w:left w:val="none" w:sz="0" w:space="0" w:color="auto"/>
        <w:bottom w:val="none" w:sz="0" w:space="0" w:color="auto"/>
        <w:right w:val="none" w:sz="0" w:space="0" w:color="auto"/>
      </w:divBdr>
    </w:div>
    <w:div w:id="403993396">
      <w:bodyDiv w:val="1"/>
      <w:marLeft w:val="0"/>
      <w:marRight w:val="0"/>
      <w:marTop w:val="0"/>
      <w:marBottom w:val="0"/>
      <w:divBdr>
        <w:top w:val="none" w:sz="0" w:space="0" w:color="auto"/>
        <w:left w:val="none" w:sz="0" w:space="0" w:color="auto"/>
        <w:bottom w:val="none" w:sz="0" w:space="0" w:color="auto"/>
        <w:right w:val="none" w:sz="0" w:space="0" w:color="auto"/>
      </w:divBdr>
      <w:divsChild>
        <w:div w:id="988047870">
          <w:marLeft w:val="547"/>
          <w:marRight w:val="0"/>
          <w:marTop w:val="115"/>
          <w:marBottom w:val="0"/>
          <w:divBdr>
            <w:top w:val="none" w:sz="0" w:space="0" w:color="auto"/>
            <w:left w:val="none" w:sz="0" w:space="0" w:color="auto"/>
            <w:bottom w:val="none" w:sz="0" w:space="0" w:color="auto"/>
            <w:right w:val="none" w:sz="0" w:space="0" w:color="auto"/>
          </w:divBdr>
        </w:div>
        <w:div w:id="1509906979">
          <w:marLeft w:val="547"/>
          <w:marRight w:val="0"/>
          <w:marTop w:val="115"/>
          <w:marBottom w:val="0"/>
          <w:divBdr>
            <w:top w:val="none" w:sz="0" w:space="0" w:color="auto"/>
            <w:left w:val="none" w:sz="0" w:space="0" w:color="auto"/>
            <w:bottom w:val="none" w:sz="0" w:space="0" w:color="auto"/>
            <w:right w:val="none" w:sz="0" w:space="0" w:color="auto"/>
          </w:divBdr>
        </w:div>
        <w:div w:id="1519540061">
          <w:marLeft w:val="547"/>
          <w:marRight w:val="0"/>
          <w:marTop w:val="115"/>
          <w:marBottom w:val="0"/>
          <w:divBdr>
            <w:top w:val="none" w:sz="0" w:space="0" w:color="auto"/>
            <w:left w:val="none" w:sz="0" w:space="0" w:color="auto"/>
            <w:bottom w:val="none" w:sz="0" w:space="0" w:color="auto"/>
            <w:right w:val="none" w:sz="0" w:space="0" w:color="auto"/>
          </w:divBdr>
        </w:div>
        <w:div w:id="1539972185">
          <w:marLeft w:val="547"/>
          <w:marRight w:val="0"/>
          <w:marTop w:val="115"/>
          <w:marBottom w:val="0"/>
          <w:divBdr>
            <w:top w:val="none" w:sz="0" w:space="0" w:color="auto"/>
            <w:left w:val="none" w:sz="0" w:space="0" w:color="auto"/>
            <w:bottom w:val="none" w:sz="0" w:space="0" w:color="auto"/>
            <w:right w:val="none" w:sz="0" w:space="0" w:color="auto"/>
          </w:divBdr>
        </w:div>
        <w:div w:id="2036884152">
          <w:marLeft w:val="547"/>
          <w:marRight w:val="0"/>
          <w:marTop w:val="115"/>
          <w:marBottom w:val="0"/>
          <w:divBdr>
            <w:top w:val="none" w:sz="0" w:space="0" w:color="auto"/>
            <w:left w:val="none" w:sz="0" w:space="0" w:color="auto"/>
            <w:bottom w:val="none" w:sz="0" w:space="0" w:color="auto"/>
            <w:right w:val="none" w:sz="0" w:space="0" w:color="auto"/>
          </w:divBdr>
        </w:div>
      </w:divsChild>
    </w:div>
    <w:div w:id="407503857">
      <w:bodyDiv w:val="1"/>
      <w:marLeft w:val="0"/>
      <w:marRight w:val="0"/>
      <w:marTop w:val="0"/>
      <w:marBottom w:val="0"/>
      <w:divBdr>
        <w:top w:val="none" w:sz="0" w:space="0" w:color="auto"/>
        <w:left w:val="none" w:sz="0" w:space="0" w:color="auto"/>
        <w:bottom w:val="none" w:sz="0" w:space="0" w:color="auto"/>
        <w:right w:val="none" w:sz="0" w:space="0" w:color="auto"/>
      </w:divBdr>
    </w:div>
    <w:div w:id="408620803">
      <w:bodyDiv w:val="1"/>
      <w:marLeft w:val="0"/>
      <w:marRight w:val="0"/>
      <w:marTop w:val="0"/>
      <w:marBottom w:val="0"/>
      <w:divBdr>
        <w:top w:val="none" w:sz="0" w:space="0" w:color="auto"/>
        <w:left w:val="none" w:sz="0" w:space="0" w:color="auto"/>
        <w:bottom w:val="none" w:sz="0" w:space="0" w:color="auto"/>
        <w:right w:val="none" w:sz="0" w:space="0" w:color="auto"/>
      </w:divBdr>
    </w:div>
    <w:div w:id="409891646">
      <w:bodyDiv w:val="1"/>
      <w:marLeft w:val="0"/>
      <w:marRight w:val="0"/>
      <w:marTop w:val="0"/>
      <w:marBottom w:val="0"/>
      <w:divBdr>
        <w:top w:val="none" w:sz="0" w:space="0" w:color="auto"/>
        <w:left w:val="none" w:sz="0" w:space="0" w:color="auto"/>
        <w:bottom w:val="none" w:sz="0" w:space="0" w:color="auto"/>
        <w:right w:val="none" w:sz="0" w:space="0" w:color="auto"/>
      </w:divBdr>
    </w:div>
    <w:div w:id="411246014">
      <w:bodyDiv w:val="1"/>
      <w:marLeft w:val="0"/>
      <w:marRight w:val="0"/>
      <w:marTop w:val="0"/>
      <w:marBottom w:val="0"/>
      <w:divBdr>
        <w:top w:val="none" w:sz="0" w:space="0" w:color="auto"/>
        <w:left w:val="none" w:sz="0" w:space="0" w:color="auto"/>
        <w:bottom w:val="none" w:sz="0" w:space="0" w:color="auto"/>
        <w:right w:val="none" w:sz="0" w:space="0" w:color="auto"/>
      </w:divBdr>
    </w:div>
    <w:div w:id="412239435">
      <w:bodyDiv w:val="1"/>
      <w:marLeft w:val="0"/>
      <w:marRight w:val="0"/>
      <w:marTop w:val="0"/>
      <w:marBottom w:val="0"/>
      <w:divBdr>
        <w:top w:val="none" w:sz="0" w:space="0" w:color="auto"/>
        <w:left w:val="none" w:sz="0" w:space="0" w:color="auto"/>
        <w:bottom w:val="none" w:sz="0" w:space="0" w:color="auto"/>
        <w:right w:val="none" w:sz="0" w:space="0" w:color="auto"/>
      </w:divBdr>
    </w:div>
    <w:div w:id="412554832">
      <w:bodyDiv w:val="1"/>
      <w:marLeft w:val="0"/>
      <w:marRight w:val="0"/>
      <w:marTop w:val="0"/>
      <w:marBottom w:val="0"/>
      <w:divBdr>
        <w:top w:val="none" w:sz="0" w:space="0" w:color="auto"/>
        <w:left w:val="none" w:sz="0" w:space="0" w:color="auto"/>
        <w:bottom w:val="none" w:sz="0" w:space="0" w:color="auto"/>
        <w:right w:val="none" w:sz="0" w:space="0" w:color="auto"/>
      </w:divBdr>
    </w:div>
    <w:div w:id="414668545">
      <w:bodyDiv w:val="1"/>
      <w:marLeft w:val="0"/>
      <w:marRight w:val="0"/>
      <w:marTop w:val="0"/>
      <w:marBottom w:val="0"/>
      <w:divBdr>
        <w:top w:val="none" w:sz="0" w:space="0" w:color="auto"/>
        <w:left w:val="none" w:sz="0" w:space="0" w:color="auto"/>
        <w:bottom w:val="none" w:sz="0" w:space="0" w:color="auto"/>
        <w:right w:val="none" w:sz="0" w:space="0" w:color="auto"/>
      </w:divBdr>
    </w:div>
    <w:div w:id="414978150">
      <w:bodyDiv w:val="1"/>
      <w:marLeft w:val="0"/>
      <w:marRight w:val="0"/>
      <w:marTop w:val="0"/>
      <w:marBottom w:val="0"/>
      <w:divBdr>
        <w:top w:val="none" w:sz="0" w:space="0" w:color="auto"/>
        <w:left w:val="none" w:sz="0" w:space="0" w:color="auto"/>
        <w:bottom w:val="none" w:sz="0" w:space="0" w:color="auto"/>
        <w:right w:val="none" w:sz="0" w:space="0" w:color="auto"/>
      </w:divBdr>
    </w:div>
    <w:div w:id="417017003">
      <w:bodyDiv w:val="1"/>
      <w:marLeft w:val="0"/>
      <w:marRight w:val="0"/>
      <w:marTop w:val="0"/>
      <w:marBottom w:val="0"/>
      <w:divBdr>
        <w:top w:val="none" w:sz="0" w:space="0" w:color="auto"/>
        <w:left w:val="none" w:sz="0" w:space="0" w:color="auto"/>
        <w:bottom w:val="none" w:sz="0" w:space="0" w:color="auto"/>
        <w:right w:val="none" w:sz="0" w:space="0" w:color="auto"/>
      </w:divBdr>
    </w:div>
    <w:div w:id="417213046">
      <w:bodyDiv w:val="1"/>
      <w:marLeft w:val="0"/>
      <w:marRight w:val="0"/>
      <w:marTop w:val="0"/>
      <w:marBottom w:val="0"/>
      <w:divBdr>
        <w:top w:val="none" w:sz="0" w:space="0" w:color="auto"/>
        <w:left w:val="none" w:sz="0" w:space="0" w:color="auto"/>
        <w:bottom w:val="none" w:sz="0" w:space="0" w:color="auto"/>
        <w:right w:val="none" w:sz="0" w:space="0" w:color="auto"/>
      </w:divBdr>
    </w:div>
    <w:div w:id="419370049">
      <w:bodyDiv w:val="1"/>
      <w:marLeft w:val="0"/>
      <w:marRight w:val="0"/>
      <w:marTop w:val="0"/>
      <w:marBottom w:val="0"/>
      <w:divBdr>
        <w:top w:val="none" w:sz="0" w:space="0" w:color="auto"/>
        <w:left w:val="none" w:sz="0" w:space="0" w:color="auto"/>
        <w:bottom w:val="none" w:sz="0" w:space="0" w:color="auto"/>
        <w:right w:val="none" w:sz="0" w:space="0" w:color="auto"/>
      </w:divBdr>
    </w:div>
    <w:div w:id="422803985">
      <w:bodyDiv w:val="1"/>
      <w:marLeft w:val="0"/>
      <w:marRight w:val="0"/>
      <w:marTop w:val="0"/>
      <w:marBottom w:val="0"/>
      <w:divBdr>
        <w:top w:val="none" w:sz="0" w:space="0" w:color="auto"/>
        <w:left w:val="none" w:sz="0" w:space="0" w:color="auto"/>
        <w:bottom w:val="none" w:sz="0" w:space="0" w:color="auto"/>
        <w:right w:val="none" w:sz="0" w:space="0" w:color="auto"/>
      </w:divBdr>
    </w:div>
    <w:div w:id="424571832">
      <w:bodyDiv w:val="1"/>
      <w:marLeft w:val="0"/>
      <w:marRight w:val="0"/>
      <w:marTop w:val="0"/>
      <w:marBottom w:val="0"/>
      <w:divBdr>
        <w:top w:val="none" w:sz="0" w:space="0" w:color="auto"/>
        <w:left w:val="none" w:sz="0" w:space="0" w:color="auto"/>
        <w:bottom w:val="none" w:sz="0" w:space="0" w:color="auto"/>
        <w:right w:val="none" w:sz="0" w:space="0" w:color="auto"/>
      </w:divBdr>
    </w:div>
    <w:div w:id="426005064">
      <w:bodyDiv w:val="1"/>
      <w:marLeft w:val="0"/>
      <w:marRight w:val="0"/>
      <w:marTop w:val="0"/>
      <w:marBottom w:val="0"/>
      <w:divBdr>
        <w:top w:val="none" w:sz="0" w:space="0" w:color="auto"/>
        <w:left w:val="none" w:sz="0" w:space="0" w:color="auto"/>
        <w:bottom w:val="none" w:sz="0" w:space="0" w:color="auto"/>
        <w:right w:val="none" w:sz="0" w:space="0" w:color="auto"/>
      </w:divBdr>
    </w:div>
    <w:div w:id="426581120">
      <w:bodyDiv w:val="1"/>
      <w:marLeft w:val="0"/>
      <w:marRight w:val="0"/>
      <w:marTop w:val="0"/>
      <w:marBottom w:val="0"/>
      <w:divBdr>
        <w:top w:val="none" w:sz="0" w:space="0" w:color="auto"/>
        <w:left w:val="none" w:sz="0" w:space="0" w:color="auto"/>
        <w:bottom w:val="none" w:sz="0" w:space="0" w:color="auto"/>
        <w:right w:val="none" w:sz="0" w:space="0" w:color="auto"/>
      </w:divBdr>
    </w:div>
    <w:div w:id="426926643">
      <w:bodyDiv w:val="1"/>
      <w:marLeft w:val="0"/>
      <w:marRight w:val="0"/>
      <w:marTop w:val="0"/>
      <w:marBottom w:val="0"/>
      <w:divBdr>
        <w:top w:val="none" w:sz="0" w:space="0" w:color="auto"/>
        <w:left w:val="none" w:sz="0" w:space="0" w:color="auto"/>
        <w:bottom w:val="none" w:sz="0" w:space="0" w:color="auto"/>
        <w:right w:val="none" w:sz="0" w:space="0" w:color="auto"/>
      </w:divBdr>
    </w:div>
    <w:div w:id="428933159">
      <w:bodyDiv w:val="1"/>
      <w:marLeft w:val="0"/>
      <w:marRight w:val="0"/>
      <w:marTop w:val="0"/>
      <w:marBottom w:val="0"/>
      <w:divBdr>
        <w:top w:val="none" w:sz="0" w:space="0" w:color="auto"/>
        <w:left w:val="none" w:sz="0" w:space="0" w:color="auto"/>
        <w:bottom w:val="none" w:sz="0" w:space="0" w:color="auto"/>
        <w:right w:val="none" w:sz="0" w:space="0" w:color="auto"/>
      </w:divBdr>
    </w:div>
    <w:div w:id="429669797">
      <w:bodyDiv w:val="1"/>
      <w:marLeft w:val="0"/>
      <w:marRight w:val="0"/>
      <w:marTop w:val="0"/>
      <w:marBottom w:val="0"/>
      <w:divBdr>
        <w:top w:val="none" w:sz="0" w:space="0" w:color="auto"/>
        <w:left w:val="none" w:sz="0" w:space="0" w:color="auto"/>
        <w:bottom w:val="none" w:sz="0" w:space="0" w:color="auto"/>
        <w:right w:val="none" w:sz="0" w:space="0" w:color="auto"/>
      </w:divBdr>
    </w:div>
    <w:div w:id="431635028">
      <w:bodyDiv w:val="1"/>
      <w:marLeft w:val="0"/>
      <w:marRight w:val="0"/>
      <w:marTop w:val="0"/>
      <w:marBottom w:val="0"/>
      <w:divBdr>
        <w:top w:val="none" w:sz="0" w:space="0" w:color="auto"/>
        <w:left w:val="none" w:sz="0" w:space="0" w:color="auto"/>
        <w:bottom w:val="none" w:sz="0" w:space="0" w:color="auto"/>
        <w:right w:val="none" w:sz="0" w:space="0" w:color="auto"/>
      </w:divBdr>
    </w:div>
    <w:div w:id="432021216">
      <w:bodyDiv w:val="1"/>
      <w:marLeft w:val="0"/>
      <w:marRight w:val="0"/>
      <w:marTop w:val="0"/>
      <w:marBottom w:val="0"/>
      <w:divBdr>
        <w:top w:val="none" w:sz="0" w:space="0" w:color="auto"/>
        <w:left w:val="none" w:sz="0" w:space="0" w:color="auto"/>
        <w:bottom w:val="none" w:sz="0" w:space="0" w:color="auto"/>
        <w:right w:val="none" w:sz="0" w:space="0" w:color="auto"/>
      </w:divBdr>
    </w:div>
    <w:div w:id="432939416">
      <w:bodyDiv w:val="1"/>
      <w:marLeft w:val="0"/>
      <w:marRight w:val="0"/>
      <w:marTop w:val="0"/>
      <w:marBottom w:val="0"/>
      <w:divBdr>
        <w:top w:val="none" w:sz="0" w:space="0" w:color="auto"/>
        <w:left w:val="none" w:sz="0" w:space="0" w:color="auto"/>
        <w:bottom w:val="none" w:sz="0" w:space="0" w:color="auto"/>
        <w:right w:val="none" w:sz="0" w:space="0" w:color="auto"/>
      </w:divBdr>
    </w:div>
    <w:div w:id="437606637">
      <w:bodyDiv w:val="1"/>
      <w:marLeft w:val="0"/>
      <w:marRight w:val="0"/>
      <w:marTop w:val="0"/>
      <w:marBottom w:val="0"/>
      <w:divBdr>
        <w:top w:val="none" w:sz="0" w:space="0" w:color="auto"/>
        <w:left w:val="none" w:sz="0" w:space="0" w:color="auto"/>
        <w:bottom w:val="none" w:sz="0" w:space="0" w:color="auto"/>
        <w:right w:val="none" w:sz="0" w:space="0" w:color="auto"/>
      </w:divBdr>
    </w:div>
    <w:div w:id="437987643">
      <w:bodyDiv w:val="1"/>
      <w:marLeft w:val="0"/>
      <w:marRight w:val="0"/>
      <w:marTop w:val="0"/>
      <w:marBottom w:val="0"/>
      <w:divBdr>
        <w:top w:val="none" w:sz="0" w:space="0" w:color="auto"/>
        <w:left w:val="none" w:sz="0" w:space="0" w:color="auto"/>
        <w:bottom w:val="none" w:sz="0" w:space="0" w:color="auto"/>
        <w:right w:val="none" w:sz="0" w:space="0" w:color="auto"/>
      </w:divBdr>
    </w:div>
    <w:div w:id="439371970">
      <w:bodyDiv w:val="1"/>
      <w:marLeft w:val="0"/>
      <w:marRight w:val="0"/>
      <w:marTop w:val="0"/>
      <w:marBottom w:val="0"/>
      <w:divBdr>
        <w:top w:val="none" w:sz="0" w:space="0" w:color="auto"/>
        <w:left w:val="none" w:sz="0" w:space="0" w:color="auto"/>
        <w:bottom w:val="none" w:sz="0" w:space="0" w:color="auto"/>
        <w:right w:val="none" w:sz="0" w:space="0" w:color="auto"/>
      </w:divBdr>
    </w:div>
    <w:div w:id="441388741">
      <w:bodyDiv w:val="1"/>
      <w:marLeft w:val="0"/>
      <w:marRight w:val="0"/>
      <w:marTop w:val="0"/>
      <w:marBottom w:val="0"/>
      <w:divBdr>
        <w:top w:val="none" w:sz="0" w:space="0" w:color="auto"/>
        <w:left w:val="none" w:sz="0" w:space="0" w:color="auto"/>
        <w:bottom w:val="none" w:sz="0" w:space="0" w:color="auto"/>
        <w:right w:val="none" w:sz="0" w:space="0" w:color="auto"/>
      </w:divBdr>
    </w:div>
    <w:div w:id="441805075">
      <w:bodyDiv w:val="1"/>
      <w:marLeft w:val="0"/>
      <w:marRight w:val="0"/>
      <w:marTop w:val="0"/>
      <w:marBottom w:val="0"/>
      <w:divBdr>
        <w:top w:val="none" w:sz="0" w:space="0" w:color="auto"/>
        <w:left w:val="none" w:sz="0" w:space="0" w:color="auto"/>
        <w:bottom w:val="none" w:sz="0" w:space="0" w:color="auto"/>
        <w:right w:val="none" w:sz="0" w:space="0" w:color="auto"/>
      </w:divBdr>
    </w:div>
    <w:div w:id="444035844">
      <w:bodyDiv w:val="1"/>
      <w:marLeft w:val="0"/>
      <w:marRight w:val="0"/>
      <w:marTop w:val="0"/>
      <w:marBottom w:val="0"/>
      <w:divBdr>
        <w:top w:val="none" w:sz="0" w:space="0" w:color="auto"/>
        <w:left w:val="none" w:sz="0" w:space="0" w:color="auto"/>
        <w:bottom w:val="none" w:sz="0" w:space="0" w:color="auto"/>
        <w:right w:val="none" w:sz="0" w:space="0" w:color="auto"/>
      </w:divBdr>
    </w:div>
    <w:div w:id="444471558">
      <w:bodyDiv w:val="1"/>
      <w:marLeft w:val="0"/>
      <w:marRight w:val="0"/>
      <w:marTop w:val="0"/>
      <w:marBottom w:val="0"/>
      <w:divBdr>
        <w:top w:val="none" w:sz="0" w:space="0" w:color="auto"/>
        <w:left w:val="none" w:sz="0" w:space="0" w:color="auto"/>
        <w:bottom w:val="none" w:sz="0" w:space="0" w:color="auto"/>
        <w:right w:val="none" w:sz="0" w:space="0" w:color="auto"/>
      </w:divBdr>
    </w:div>
    <w:div w:id="445587993">
      <w:bodyDiv w:val="1"/>
      <w:marLeft w:val="0"/>
      <w:marRight w:val="0"/>
      <w:marTop w:val="0"/>
      <w:marBottom w:val="0"/>
      <w:divBdr>
        <w:top w:val="none" w:sz="0" w:space="0" w:color="auto"/>
        <w:left w:val="none" w:sz="0" w:space="0" w:color="auto"/>
        <w:bottom w:val="none" w:sz="0" w:space="0" w:color="auto"/>
        <w:right w:val="none" w:sz="0" w:space="0" w:color="auto"/>
      </w:divBdr>
    </w:div>
    <w:div w:id="446311056">
      <w:bodyDiv w:val="1"/>
      <w:marLeft w:val="0"/>
      <w:marRight w:val="0"/>
      <w:marTop w:val="0"/>
      <w:marBottom w:val="0"/>
      <w:divBdr>
        <w:top w:val="none" w:sz="0" w:space="0" w:color="auto"/>
        <w:left w:val="none" w:sz="0" w:space="0" w:color="auto"/>
        <w:bottom w:val="none" w:sz="0" w:space="0" w:color="auto"/>
        <w:right w:val="none" w:sz="0" w:space="0" w:color="auto"/>
      </w:divBdr>
    </w:div>
    <w:div w:id="447626789">
      <w:bodyDiv w:val="1"/>
      <w:marLeft w:val="0"/>
      <w:marRight w:val="0"/>
      <w:marTop w:val="0"/>
      <w:marBottom w:val="0"/>
      <w:divBdr>
        <w:top w:val="none" w:sz="0" w:space="0" w:color="auto"/>
        <w:left w:val="none" w:sz="0" w:space="0" w:color="auto"/>
        <w:bottom w:val="none" w:sz="0" w:space="0" w:color="auto"/>
        <w:right w:val="none" w:sz="0" w:space="0" w:color="auto"/>
      </w:divBdr>
    </w:div>
    <w:div w:id="451171280">
      <w:bodyDiv w:val="1"/>
      <w:marLeft w:val="0"/>
      <w:marRight w:val="0"/>
      <w:marTop w:val="0"/>
      <w:marBottom w:val="0"/>
      <w:divBdr>
        <w:top w:val="none" w:sz="0" w:space="0" w:color="auto"/>
        <w:left w:val="none" w:sz="0" w:space="0" w:color="auto"/>
        <w:bottom w:val="none" w:sz="0" w:space="0" w:color="auto"/>
        <w:right w:val="none" w:sz="0" w:space="0" w:color="auto"/>
      </w:divBdr>
    </w:div>
    <w:div w:id="451902925">
      <w:bodyDiv w:val="1"/>
      <w:marLeft w:val="0"/>
      <w:marRight w:val="0"/>
      <w:marTop w:val="0"/>
      <w:marBottom w:val="0"/>
      <w:divBdr>
        <w:top w:val="none" w:sz="0" w:space="0" w:color="auto"/>
        <w:left w:val="none" w:sz="0" w:space="0" w:color="auto"/>
        <w:bottom w:val="none" w:sz="0" w:space="0" w:color="auto"/>
        <w:right w:val="none" w:sz="0" w:space="0" w:color="auto"/>
      </w:divBdr>
    </w:div>
    <w:div w:id="454443540">
      <w:bodyDiv w:val="1"/>
      <w:marLeft w:val="0"/>
      <w:marRight w:val="0"/>
      <w:marTop w:val="0"/>
      <w:marBottom w:val="0"/>
      <w:divBdr>
        <w:top w:val="none" w:sz="0" w:space="0" w:color="auto"/>
        <w:left w:val="none" w:sz="0" w:space="0" w:color="auto"/>
        <w:bottom w:val="none" w:sz="0" w:space="0" w:color="auto"/>
        <w:right w:val="none" w:sz="0" w:space="0" w:color="auto"/>
      </w:divBdr>
    </w:div>
    <w:div w:id="454913935">
      <w:bodyDiv w:val="1"/>
      <w:marLeft w:val="0"/>
      <w:marRight w:val="0"/>
      <w:marTop w:val="0"/>
      <w:marBottom w:val="0"/>
      <w:divBdr>
        <w:top w:val="none" w:sz="0" w:space="0" w:color="auto"/>
        <w:left w:val="none" w:sz="0" w:space="0" w:color="auto"/>
        <w:bottom w:val="none" w:sz="0" w:space="0" w:color="auto"/>
        <w:right w:val="none" w:sz="0" w:space="0" w:color="auto"/>
      </w:divBdr>
    </w:div>
    <w:div w:id="455410572">
      <w:bodyDiv w:val="1"/>
      <w:marLeft w:val="0"/>
      <w:marRight w:val="0"/>
      <w:marTop w:val="0"/>
      <w:marBottom w:val="0"/>
      <w:divBdr>
        <w:top w:val="none" w:sz="0" w:space="0" w:color="auto"/>
        <w:left w:val="none" w:sz="0" w:space="0" w:color="auto"/>
        <w:bottom w:val="none" w:sz="0" w:space="0" w:color="auto"/>
        <w:right w:val="none" w:sz="0" w:space="0" w:color="auto"/>
      </w:divBdr>
    </w:div>
    <w:div w:id="455609583">
      <w:bodyDiv w:val="1"/>
      <w:marLeft w:val="0"/>
      <w:marRight w:val="0"/>
      <w:marTop w:val="0"/>
      <w:marBottom w:val="0"/>
      <w:divBdr>
        <w:top w:val="none" w:sz="0" w:space="0" w:color="auto"/>
        <w:left w:val="none" w:sz="0" w:space="0" w:color="auto"/>
        <w:bottom w:val="none" w:sz="0" w:space="0" w:color="auto"/>
        <w:right w:val="none" w:sz="0" w:space="0" w:color="auto"/>
      </w:divBdr>
    </w:div>
    <w:div w:id="457795673">
      <w:bodyDiv w:val="1"/>
      <w:marLeft w:val="0"/>
      <w:marRight w:val="0"/>
      <w:marTop w:val="0"/>
      <w:marBottom w:val="0"/>
      <w:divBdr>
        <w:top w:val="none" w:sz="0" w:space="0" w:color="auto"/>
        <w:left w:val="none" w:sz="0" w:space="0" w:color="auto"/>
        <w:bottom w:val="none" w:sz="0" w:space="0" w:color="auto"/>
        <w:right w:val="none" w:sz="0" w:space="0" w:color="auto"/>
      </w:divBdr>
    </w:div>
    <w:div w:id="459038712">
      <w:bodyDiv w:val="1"/>
      <w:marLeft w:val="0"/>
      <w:marRight w:val="0"/>
      <w:marTop w:val="0"/>
      <w:marBottom w:val="0"/>
      <w:divBdr>
        <w:top w:val="none" w:sz="0" w:space="0" w:color="auto"/>
        <w:left w:val="none" w:sz="0" w:space="0" w:color="auto"/>
        <w:bottom w:val="none" w:sz="0" w:space="0" w:color="auto"/>
        <w:right w:val="none" w:sz="0" w:space="0" w:color="auto"/>
      </w:divBdr>
    </w:div>
    <w:div w:id="460196888">
      <w:bodyDiv w:val="1"/>
      <w:marLeft w:val="0"/>
      <w:marRight w:val="0"/>
      <w:marTop w:val="0"/>
      <w:marBottom w:val="0"/>
      <w:divBdr>
        <w:top w:val="none" w:sz="0" w:space="0" w:color="auto"/>
        <w:left w:val="none" w:sz="0" w:space="0" w:color="auto"/>
        <w:bottom w:val="none" w:sz="0" w:space="0" w:color="auto"/>
        <w:right w:val="none" w:sz="0" w:space="0" w:color="auto"/>
      </w:divBdr>
    </w:div>
    <w:div w:id="460465824">
      <w:bodyDiv w:val="1"/>
      <w:marLeft w:val="0"/>
      <w:marRight w:val="0"/>
      <w:marTop w:val="0"/>
      <w:marBottom w:val="0"/>
      <w:divBdr>
        <w:top w:val="none" w:sz="0" w:space="0" w:color="auto"/>
        <w:left w:val="none" w:sz="0" w:space="0" w:color="auto"/>
        <w:bottom w:val="none" w:sz="0" w:space="0" w:color="auto"/>
        <w:right w:val="none" w:sz="0" w:space="0" w:color="auto"/>
      </w:divBdr>
    </w:div>
    <w:div w:id="460467311">
      <w:bodyDiv w:val="1"/>
      <w:marLeft w:val="0"/>
      <w:marRight w:val="0"/>
      <w:marTop w:val="0"/>
      <w:marBottom w:val="0"/>
      <w:divBdr>
        <w:top w:val="none" w:sz="0" w:space="0" w:color="auto"/>
        <w:left w:val="none" w:sz="0" w:space="0" w:color="auto"/>
        <w:bottom w:val="none" w:sz="0" w:space="0" w:color="auto"/>
        <w:right w:val="none" w:sz="0" w:space="0" w:color="auto"/>
      </w:divBdr>
    </w:div>
    <w:div w:id="463425388">
      <w:bodyDiv w:val="1"/>
      <w:marLeft w:val="0"/>
      <w:marRight w:val="0"/>
      <w:marTop w:val="0"/>
      <w:marBottom w:val="0"/>
      <w:divBdr>
        <w:top w:val="none" w:sz="0" w:space="0" w:color="auto"/>
        <w:left w:val="none" w:sz="0" w:space="0" w:color="auto"/>
        <w:bottom w:val="none" w:sz="0" w:space="0" w:color="auto"/>
        <w:right w:val="none" w:sz="0" w:space="0" w:color="auto"/>
      </w:divBdr>
    </w:div>
    <w:div w:id="468090277">
      <w:bodyDiv w:val="1"/>
      <w:marLeft w:val="0"/>
      <w:marRight w:val="0"/>
      <w:marTop w:val="0"/>
      <w:marBottom w:val="0"/>
      <w:divBdr>
        <w:top w:val="none" w:sz="0" w:space="0" w:color="auto"/>
        <w:left w:val="none" w:sz="0" w:space="0" w:color="auto"/>
        <w:bottom w:val="none" w:sz="0" w:space="0" w:color="auto"/>
        <w:right w:val="none" w:sz="0" w:space="0" w:color="auto"/>
      </w:divBdr>
    </w:div>
    <w:div w:id="469635041">
      <w:bodyDiv w:val="1"/>
      <w:marLeft w:val="0"/>
      <w:marRight w:val="0"/>
      <w:marTop w:val="0"/>
      <w:marBottom w:val="0"/>
      <w:divBdr>
        <w:top w:val="none" w:sz="0" w:space="0" w:color="auto"/>
        <w:left w:val="none" w:sz="0" w:space="0" w:color="auto"/>
        <w:bottom w:val="none" w:sz="0" w:space="0" w:color="auto"/>
        <w:right w:val="none" w:sz="0" w:space="0" w:color="auto"/>
      </w:divBdr>
    </w:div>
    <w:div w:id="471407119">
      <w:bodyDiv w:val="1"/>
      <w:marLeft w:val="0"/>
      <w:marRight w:val="0"/>
      <w:marTop w:val="0"/>
      <w:marBottom w:val="0"/>
      <w:divBdr>
        <w:top w:val="none" w:sz="0" w:space="0" w:color="auto"/>
        <w:left w:val="none" w:sz="0" w:space="0" w:color="auto"/>
        <w:bottom w:val="none" w:sz="0" w:space="0" w:color="auto"/>
        <w:right w:val="none" w:sz="0" w:space="0" w:color="auto"/>
      </w:divBdr>
    </w:div>
    <w:div w:id="474105768">
      <w:bodyDiv w:val="1"/>
      <w:marLeft w:val="0"/>
      <w:marRight w:val="0"/>
      <w:marTop w:val="0"/>
      <w:marBottom w:val="0"/>
      <w:divBdr>
        <w:top w:val="none" w:sz="0" w:space="0" w:color="auto"/>
        <w:left w:val="none" w:sz="0" w:space="0" w:color="auto"/>
        <w:bottom w:val="none" w:sz="0" w:space="0" w:color="auto"/>
        <w:right w:val="none" w:sz="0" w:space="0" w:color="auto"/>
      </w:divBdr>
    </w:div>
    <w:div w:id="475878346">
      <w:bodyDiv w:val="1"/>
      <w:marLeft w:val="0"/>
      <w:marRight w:val="0"/>
      <w:marTop w:val="0"/>
      <w:marBottom w:val="0"/>
      <w:divBdr>
        <w:top w:val="none" w:sz="0" w:space="0" w:color="auto"/>
        <w:left w:val="none" w:sz="0" w:space="0" w:color="auto"/>
        <w:bottom w:val="none" w:sz="0" w:space="0" w:color="auto"/>
        <w:right w:val="none" w:sz="0" w:space="0" w:color="auto"/>
      </w:divBdr>
    </w:div>
    <w:div w:id="477961161">
      <w:bodyDiv w:val="1"/>
      <w:marLeft w:val="0"/>
      <w:marRight w:val="0"/>
      <w:marTop w:val="0"/>
      <w:marBottom w:val="0"/>
      <w:divBdr>
        <w:top w:val="none" w:sz="0" w:space="0" w:color="auto"/>
        <w:left w:val="none" w:sz="0" w:space="0" w:color="auto"/>
        <w:bottom w:val="none" w:sz="0" w:space="0" w:color="auto"/>
        <w:right w:val="none" w:sz="0" w:space="0" w:color="auto"/>
      </w:divBdr>
    </w:div>
    <w:div w:id="479081532">
      <w:bodyDiv w:val="1"/>
      <w:marLeft w:val="0"/>
      <w:marRight w:val="0"/>
      <w:marTop w:val="0"/>
      <w:marBottom w:val="0"/>
      <w:divBdr>
        <w:top w:val="none" w:sz="0" w:space="0" w:color="auto"/>
        <w:left w:val="none" w:sz="0" w:space="0" w:color="auto"/>
        <w:bottom w:val="none" w:sz="0" w:space="0" w:color="auto"/>
        <w:right w:val="none" w:sz="0" w:space="0" w:color="auto"/>
      </w:divBdr>
    </w:div>
    <w:div w:id="479231322">
      <w:bodyDiv w:val="1"/>
      <w:marLeft w:val="0"/>
      <w:marRight w:val="0"/>
      <w:marTop w:val="0"/>
      <w:marBottom w:val="0"/>
      <w:divBdr>
        <w:top w:val="none" w:sz="0" w:space="0" w:color="auto"/>
        <w:left w:val="none" w:sz="0" w:space="0" w:color="auto"/>
        <w:bottom w:val="none" w:sz="0" w:space="0" w:color="auto"/>
        <w:right w:val="none" w:sz="0" w:space="0" w:color="auto"/>
      </w:divBdr>
    </w:div>
    <w:div w:id="480387282">
      <w:bodyDiv w:val="1"/>
      <w:marLeft w:val="0"/>
      <w:marRight w:val="0"/>
      <w:marTop w:val="0"/>
      <w:marBottom w:val="0"/>
      <w:divBdr>
        <w:top w:val="none" w:sz="0" w:space="0" w:color="auto"/>
        <w:left w:val="none" w:sz="0" w:space="0" w:color="auto"/>
        <w:bottom w:val="none" w:sz="0" w:space="0" w:color="auto"/>
        <w:right w:val="none" w:sz="0" w:space="0" w:color="auto"/>
      </w:divBdr>
    </w:div>
    <w:div w:id="480535916">
      <w:bodyDiv w:val="1"/>
      <w:marLeft w:val="0"/>
      <w:marRight w:val="0"/>
      <w:marTop w:val="0"/>
      <w:marBottom w:val="0"/>
      <w:divBdr>
        <w:top w:val="none" w:sz="0" w:space="0" w:color="auto"/>
        <w:left w:val="none" w:sz="0" w:space="0" w:color="auto"/>
        <w:bottom w:val="none" w:sz="0" w:space="0" w:color="auto"/>
        <w:right w:val="none" w:sz="0" w:space="0" w:color="auto"/>
      </w:divBdr>
    </w:div>
    <w:div w:id="480852204">
      <w:bodyDiv w:val="1"/>
      <w:marLeft w:val="0"/>
      <w:marRight w:val="0"/>
      <w:marTop w:val="0"/>
      <w:marBottom w:val="0"/>
      <w:divBdr>
        <w:top w:val="none" w:sz="0" w:space="0" w:color="auto"/>
        <w:left w:val="none" w:sz="0" w:space="0" w:color="auto"/>
        <w:bottom w:val="none" w:sz="0" w:space="0" w:color="auto"/>
        <w:right w:val="none" w:sz="0" w:space="0" w:color="auto"/>
      </w:divBdr>
    </w:div>
    <w:div w:id="482476205">
      <w:bodyDiv w:val="1"/>
      <w:marLeft w:val="0"/>
      <w:marRight w:val="0"/>
      <w:marTop w:val="0"/>
      <w:marBottom w:val="0"/>
      <w:divBdr>
        <w:top w:val="none" w:sz="0" w:space="0" w:color="auto"/>
        <w:left w:val="none" w:sz="0" w:space="0" w:color="auto"/>
        <w:bottom w:val="none" w:sz="0" w:space="0" w:color="auto"/>
        <w:right w:val="none" w:sz="0" w:space="0" w:color="auto"/>
      </w:divBdr>
    </w:div>
    <w:div w:id="489322913">
      <w:bodyDiv w:val="1"/>
      <w:marLeft w:val="0"/>
      <w:marRight w:val="0"/>
      <w:marTop w:val="0"/>
      <w:marBottom w:val="0"/>
      <w:divBdr>
        <w:top w:val="none" w:sz="0" w:space="0" w:color="auto"/>
        <w:left w:val="none" w:sz="0" w:space="0" w:color="auto"/>
        <w:bottom w:val="none" w:sz="0" w:space="0" w:color="auto"/>
        <w:right w:val="none" w:sz="0" w:space="0" w:color="auto"/>
      </w:divBdr>
    </w:div>
    <w:div w:id="493372679">
      <w:bodyDiv w:val="1"/>
      <w:marLeft w:val="0"/>
      <w:marRight w:val="0"/>
      <w:marTop w:val="0"/>
      <w:marBottom w:val="0"/>
      <w:divBdr>
        <w:top w:val="none" w:sz="0" w:space="0" w:color="auto"/>
        <w:left w:val="none" w:sz="0" w:space="0" w:color="auto"/>
        <w:bottom w:val="none" w:sz="0" w:space="0" w:color="auto"/>
        <w:right w:val="none" w:sz="0" w:space="0" w:color="auto"/>
      </w:divBdr>
    </w:div>
    <w:div w:id="496504582">
      <w:bodyDiv w:val="1"/>
      <w:marLeft w:val="0"/>
      <w:marRight w:val="0"/>
      <w:marTop w:val="0"/>
      <w:marBottom w:val="0"/>
      <w:divBdr>
        <w:top w:val="none" w:sz="0" w:space="0" w:color="auto"/>
        <w:left w:val="none" w:sz="0" w:space="0" w:color="auto"/>
        <w:bottom w:val="none" w:sz="0" w:space="0" w:color="auto"/>
        <w:right w:val="none" w:sz="0" w:space="0" w:color="auto"/>
      </w:divBdr>
    </w:div>
    <w:div w:id="502860604">
      <w:bodyDiv w:val="1"/>
      <w:marLeft w:val="0"/>
      <w:marRight w:val="0"/>
      <w:marTop w:val="0"/>
      <w:marBottom w:val="0"/>
      <w:divBdr>
        <w:top w:val="none" w:sz="0" w:space="0" w:color="auto"/>
        <w:left w:val="none" w:sz="0" w:space="0" w:color="auto"/>
        <w:bottom w:val="none" w:sz="0" w:space="0" w:color="auto"/>
        <w:right w:val="none" w:sz="0" w:space="0" w:color="auto"/>
      </w:divBdr>
    </w:div>
    <w:div w:id="504367847">
      <w:bodyDiv w:val="1"/>
      <w:marLeft w:val="0"/>
      <w:marRight w:val="0"/>
      <w:marTop w:val="0"/>
      <w:marBottom w:val="0"/>
      <w:divBdr>
        <w:top w:val="none" w:sz="0" w:space="0" w:color="auto"/>
        <w:left w:val="none" w:sz="0" w:space="0" w:color="auto"/>
        <w:bottom w:val="none" w:sz="0" w:space="0" w:color="auto"/>
        <w:right w:val="none" w:sz="0" w:space="0" w:color="auto"/>
      </w:divBdr>
    </w:div>
    <w:div w:id="504788953">
      <w:bodyDiv w:val="1"/>
      <w:marLeft w:val="0"/>
      <w:marRight w:val="0"/>
      <w:marTop w:val="0"/>
      <w:marBottom w:val="0"/>
      <w:divBdr>
        <w:top w:val="none" w:sz="0" w:space="0" w:color="auto"/>
        <w:left w:val="none" w:sz="0" w:space="0" w:color="auto"/>
        <w:bottom w:val="none" w:sz="0" w:space="0" w:color="auto"/>
        <w:right w:val="none" w:sz="0" w:space="0" w:color="auto"/>
      </w:divBdr>
    </w:div>
    <w:div w:id="505830721">
      <w:bodyDiv w:val="1"/>
      <w:marLeft w:val="0"/>
      <w:marRight w:val="0"/>
      <w:marTop w:val="0"/>
      <w:marBottom w:val="0"/>
      <w:divBdr>
        <w:top w:val="none" w:sz="0" w:space="0" w:color="auto"/>
        <w:left w:val="none" w:sz="0" w:space="0" w:color="auto"/>
        <w:bottom w:val="none" w:sz="0" w:space="0" w:color="auto"/>
        <w:right w:val="none" w:sz="0" w:space="0" w:color="auto"/>
      </w:divBdr>
    </w:div>
    <w:div w:id="506096814">
      <w:bodyDiv w:val="1"/>
      <w:marLeft w:val="0"/>
      <w:marRight w:val="0"/>
      <w:marTop w:val="0"/>
      <w:marBottom w:val="0"/>
      <w:divBdr>
        <w:top w:val="none" w:sz="0" w:space="0" w:color="auto"/>
        <w:left w:val="none" w:sz="0" w:space="0" w:color="auto"/>
        <w:bottom w:val="none" w:sz="0" w:space="0" w:color="auto"/>
        <w:right w:val="none" w:sz="0" w:space="0" w:color="auto"/>
      </w:divBdr>
    </w:div>
    <w:div w:id="506600055">
      <w:bodyDiv w:val="1"/>
      <w:marLeft w:val="0"/>
      <w:marRight w:val="0"/>
      <w:marTop w:val="0"/>
      <w:marBottom w:val="0"/>
      <w:divBdr>
        <w:top w:val="none" w:sz="0" w:space="0" w:color="auto"/>
        <w:left w:val="none" w:sz="0" w:space="0" w:color="auto"/>
        <w:bottom w:val="none" w:sz="0" w:space="0" w:color="auto"/>
        <w:right w:val="none" w:sz="0" w:space="0" w:color="auto"/>
      </w:divBdr>
    </w:div>
    <w:div w:id="507603018">
      <w:bodyDiv w:val="1"/>
      <w:marLeft w:val="0"/>
      <w:marRight w:val="0"/>
      <w:marTop w:val="0"/>
      <w:marBottom w:val="0"/>
      <w:divBdr>
        <w:top w:val="none" w:sz="0" w:space="0" w:color="auto"/>
        <w:left w:val="none" w:sz="0" w:space="0" w:color="auto"/>
        <w:bottom w:val="none" w:sz="0" w:space="0" w:color="auto"/>
        <w:right w:val="none" w:sz="0" w:space="0" w:color="auto"/>
      </w:divBdr>
    </w:div>
    <w:div w:id="510293077">
      <w:bodyDiv w:val="1"/>
      <w:marLeft w:val="0"/>
      <w:marRight w:val="0"/>
      <w:marTop w:val="0"/>
      <w:marBottom w:val="0"/>
      <w:divBdr>
        <w:top w:val="none" w:sz="0" w:space="0" w:color="auto"/>
        <w:left w:val="none" w:sz="0" w:space="0" w:color="auto"/>
        <w:bottom w:val="none" w:sz="0" w:space="0" w:color="auto"/>
        <w:right w:val="none" w:sz="0" w:space="0" w:color="auto"/>
      </w:divBdr>
    </w:div>
    <w:div w:id="511918458">
      <w:bodyDiv w:val="1"/>
      <w:marLeft w:val="0"/>
      <w:marRight w:val="0"/>
      <w:marTop w:val="0"/>
      <w:marBottom w:val="0"/>
      <w:divBdr>
        <w:top w:val="none" w:sz="0" w:space="0" w:color="auto"/>
        <w:left w:val="none" w:sz="0" w:space="0" w:color="auto"/>
        <w:bottom w:val="none" w:sz="0" w:space="0" w:color="auto"/>
        <w:right w:val="none" w:sz="0" w:space="0" w:color="auto"/>
      </w:divBdr>
    </w:div>
    <w:div w:id="513109806">
      <w:bodyDiv w:val="1"/>
      <w:marLeft w:val="0"/>
      <w:marRight w:val="0"/>
      <w:marTop w:val="0"/>
      <w:marBottom w:val="0"/>
      <w:divBdr>
        <w:top w:val="none" w:sz="0" w:space="0" w:color="auto"/>
        <w:left w:val="none" w:sz="0" w:space="0" w:color="auto"/>
        <w:bottom w:val="none" w:sz="0" w:space="0" w:color="auto"/>
        <w:right w:val="none" w:sz="0" w:space="0" w:color="auto"/>
      </w:divBdr>
    </w:div>
    <w:div w:id="513349612">
      <w:bodyDiv w:val="1"/>
      <w:marLeft w:val="0"/>
      <w:marRight w:val="0"/>
      <w:marTop w:val="0"/>
      <w:marBottom w:val="0"/>
      <w:divBdr>
        <w:top w:val="none" w:sz="0" w:space="0" w:color="auto"/>
        <w:left w:val="none" w:sz="0" w:space="0" w:color="auto"/>
        <w:bottom w:val="none" w:sz="0" w:space="0" w:color="auto"/>
        <w:right w:val="none" w:sz="0" w:space="0" w:color="auto"/>
      </w:divBdr>
    </w:div>
    <w:div w:id="513764867">
      <w:bodyDiv w:val="1"/>
      <w:marLeft w:val="0"/>
      <w:marRight w:val="0"/>
      <w:marTop w:val="0"/>
      <w:marBottom w:val="0"/>
      <w:divBdr>
        <w:top w:val="none" w:sz="0" w:space="0" w:color="auto"/>
        <w:left w:val="none" w:sz="0" w:space="0" w:color="auto"/>
        <w:bottom w:val="none" w:sz="0" w:space="0" w:color="auto"/>
        <w:right w:val="none" w:sz="0" w:space="0" w:color="auto"/>
      </w:divBdr>
    </w:div>
    <w:div w:id="514272160">
      <w:bodyDiv w:val="1"/>
      <w:marLeft w:val="0"/>
      <w:marRight w:val="0"/>
      <w:marTop w:val="0"/>
      <w:marBottom w:val="0"/>
      <w:divBdr>
        <w:top w:val="none" w:sz="0" w:space="0" w:color="auto"/>
        <w:left w:val="none" w:sz="0" w:space="0" w:color="auto"/>
        <w:bottom w:val="none" w:sz="0" w:space="0" w:color="auto"/>
        <w:right w:val="none" w:sz="0" w:space="0" w:color="auto"/>
      </w:divBdr>
    </w:div>
    <w:div w:id="515122552">
      <w:bodyDiv w:val="1"/>
      <w:marLeft w:val="0"/>
      <w:marRight w:val="0"/>
      <w:marTop w:val="0"/>
      <w:marBottom w:val="0"/>
      <w:divBdr>
        <w:top w:val="none" w:sz="0" w:space="0" w:color="auto"/>
        <w:left w:val="none" w:sz="0" w:space="0" w:color="auto"/>
        <w:bottom w:val="none" w:sz="0" w:space="0" w:color="auto"/>
        <w:right w:val="none" w:sz="0" w:space="0" w:color="auto"/>
      </w:divBdr>
    </w:div>
    <w:div w:id="515535074">
      <w:bodyDiv w:val="1"/>
      <w:marLeft w:val="0"/>
      <w:marRight w:val="0"/>
      <w:marTop w:val="0"/>
      <w:marBottom w:val="0"/>
      <w:divBdr>
        <w:top w:val="none" w:sz="0" w:space="0" w:color="auto"/>
        <w:left w:val="none" w:sz="0" w:space="0" w:color="auto"/>
        <w:bottom w:val="none" w:sz="0" w:space="0" w:color="auto"/>
        <w:right w:val="none" w:sz="0" w:space="0" w:color="auto"/>
      </w:divBdr>
    </w:div>
    <w:div w:id="516847029">
      <w:bodyDiv w:val="1"/>
      <w:marLeft w:val="0"/>
      <w:marRight w:val="0"/>
      <w:marTop w:val="0"/>
      <w:marBottom w:val="0"/>
      <w:divBdr>
        <w:top w:val="none" w:sz="0" w:space="0" w:color="auto"/>
        <w:left w:val="none" w:sz="0" w:space="0" w:color="auto"/>
        <w:bottom w:val="none" w:sz="0" w:space="0" w:color="auto"/>
        <w:right w:val="none" w:sz="0" w:space="0" w:color="auto"/>
      </w:divBdr>
    </w:div>
    <w:div w:id="518590683">
      <w:bodyDiv w:val="1"/>
      <w:marLeft w:val="0"/>
      <w:marRight w:val="0"/>
      <w:marTop w:val="0"/>
      <w:marBottom w:val="0"/>
      <w:divBdr>
        <w:top w:val="none" w:sz="0" w:space="0" w:color="auto"/>
        <w:left w:val="none" w:sz="0" w:space="0" w:color="auto"/>
        <w:bottom w:val="none" w:sz="0" w:space="0" w:color="auto"/>
        <w:right w:val="none" w:sz="0" w:space="0" w:color="auto"/>
      </w:divBdr>
    </w:div>
    <w:div w:id="521360365">
      <w:bodyDiv w:val="1"/>
      <w:marLeft w:val="0"/>
      <w:marRight w:val="0"/>
      <w:marTop w:val="0"/>
      <w:marBottom w:val="0"/>
      <w:divBdr>
        <w:top w:val="none" w:sz="0" w:space="0" w:color="auto"/>
        <w:left w:val="none" w:sz="0" w:space="0" w:color="auto"/>
        <w:bottom w:val="none" w:sz="0" w:space="0" w:color="auto"/>
        <w:right w:val="none" w:sz="0" w:space="0" w:color="auto"/>
      </w:divBdr>
    </w:div>
    <w:div w:id="523132786">
      <w:bodyDiv w:val="1"/>
      <w:marLeft w:val="0"/>
      <w:marRight w:val="0"/>
      <w:marTop w:val="0"/>
      <w:marBottom w:val="0"/>
      <w:divBdr>
        <w:top w:val="none" w:sz="0" w:space="0" w:color="auto"/>
        <w:left w:val="none" w:sz="0" w:space="0" w:color="auto"/>
        <w:bottom w:val="none" w:sz="0" w:space="0" w:color="auto"/>
        <w:right w:val="none" w:sz="0" w:space="0" w:color="auto"/>
      </w:divBdr>
    </w:div>
    <w:div w:id="523590302">
      <w:bodyDiv w:val="1"/>
      <w:marLeft w:val="0"/>
      <w:marRight w:val="0"/>
      <w:marTop w:val="0"/>
      <w:marBottom w:val="0"/>
      <w:divBdr>
        <w:top w:val="none" w:sz="0" w:space="0" w:color="auto"/>
        <w:left w:val="none" w:sz="0" w:space="0" w:color="auto"/>
        <w:bottom w:val="none" w:sz="0" w:space="0" w:color="auto"/>
        <w:right w:val="none" w:sz="0" w:space="0" w:color="auto"/>
      </w:divBdr>
    </w:div>
    <w:div w:id="526019291">
      <w:bodyDiv w:val="1"/>
      <w:marLeft w:val="0"/>
      <w:marRight w:val="0"/>
      <w:marTop w:val="0"/>
      <w:marBottom w:val="0"/>
      <w:divBdr>
        <w:top w:val="none" w:sz="0" w:space="0" w:color="auto"/>
        <w:left w:val="none" w:sz="0" w:space="0" w:color="auto"/>
        <w:bottom w:val="none" w:sz="0" w:space="0" w:color="auto"/>
        <w:right w:val="none" w:sz="0" w:space="0" w:color="auto"/>
      </w:divBdr>
    </w:div>
    <w:div w:id="528033479">
      <w:bodyDiv w:val="1"/>
      <w:marLeft w:val="0"/>
      <w:marRight w:val="0"/>
      <w:marTop w:val="0"/>
      <w:marBottom w:val="0"/>
      <w:divBdr>
        <w:top w:val="none" w:sz="0" w:space="0" w:color="auto"/>
        <w:left w:val="none" w:sz="0" w:space="0" w:color="auto"/>
        <w:bottom w:val="none" w:sz="0" w:space="0" w:color="auto"/>
        <w:right w:val="none" w:sz="0" w:space="0" w:color="auto"/>
      </w:divBdr>
    </w:div>
    <w:div w:id="530386899">
      <w:bodyDiv w:val="1"/>
      <w:marLeft w:val="0"/>
      <w:marRight w:val="0"/>
      <w:marTop w:val="0"/>
      <w:marBottom w:val="0"/>
      <w:divBdr>
        <w:top w:val="none" w:sz="0" w:space="0" w:color="auto"/>
        <w:left w:val="none" w:sz="0" w:space="0" w:color="auto"/>
        <w:bottom w:val="none" w:sz="0" w:space="0" w:color="auto"/>
        <w:right w:val="none" w:sz="0" w:space="0" w:color="auto"/>
      </w:divBdr>
    </w:div>
    <w:div w:id="530530403">
      <w:bodyDiv w:val="1"/>
      <w:marLeft w:val="0"/>
      <w:marRight w:val="0"/>
      <w:marTop w:val="0"/>
      <w:marBottom w:val="0"/>
      <w:divBdr>
        <w:top w:val="none" w:sz="0" w:space="0" w:color="auto"/>
        <w:left w:val="none" w:sz="0" w:space="0" w:color="auto"/>
        <w:bottom w:val="none" w:sz="0" w:space="0" w:color="auto"/>
        <w:right w:val="none" w:sz="0" w:space="0" w:color="auto"/>
      </w:divBdr>
    </w:div>
    <w:div w:id="531765324">
      <w:bodyDiv w:val="1"/>
      <w:marLeft w:val="0"/>
      <w:marRight w:val="0"/>
      <w:marTop w:val="0"/>
      <w:marBottom w:val="0"/>
      <w:divBdr>
        <w:top w:val="none" w:sz="0" w:space="0" w:color="auto"/>
        <w:left w:val="none" w:sz="0" w:space="0" w:color="auto"/>
        <w:bottom w:val="none" w:sz="0" w:space="0" w:color="auto"/>
        <w:right w:val="none" w:sz="0" w:space="0" w:color="auto"/>
      </w:divBdr>
    </w:div>
    <w:div w:id="537204732">
      <w:bodyDiv w:val="1"/>
      <w:marLeft w:val="0"/>
      <w:marRight w:val="0"/>
      <w:marTop w:val="0"/>
      <w:marBottom w:val="0"/>
      <w:divBdr>
        <w:top w:val="none" w:sz="0" w:space="0" w:color="auto"/>
        <w:left w:val="none" w:sz="0" w:space="0" w:color="auto"/>
        <w:bottom w:val="none" w:sz="0" w:space="0" w:color="auto"/>
        <w:right w:val="none" w:sz="0" w:space="0" w:color="auto"/>
      </w:divBdr>
    </w:div>
    <w:div w:id="541093362">
      <w:bodyDiv w:val="1"/>
      <w:marLeft w:val="0"/>
      <w:marRight w:val="0"/>
      <w:marTop w:val="0"/>
      <w:marBottom w:val="0"/>
      <w:divBdr>
        <w:top w:val="none" w:sz="0" w:space="0" w:color="auto"/>
        <w:left w:val="none" w:sz="0" w:space="0" w:color="auto"/>
        <w:bottom w:val="none" w:sz="0" w:space="0" w:color="auto"/>
        <w:right w:val="none" w:sz="0" w:space="0" w:color="auto"/>
      </w:divBdr>
    </w:div>
    <w:div w:id="541983544">
      <w:bodyDiv w:val="1"/>
      <w:marLeft w:val="0"/>
      <w:marRight w:val="0"/>
      <w:marTop w:val="0"/>
      <w:marBottom w:val="0"/>
      <w:divBdr>
        <w:top w:val="none" w:sz="0" w:space="0" w:color="auto"/>
        <w:left w:val="none" w:sz="0" w:space="0" w:color="auto"/>
        <w:bottom w:val="none" w:sz="0" w:space="0" w:color="auto"/>
        <w:right w:val="none" w:sz="0" w:space="0" w:color="auto"/>
      </w:divBdr>
    </w:div>
    <w:div w:id="542911942">
      <w:bodyDiv w:val="1"/>
      <w:marLeft w:val="0"/>
      <w:marRight w:val="0"/>
      <w:marTop w:val="0"/>
      <w:marBottom w:val="0"/>
      <w:divBdr>
        <w:top w:val="none" w:sz="0" w:space="0" w:color="auto"/>
        <w:left w:val="none" w:sz="0" w:space="0" w:color="auto"/>
        <w:bottom w:val="none" w:sz="0" w:space="0" w:color="auto"/>
        <w:right w:val="none" w:sz="0" w:space="0" w:color="auto"/>
      </w:divBdr>
    </w:div>
    <w:div w:id="543372931">
      <w:bodyDiv w:val="1"/>
      <w:marLeft w:val="0"/>
      <w:marRight w:val="0"/>
      <w:marTop w:val="0"/>
      <w:marBottom w:val="0"/>
      <w:divBdr>
        <w:top w:val="none" w:sz="0" w:space="0" w:color="auto"/>
        <w:left w:val="none" w:sz="0" w:space="0" w:color="auto"/>
        <w:bottom w:val="none" w:sz="0" w:space="0" w:color="auto"/>
        <w:right w:val="none" w:sz="0" w:space="0" w:color="auto"/>
      </w:divBdr>
    </w:div>
    <w:div w:id="543637339">
      <w:bodyDiv w:val="1"/>
      <w:marLeft w:val="0"/>
      <w:marRight w:val="0"/>
      <w:marTop w:val="0"/>
      <w:marBottom w:val="0"/>
      <w:divBdr>
        <w:top w:val="none" w:sz="0" w:space="0" w:color="auto"/>
        <w:left w:val="none" w:sz="0" w:space="0" w:color="auto"/>
        <w:bottom w:val="none" w:sz="0" w:space="0" w:color="auto"/>
        <w:right w:val="none" w:sz="0" w:space="0" w:color="auto"/>
      </w:divBdr>
    </w:div>
    <w:div w:id="550654856">
      <w:bodyDiv w:val="1"/>
      <w:marLeft w:val="0"/>
      <w:marRight w:val="0"/>
      <w:marTop w:val="0"/>
      <w:marBottom w:val="0"/>
      <w:divBdr>
        <w:top w:val="none" w:sz="0" w:space="0" w:color="auto"/>
        <w:left w:val="none" w:sz="0" w:space="0" w:color="auto"/>
        <w:bottom w:val="none" w:sz="0" w:space="0" w:color="auto"/>
        <w:right w:val="none" w:sz="0" w:space="0" w:color="auto"/>
      </w:divBdr>
    </w:div>
    <w:div w:id="551044611">
      <w:bodyDiv w:val="1"/>
      <w:marLeft w:val="0"/>
      <w:marRight w:val="0"/>
      <w:marTop w:val="0"/>
      <w:marBottom w:val="0"/>
      <w:divBdr>
        <w:top w:val="none" w:sz="0" w:space="0" w:color="auto"/>
        <w:left w:val="none" w:sz="0" w:space="0" w:color="auto"/>
        <w:bottom w:val="none" w:sz="0" w:space="0" w:color="auto"/>
        <w:right w:val="none" w:sz="0" w:space="0" w:color="auto"/>
      </w:divBdr>
    </w:div>
    <w:div w:id="551236715">
      <w:bodyDiv w:val="1"/>
      <w:marLeft w:val="0"/>
      <w:marRight w:val="0"/>
      <w:marTop w:val="0"/>
      <w:marBottom w:val="0"/>
      <w:divBdr>
        <w:top w:val="none" w:sz="0" w:space="0" w:color="auto"/>
        <w:left w:val="none" w:sz="0" w:space="0" w:color="auto"/>
        <w:bottom w:val="none" w:sz="0" w:space="0" w:color="auto"/>
        <w:right w:val="none" w:sz="0" w:space="0" w:color="auto"/>
      </w:divBdr>
    </w:div>
    <w:div w:id="552231671">
      <w:bodyDiv w:val="1"/>
      <w:marLeft w:val="0"/>
      <w:marRight w:val="0"/>
      <w:marTop w:val="0"/>
      <w:marBottom w:val="0"/>
      <w:divBdr>
        <w:top w:val="none" w:sz="0" w:space="0" w:color="auto"/>
        <w:left w:val="none" w:sz="0" w:space="0" w:color="auto"/>
        <w:bottom w:val="none" w:sz="0" w:space="0" w:color="auto"/>
        <w:right w:val="none" w:sz="0" w:space="0" w:color="auto"/>
      </w:divBdr>
    </w:div>
    <w:div w:id="552615832">
      <w:bodyDiv w:val="1"/>
      <w:marLeft w:val="0"/>
      <w:marRight w:val="0"/>
      <w:marTop w:val="0"/>
      <w:marBottom w:val="0"/>
      <w:divBdr>
        <w:top w:val="none" w:sz="0" w:space="0" w:color="auto"/>
        <w:left w:val="none" w:sz="0" w:space="0" w:color="auto"/>
        <w:bottom w:val="none" w:sz="0" w:space="0" w:color="auto"/>
        <w:right w:val="none" w:sz="0" w:space="0" w:color="auto"/>
      </w:divBdr>
    </w:div>
    <w:div w:id="552734526">
      <w:bodyDiv w:val="1"/>
      <w:marLeft w:val="0"/>
      <w:marRight w:val="0"/>
      <w:marTop w:val="0"/>
      <w:marBottom w:val="0"/>
      <w:divBdr>
        <w:top w:val="none" w:sz="0" w:space="0" w:color="auto"/>
        <w:left w:val="none" w:sz="0" w:space="0" w:color="auto"/>
        <w:bottom w:val="none" w:sz="0" w:space="0" w:color="auto"/>
        <w:right w:val="none" w:sz="0" w:space="0" w:color="auto"/>
      </w:divBdr>
    </w:div>
    <w:div w:id="554506062">
      <w:bodyDiv w:val="1"/>
      <w:marLeft w:val="0"/>
      <w:marRight w:val="0"/>
      <w:marTop w:val="0"/>
      <w:marBottom w:val="0"/>
      <w:divBdr>
        <w:top w:val="none" w:sz="0" w:space="0" w:color="auto"/>
        <w:left w:val="none" w:sz="0" w:space="0" w:color="auto"/>
        <w:bottom w:val="none" w:sz="0" w:space="0" w:color="auto"/>
        <w:right w:val="none" w:sz="0" w:space="0" w:color="auto"/>
      </w:divBdr>
    </w:div>
    <w:div w:id="556015690">
      <w:bodyDiv w:val="1"/>
      <w:marLeft w:val="0"/>
      <w:marRight w:val="0"/>
      <w:marTop w:val="0"/>
      <w:marBottom w:val="0"/>
      <w:divBdr>
        <w:top w:val="none" w:sz="0" w:space="0" w:color="auto"/>
        <w:left w:val="none" w:sz="0" w:space="0" w:color="auto"/>
        <w:bottom w:val="none" w:sz="0" w:space="0" w:color="auto"/>
        <w:right w:val="none" w:sz="0" w:space="0" w:color="auto"/>
      </w:divBdr>
    </w:div>
    <w:div w:id="556161485">
      <w:bodyDiv w:val="1"/>
      <w:marLeft w:val="0"/>
      <w:marRight w:val="0"/>
      <w:marTop w:val="0"/>
      <w:marBottom w:val="0"/>
      <w:divBdr>
        <w:top w:val="none" w:sz="0" w:space="0" w:color="auto"/>
        <w:left w:val="none" w:sz="0" w:space="0" w:color="auto"/>
        <w:bottom w:val="none" w:sz="0" w:space="0" w:color="auto"/>
        <w:right w:val="none" w:sz="0" w:space="0" w:color="auto"/>
      </w:divBdr>
    </w:div>
    <w:div w:id="557595469">
      <w:bodyDiv w:val="1"/>
      <w:marLeft w:val="0"/>
      <w:marRight w:val="0"/>
      <w:marTop w:val="0"/>
      <w:marBottom w:val="0"/>
      <w:divBdr>
        <w:top w:val="none" w:sz="0" w:space="0" w:color="auto"/>
        <w:left w:val="none" w:sz="0" w:space="0" w:color="auto"/>
        <w:bottom w:val="none" w:sz="0" w:space="0" w:color="auto"/>
        <w:right w:val="none" w:sz="0" w:space="0" w:color="auto"/>
      </w:divBdr>
    </w:div>
    <w:div w:id="557597843">
      <w:bodyDiv w:val="1"/>
      <w:marLeft w:val="0"/>
      <w:marRight w:val="0"/>
      <w:marTop w:val="0"/>
      <w:marBottom w:val="0"/>
      <w:divBdr>
        <w:top w:val="none" w:sz="0" w:space="0" w:color="auto"/>
        <w:left w:val="none" w:sz="0" w:space="0" w:color="auto"/>
        <w:bottom w:val="none" w:sz="0" w:space="0" w:color="auto"/>
        <w:right w:val="none" w:sz="0" w:space="0" w:color="auto"/>
      </w:divBdr>
      <w:divsChild>
        <w:div w:id="1043137713">
          <w:marLeft w:val="288"/>
          <w:marRight w:val="0"/>
          <w:marTop w:val="0"/>
          <w:marBottom w:val="0"/>
          <w:divBdr>
            <w:top w:val="none" w:sz="0" w:space="0" w:color="auto"/>
            <w:left w:val="none" w:sz="0" w:space="0" w:color="auto"/>
            <w:bottom w:val="none" w:sz="0" w:space="0" w:color="auto"/>
            <w:right w:val="none" w:sz="0" w:space="0" w:color="auto"/>
          </w:divBdr>
        </w:div>
        <w:div w:id="1556578052">
          <w:marLeft w:val="288"/>
          <w:marRight w:val="0"/>
          <w:marTop w:val="0"/>
          <w:marBottom w:val="0"/>
          <w:divBdr>
            <w:top w:val="none" w:sz="0" w:space="0" w:color="auto"/>
            <w:left w:val="none" w:sz="0" w:space="0" w:color="auto"/>
            <w:bottom w:val="none" w:sz="0" w:space="0" w:color="auto"/>
            <w:right w:val="none" w:sz="0" w:space="0" w:color="auto"/>
          </w:divBdr>
        </w:div>
        <w:div w:id="1732001183">
          <w:marLeft w:val="288"/>
          <w:marRight w:val="0"/>
          <w:marTop w:val="0"/>
          <w:marBottom w:val="0"/>
          <w:divBdr>
            <w:top w:val="none" w:sz="0" w:space="0" w:color="auto"/>
            <w:left w:val="none" w:sz="0" w:space="0" w:color="auto"/>
            <w:bottom w:val="none" w:sz="0" w:space="0" w:color="auto"/>
            <w:right w:val="none" w:sz="0" w:space="0" w:color="auto"/>
          </w:divBdr>
        </w:div>
        <w:div w:id="1828352017">
          <w:marLeft w:val="288"/>
          <w:marRight w:val="0"/>
          <w:marTop w:val="0"/>
          <w:marBottom w:val="0"/>
          <w:divBdr>
            <w:top w:val="none" w:sz="0" w:space="0" w:color="auto"/>
            <w:left w:val="none" w:sz="0" w:space="0" w:color="auto"/>
            <w:bottom w:val="none" w:sz="0" w:space="0" w:color="auto"/>
            <w:right w:val="none" w:sz="0" w:space="0" w:color="auto"/>
          </w:divBdr>
        </w:div>
        <w:div w:id="2136368410">
          <w:marLeft w:val="288"/>
          <w:marRight w:val="0"/>
          <w:marTop w:val="0"/>
          <w:marBottom w:val="0"/>
          <w:divBdr>
            <w:top w:val="none" w:sz="0" w:space="0" w:color="auto"/>
            <w:left w:val="none" w:sz="0" w:space="0" w:color="auto"/>
            <w:bottom w:val="none" w:sz="0" w:space="0" w:color="auto"/>
            <w:right w:val="none" w:sz="0" w:space="0" w:color="auto"/>
          </w:divBdr>
        </w:div>
      </w:divsChild>
    </w:div>
    <w:div w:id="557783738">
      <w:bodyDiv w:val="1"/>
      <w:marLeft w:val="0"/>
      <w:marRight w:val="0"/>
      <w:marTop w:val="0"/>
      <w:marBottom w:val="0"/>
      <w:divBdr>
        <w:top w:val="none" w:sz="0" w:space="0" w:color="auto"/>
        <w:left w:val="none" w:sz="0" w:space="0" w:color="auto"/>
        <w:bottom w:val="none" w:sz="0" w:space="0" w:color="auto"/>
        <w:right w:val="none" w:sz="0" w:space="0" w:color="auto"/>
      </w:divBdr>
    </w:div>
    <w:div w:id="561138137">
      <w:bodyDiv w:val="1"/>
      <w:marLeft w:val="0"/>
      <w:marRight w:val="0"/>
      <w:marTop w:val="0"/>
      <w:marBottom w:val="0"/>
      <w:divBdr>
        <w:top w:val="none" w:sz="0" w:space="0" w:color="auto"/>
        <w:left w:val="none" w:sz="0" w:space="0" w:color="auto"/>
        <w:bottom w:val="none" w:sz="0" w:space="0" w:color="auto"/>
        <w:right w:val="none" w:sz="0" w:space="0" w:color="auto"/>
      </w:divBdr>
    </w:div>
    <w:div w:id="565534835">
      <w:bodyDiv w:val="1"/>
      <w:marLeft w:val="0"/>
      <w:marRight w:val="0"/>
      <w:marTop w:val="0"/>
      <w:marBottom w:val="0"/>
      <w:divBdr>
        <w:top w:val="none" w:sz="0" w:space="0" w:color="auto"/>
        <w:left w:val="none" w:sz="0" w:space="0" w:color="auto"/>
        <w:bottom w:val="none" w:sz="0" w:space="0" w:color="auto"/>
        <w:right w:val="none" w:sz="0" w:space="0" w:color="auto"/>
      </w:divBdr>
    </w:div>
    <w:div w:id="568197938">
      <w:bodyDiv w:val="1"/>
      <w:marLeft w:val="0"/>
      <w:marRight w:val="0"/>
      <w:marTop w:val="0"/>
      <w:marBottom w:val="0"/>
      <w:divBdr>
        <w:top w:val="none" w:sz="0" w:space="0" w:color="auto"/>
        <w:left w:val="none" w:sz="0" w:space="0" w:color="auto"/>
        <w:bottom w:val="none" w:sz="0" w:space="0" w:color="auto"/>
        <w:right w:val="none" w:sz="0" w:space="0" w:color="auto"/>
      </w:divBdr>
    </w:div>
    <w:div w:id="568225259">
      <w:bodyDiv w:val="1"/>
      <w:marLeft w:val="0"/>
      <w:marRight w:val="0"/>
      <w:marTop w:val="0"/>
      <w:marBottom w:val="0"/>
      <w:divBdr>
        <w:top w:val="none" w:sz="0" w:space="0" w:color="auto"/>
        <w:left w:val="none" w:sz="0" w:space="0" w:color="auto"/>
        <w:bottom w:val="none" w:sz="0" w:space="0" w:color="auto"/>
        <w:right w:val="none" w:sz="0" w:space="0" w:color="auto"/>
      </w:divBdr>
    </w:div>
    <w:div w:id="569388567">
      <w:bodyDiv w:val="1"/>
      <w:marLeft w:val="0"/>
      <w:marRight w:val="0"/>
      <w:marTop w:val="0"/>
      <w:marBottom w:val="0"/>
      <w:divBdr>
        <w:top w:val="none" w:sz="0" w:space="0" w:color="auto"/>
        <w:left w:val="none" w:sz="0" w:space="0" w:color="auto"/>
        <w:bottom w:val="none" w:sz="0" w:space="0" w:color="auto"/>
        <w:right w:val="none" w:sz="0" w:space="0" w:color="auto"/>
      </w:divBdr>
    </w:div>
    <w:div w:id="571350402">
      <w:bodyDiv w:val="1"/>
      <w:marLeft w:val="0"/>
      <w:marRight w:val="0"/>
      <w:marTop w:val="0"/>
      <w:marBottom w:val="0"/>
      <w:divBdr>
        <w:top w:val="none" w:sz="0" w:space="0" w:color="auto"/>
        <w:left w:val="none" w:sz="0" w:space="0" w:color="auto"/>
        <w:bottom w:val="none" w:sz="0" w:space="0" w:color="auto"/>
        <w:right w:val="none" w:sz="0" w:space="0" w:color="auto"/>
      </w:divBdr>
    </w:div>
    <w:div w:id="572081852">
      <w:bodyDiv w:val="1"/>
      <w:marLeft w:val="0"/>
      <w:marRight w:val="0"/>
      <w:marTop w:val="0"/>
      <w:marBottom w:val="0"/>
      <w:divBdr>
        <w:top w:val="none" w:sz="0" w:space="0" w:color="auto"/>
        <w:left w:val="none" w:sz="0" w:space="0" w:color="auto"/>
        <w:bottom w:val="none" w:sz="0" w:space="0" w:color="auto"/>
        <w:right w:val="none" w:sz="0" w:space="0" w:color="auto"/>
      </w:divBdr>
    </w:div>
    <w:div w:id="572592866">
      <w:bodyDiv w:val="1"/>
      <w:marLeft w:val="0"/>
      <w:marRight w:val="0"/>
      <w:marTop w:val="0"/>
      <w:marBottom w:val="0"/>
      <w:divBdr>
        <w:top w:val="none" w:sz="0" w:space="0" w:color="auto"/>
        <w:left w:val="none" w:sz="0" w:space="0" w:color="auto"/>
        <w:bottom w:val="none" w:sz="0" w:space="0" w:color="auto"/>
        <w:right w:val="none" w:sz="0" w:space="0" w:color="auto"/>
      </w:divBdr>
    </w:div>
    <w:div w:id="574096325">
      <w:bodyDiv w:val="1"/>
      <w:marLeft w:val="0"/>
      <w:marRight w:val="0"/>
      <w:marTop w:val="0"/>
      <w:marBottom w:val="0"/>
      <w:divBdr>
        <w:top w:val="none" w:sz="0" w:space="0" w:color="auto"/>
        <w:left w:val="none" w:sz="0" w:space="0" w:color="auto"/>
        <w:bottom w:val="none" w:sz="0" w:space="0" w:color="auto"/>
        <w:right w:val="none" w:sz="0" w:space="0" w:color="auto"/>
      </w:divBdr>
    </w:div>
    <w:div w:id="578444329">
      <w:bodyDiv w:val="1"/>
      <w:marLeft w:val="0"/>
      <w:marRight w:val="0"/>
      <w:marTop w:val="0"/>
      <w:marBottom w:val="0"/>
      <w:divBdr>
        <w:top w:val="none" w:sz="0" w:space="0" w:color="auto"/>
        <w:left w:val="none" w:sz="0" w:space="0" w:color="auto"/>
        <w:bottom w:val="none" w:sz="0" w:space="0" w:color="auto"/>
        <w:right w:val="none" w:sz="0" w:space="0" w:color="auto"/>
      </w:divBdr>
    </w:div>
    <w:div w:id="581528122">
      <w:bodyDiv w:val="1"/>
      <w:marLeft w:val="0"/>
      <w:marRight w:val="0"/>
      <w:marTop w:val="0"/>
      <w:marBottom w:val="0"/>
      <w:divBdr>
        <w:top w:val="none" w:sz="0" w:space="0" w:color="auto"/>
        <w:left w:val="none" w:sz="0" w:space="0" w:color="auto"/>
        <w:bottom w:val="none" w:sz="0" w:space="0" w:color="auto"/>
        <w:right w:val="none" w:sz="0" w:space="0" w:color="auto"/>
      </w:divBdr>
    </w:div>
    <w:div w:id="583535525">
      <w:bodyDiv w:val="1"/>
      <w:marLeft w:val="0"/>
      <w:marRight w:val="0"/>
      <w:marTop w:val="0"/>
      <w:marBottom w:val="0"/>
      <w:divBdr>
        <w:top w:val="none" w:sz="0" w:space="0" w:color="auto"/>
        <w:left w:val="none" w:sz="0" w:space="0" w:color="auto"/>
        <w:bottom w:val="none" w:sz="0" w:space="0" w:color="auto"/>
        <w:right w:val="none" w:sz="0" w:space="0" w:color="auto"/>
      </w:divBdr>
    </w:div>
    <w:div w:id="584727206">
      <w:bodyDiv w:val="1"/>
      <w:marLeft w:val="0"/>
      <w:marRight w:val="0"/>
      <w:marTop w:val="0"/>
      <w:marBottom w:val="0"/>
      <w:divBdr>
        <w:top w:val="none" w:sz="0" w:space="0" w:color="auto"/>
        <w:left w:val="none" w:sz="0" w:space="0" w:color="auto"/>
        <w:bottom w:val="none" w:sz="0" w:space="0" w:color="auto"/>
        <w:right w:val="none" w:sz="0" w:space="0" w:color="auto"/>
      </w:divBdr>
    </w:div>
    <w:div w:id="584999499">
      <w:bodyDiv w:val="1"/>
      <w:marLeft w:val="0"/>
      <w:marRight w:val="0"/>
      <w:marTop w:val="0"/>
      <w:marBottom w:val="0"/>
      <w:divBdr>
        <w:top w:val="none" w:sz="0" w:space="0" w:color="auto"/>
        <w:left w:val="none" w:sz="0" w:space="0" w:color="auto"/>
        <w:bottom w:val="none" w:sz="0" w:space="0" w:color="auto"/>
        <w:right w:val="none" w:sz="0" w:space="0" w:color="auto"/>
      </w:divBdr>
    </w:div>
    <w:div w:id="587085141">
      <w:bodyDiv w:val="1"/>
      <w:marLeft w:val="0"/>
      <w:marRight w:val="0"/>
      <w:marTop w:val="0"/>
      <w:marBottom w:val="0"/>
      <w:divBdr>
        <w:top w:val="none" w:sz="0" w:space="0" w:color="auto"/>
        <w:left w:val="none" w:sz="0" w:space="0" w:color="auto"/>
        <w:bottom w:val="none" w:sz="0" w:space="0" w:color="auto"/>
        <w:right w:val="none" w:sz="0" w:space="0" w:color="auto"/>
      </w:divBdr>
    </w:div>
    <w:div w:id="587226837">
      <w:bodyDiv w:val="1"/>
      <w:marLeft w:val="0"/>
      <w:marRight w:val="0"/>
      <w:marTop w:val="0"/>
      <w:marBottom w:val="0"/>
      <w:divBdr>
        <w:top w:val="none" w:sz="0" w:space="0" w:color="auto"/>
        <w:left w:val="none" w:sz="0" w:space="0" w:color="auto"/>
        <w:bottom w:val="none" w:sz="0" w:space="0" w:color="auto"/>
        <w:right w:val="none" w:sz="0" w:space="0" w:color="auto"/>
      </w:divBdr>
    </w:div>
    <w:div w:id="588588104">
      <w:bodyDiv w:val="1"/>
      <w:marLeft w:val="0"/>
      <w:marRight w:val="0"/>
      <w:marTop w:val="0"/>
      <w:marBottom w:val="0"/>
      <w:divBdr>
        <w:top w:val="none" w:sz="0" w:space="0" w:color="auto"/>
        <w:left w:val="none" w:sz="0" w:space="0" w:color="auto"/>
        <w:bottom w:val="none" w:sz="0" w:space="0" w:color="auto"/>
        <w:right w:val="none" w:sz="0" w:space="0" w:color="auto"/>
      </w:divBdr>
    </w:div>
    <w:div w:id="589705844">
      <w:bodyDiv w:val="1"/>
      <w:marLeft w:val="0"/>
      <w:marRight w:val="0"/>
      <w:marTop w:val="0"/>
      <w:marBottom w:val="0"/>
      <w:divBdr>
        <w:top w:val="none" w:sz="0" w:space="0" w:color="auto"/>
        <w:left w:val="none" w:sz="0" w:space="0" w:color="auto"/>
        <w:bottom w:val="none" w:sz="0" w:space="0" w:color="auto"/>
        <w:right w:val="none" w:sz="0" w:space="0" w:color="auto"/>
      </w:divBdr>
    </w:div>
    <w:div w:id="590048019">
      <w:bodyDiv w:val="1"/>
      <w:marLeft w:val="0"/>
      <w:marRight w:val="0"/>
      <w:marTop w:val="0"/>
      <w:marBottom w:val="0"/>
      <w:divBdr>
        <w:top w:val="none" w:sz="0" w:space="0" w:color="auto"/>
        <w:left w:val="none" w:sz="0" w:space="0" w:color="auto"/>
        <w:bottom w:val="none" w:sz="0" w:space="0" w:color="auto"/>
        <w:right w:val="none" w:sz="0" w:space="0" w:color="auto"/>
      </w:divBdr>
    </w:div>
    <w:div w:id="591664911">
      <w:bodyDiv w:val="1"/>
      <w:marLeft w:val="0"/>
      <w:marRight w:val="0"/>
      <w:marTop w:val="0"/>
      <w:marBottom w:val="0"/>
      <w:divBdr>
        <w:top w:val="none" w:sz="0" w:space="0" w:color="auto"/>
        <w:left w:val="none" w:sz="0" w:space="0" w:color="auto"/>
        <w:bottom w:val="none" w:sz="0" w:space="0" w:color="auto"/>
        <w:right w:val="none" w:sz="0" w:space="0" w:color="auto"/>
      </w:divBdr>
    </w:div>
    <w:div w:id="594747376">
      <w:bodyDiv w:val="1"/>
      <w:marLeft w:val="0"/>
      <w:marRight w:val="0"/>
      <w:marTop w:val="0"/>
      <w:marBottom w:val="0"/>
      <w:divBdr>
        <w:top w:val="none" w:sz="0" w:space="0" w:color="auto"/>
        <w:left w:val="none" w:sz="0" w:space="0" w:color="auto"/>
        <w:bottom w:val="none" w:sz="0" w:space="0" w:color="auto"/>
        <w:right w:val="none" w:sz="0" w:space="0" w:color="auto"/>
      </w:divBdr>
    </w:div>
    <w:div w:id="596252792">
      <w:bodyDiv w:val="1"/>
      <w:marLeft w:val="0"/>
      <w:marRight w:val="0"/>
      <w:marTop w:val="0"/>
      <w:marBottom w:val="0"/>
      <w:divBdr>
        <w:top w:val="none" w:sz="0" w:space="0" w:color="auto"/>
        <w:left w:val="none" w:sz="0" w:space="0" w:color="auto"/>
        <w:bottom w:val="none" w:sz="0" w:space="0" w:color="auto"/>
        <w:right w:val="none" w:sz="0" w:space="0" w:color="auto"/>
      </w:divBdr>
    </w:div>
    <w:div w:id="597642560">
      <w:bodyDiv w:val="1"/>
      <w:marLeft w:val="0"/>
      <w:marRight w:val="0"/>
      <w:marTop w:val="0"/>
      <w:marBottom w:val="0"/>
      <w:divBdr>
        <w:top w:val="none" w:sz="0" w:space="0" w:color="auto"/>
        <w:left w:val="none" w:sz="0" w:space="0" w:color="auto"/>
        <w:bottom w:val="none" w:sz="0" w:space="0" w:color="auto"/>
        <w:right w:val="none" w:sz="0" w:space="0" w:color="auto"/>
      </w:divBdr>
    </w:div>
    <w:div w:id="598104308">
      <w:bodyDiv w:val="1"/>
      <w:marLeft w:val="0"/>
      <w:marRight w:val="0"/>
      <w:marTop w:val="0"/>
      <w:marBottom w:val="0"/>
      <w:divBdr>
        <w:top w:val="none" w:sz="0" w:space="0" w:color="auto"/>
        <w:left w:val="none" w:sz="0" w:space="0" w:color="auto"/>
        <w:bottom w:val="none" w:sz="0" w:space="0" w:color="auto"/>
        <w:right w:val="none" w:sz="0" w:space="0" w:color="auto"/>
      </w:divBdr>
    </w:div>
    <w:div w:id="598293158">
      <w:bodyDiv w:val="1"/>
      <w:marLeft w:val="0"/>
      <w:marRight w:val="0"/>
      <w:marTop w:val="0"/>
      <w:marBottom w:val="0"/>
      <w:divBdr>
        <w:top w:val="none" w:sz="0" w:space="0" w:color="auto"/>
        <w:left w:val="none" w:sz="0" w:space="0" w:color="auto"/>
        <w:bottom w:val="none" w:sz="0" w:space="0" w:color="auto"/>
        <w:right w:val="none" w:sz="0" w:space="0" w:color="auto"/>
      </w:divBdr>
    </w:div>
    <w:div w:id="601911724">
      <w:bodyDiv w:val="1"/>
      <w:marLeft w:val="0"/>
      <w:marRight w:val="0"/>
      <w:marTop w:val="0"/>
      <w:marBottom w:val="0"/>
      <w:divBdr>
        <w:top w:val="none" w:sz="0" w:space="0" w:color="auto"/>
        <w:left w:val="none" w:sz="0" w:space="0" w:color="auto"/>
        <w:bottom w:val="none" w:sz="0" w:space="0" w:color="auto"/>
        <w:right w:val="none" w:sz="0" w:space="0" w:color="auto"/>
      </w:divBdr>
    </w:div>
    <w:div w:id="604963038">
      <w:bodyDiv w:val="1"/>
      <w:marLeft w:val="0"/>
      <w:marRight w:val="0"/>
      <w:marTop w:val="0"/>
      <w:marBottom w:val="0"/>
      <w:divBdr>
        <w:top w:val="none" w:sz="0" w:space="0" w:color="auto"/>
        <w:left w:val="none" w:sz="0" w:space="0" w:color="auto"/>
        <w:bottom w:val="none" w:sz="0" w:space="0" w:color="auto"/>
        <w:right w:val="none" w:sz="0" w:space="0" w:color="auto"/>
      </w:divBdr>
    </w:div>
    <w:div w:id="605305558">
      <w:bodyDiv w:val="1"/>
      <w:marLeft w:val="0"/>
      <w:marRight w:val="0"/>
      <w:marTop w:val="0"/>
      <w:marBottom w:val="0"/>
      <w:divBdr>
        <w:top w:val="none" w:sz="0" w:space="0" w:color="auto"/>
        <w:left w:val="none" w:sz="0" w:space="0" w:color="auto"/>
        <w:bottom w:val="none" w:sz="0" w:space="0" w:color="auto"/>
        <w:right w:val="none" w:sz="0" w:space="0" w:color="auto"/>
      </w:divBdr>
    </w:div>
    <w:div w:id="609901169">
      <w:bodyDiv w:val="1"/>
      <w:marLeft w:val="0"/>
      <w:marRight w:val="0"/>
      <w:marTop w:val="0"/>
      <w:marBottom w:val="0"/>
      <w:divBdr>
        <w:top w:val="none" w:sz="0" w:space="0" w:color="auto"/>
        <w:left w:val="none" w:sz="0" w:space="0" w:color="auto"/>
        <w:bottom w:val="none" w:sz="0" w:space="0" w:color="auto"/>
        <w:right w:val="none" w:sz="0" w:space="0" w:color="auto"/>
      </w:divBdr>
    </w:div>
    <w:div w:id="611940331">
      <w:bodyDiv w:val="1"/>
      <w:marLeft w:val="0"/>
      <w:marRight w:val="0"/>
      <w:marTop w:val="0"/>
      <w:marBottom w:val="0"/>
      <w:divBdr>
        <w:top w:val="none" w:sz="0" w:space="0" w:color="auto"/>
        <w:left w:val="none" w:sz="0" w:space="0" w:color="auto"/>
        <w:bottom w:val="none" w:sz="0" w:space="0" w:color="auto"/>
        <w:right w:val="none" w:sz="0" w:space="0" w:color="auto"/>
      </w:divBdr>
    </w:div>
    <w:div w:id="612447260">
      <w:bodyDiv w:val="1"/>
      <w:marLeft w:val="0"/>
      <w:marRight w:val="0"/>
      <w:marTop w:val="0"/>
      <w:marBottom w:val="0"/>
      <w:divBdr>
        <w:top w:val="none" w:sz="0" w:space="0" w:color="auto"/>
        <w:left w:val="none" w:sz="0" w:space="0" w:color="auto"/>
        <w:bottom w:val="none" w:sz="0" w:space="0" w:color="auto"/>
        <w:right w:val="none" w:sz="0" w:space="0" w:color="auto"/>
      </w:divBdr>
    </w:div>
    <w:div w:id="613295869">
      <w:bodyDiv w:val="1"/>
      <w:marLeft w:val="0"/>
      <w:marRight w:val="0"/>
      <w:marTop w:val="0"/>
      <w:marBottom w:val="0"/>
      <w:divBdr>
        <w:top w:val="none" w:sz="0" w:space="0" w:color="auto"/>
        <w:left w:val="none" w:sz="0" w:space="0" w:color="auto"/>
        <w:bottom w:val="none" w:sz="0" w:space="0" w:color="auto"/>
        <w:right w:val="none" w:sz="0" w:space="0" w:color="auto"/>
      </w:divBdr>
    </w:div>
    <w:div w:id="615600668">
      <w:bodyDiv w:val="1"/>
      <w:marLeft w:val="0"/>
      <w:marRight w:val="0"/>
      <w:marTop w:val="0"/>
      <w:marBottom w:val="0"/>
      <w:divBdr>
        <w:top w:val="none" w:sz="0" w:space="0" w:color="auto"/>
        <w:left w:val="none" w:sz="0" w:space="0" w:color="auto"/>
        <w:bottom w:val="none" w:sz="0" w:space="0" w:color="auto"/>
        <w:right w:val="none" w:sz="0" w:space="0" w:color="auto"/>
      </w:divBdr>
    </w:div>
    <w:div w:id="617181525">
      <w:bodyDiv w:val="1"/>
      <w:marLeft w:val="0"/>
      <w:marRight w:val="0"/>
      <w:marTop w:val="0"/>
      <w:marBottom w:val="0"/>
      <w:divBdr>
        <w:top w:val="none" w:sz="0" w:space="0" w:color="auto"/>
        <w:left w:val="none" w:sz="0" w:space="0" w:color="auto"/>
        <w:bottom w:val="none" w:sz="0" w:space="0" w:color="auto"/>
        <w:right w:val="none" w:sz="0" w:space="0" w:color="auto"/>
      </w:divBdr>
    </w:div>
    <w:div w:id="617840328">
      <w:bodyDiv w:val="1"/>
      <w:marLeft w:val="0"/>
      <w:marRight w:val="0"/>
      <w:marTop w:val="0"/>
      <w:marBottom w:val="0"/>
      <w:divBdr>
        <w:top w:val="none" w:sz="0" w:space="0" w:color="auto"/>
        <w:left w:val="none" w:sz="0" w:space="0" w:color="auto"/>
        <w:bottom w:val="none" w:sz="0" w:space="0" w:color="auto"/>
        <w:right w:val="none" w:sz="0" w:space="0" w:color="auto"/>
      </w:divBdr>
    </w:div>
    <w:div w:id="618032399">
      <w:bodyDiv w:val="1"/>
      <w:marLeft w:val="0"/>
      <w:marRight w:val="0"/>
      <w:marTop w:val="0"/>
      <w:marBottom w:val="0"/>
      <w:divBdr>
        <w:top w:val="none" w:sz="0" w:space="0" w:color="auto"/>
        <w:left w:val="none" w:sz="0" w:space="0" w:color="auto"/>
        <w:bottom w:val="none" w:sz="0" w:space="0" w:color="auto"/>
        <w:right w:val="none" w:sz="0" w:space="0" w:color="auto"/>
      </w:divBdr>
    </w:div>
    <w:div w:id="618950605">
      <w:bodyDiv w:val="1"/>
      <w:marLeft w:val="0"/>
      <w:marRight w:val="0"/>
      <w:marTop w:val="0"/>
      <w:marBottom w:val="0"/>
      <w:divBdr>
        <w:top w:val="none" w:sz="0" w:space="0" w:color="auto"/>
        <w:left w:val="none" w:sz="0" w:space="0" w:color="auto"/>
        <w:bottom w:val="none" w:sz="0" w:space="0" w:color="auto"/>
        <w:right w:val="none" w:sz="0" w:space="0" w:color="auto"/>
      </w:divBdr>
    </w:div>
    <w:div w:id="621615710">
      <w:bodyDiv w:val="1"/>
      <w:marLeft w:val="0"/>
      <w:marRight w:val="0"/>
      <w:marTop w:val="0"/>
      <w:marBottom w:val="0"/>
      <w:divBdr>
        <w:top w:val="none" w:sz="0" w:space="0" w:color="auto"/>
        <w:left w:val="none" w:sz="0" w:space="0" w:color="auto"/>
        <w:bottom w:val="none" w:sz="0" w:space="0" w:color="auto"/>
        <w:right w:val="none" w:sz="0" w:space="0" w:color="auto"/>
      </w:divBdr>
    </w:div>
    <w:div w:id="623001474">
      <w:bodyDiv w:val="1"/>
      <w:marLeft w:val="0"/>
      <w:marRight w:val="0"/>
      <w:marTop w:val="0"/>
      <w:marBottom w:val="0"/>
      <w:divBdr>
        <w:top w:val="none" w:sz="0" w:space="0" w:color="auto"/>
        <w:left w:val="none" w:sz="0" w:space="0" w:color="auto"/>
        <w:bottom w:val="none" w:sz="0" w:space="0" w:color="auto"/>
        <w:right w:val="none" w:sz="0" w:space="0" w:color="auto"/>
      </w:divBdr>
    </w:div>
    <w:div w:id="625817296">
      <w:bodyDiv w:val="1"/>
      <w:marLeft w:val="0"/>
      <w:marRight w:val="0"/>
      <w:marTop w:val="0"/>
      <w:marBottom w:val="0"/>
      <w:divBdr>
        <w:top w:val="none" w:sz="0" w:space="0" w:color="auto"/>
        <w:left w:val="none" w:sz="0" w:space="0" w:color="auto"/>
        <w:bottom w:val="none" w:sz="0" w:space="0" w:color="auto"/>
        <w:right w:val="none" w:sz="0" w:space="0" w:color="auto"/>
      </w:divBdr>
    </w:div>
    <w:div w:id="626737670">
      <w:bodyDiv w:val="1"/>
      <w:marLeft w:val="0"/>
      <w:marRight w:val="0"/>
      <w:marTop w:val="0"/>
      <w:marBottom w:val="0"/>
      <w:divBdr>
        <w:top w:val="none" w:sz="0" w:space="0" w:color="auto"/>
        <w:left w:val="none" w:sz="0" w:space="0" w:color="auto"/>
        <w:bottom w:val="none" w:sz="0" w:space="0" w:color="auto"/>
        <w:right w:val="none" w:sz="0" w:space="0" w:color="auto"/>
      </w:divBdr>
    </w:div>
    <w:div w:id="627668337">
      <w:bodyDiv w:val="1"/>
      <w:marLeft w:val="0"/>
      <w:marRight w:val="0"/>
      <w:marTop w:val="0"/>
      <w:marBottom w:val="0"/>
      <w:divBdr>
        <w:top w:val="none" w:sz="0" w:space="0" w:color="auto"/>
        <w:left w:val="none" w:sz="0" w:space="0" w:color="auto"/>
        <w:bottom w:val="none" w:sz="0" w:space="0" w:color="auto"/>
        <w:right w:val="none" w:sz="0" w:space="0" w:color="auto"/>
      </w:divBdr>
    </w:div>
    <w:div w:id="627854528">
      <w:bodyDiv w:val="1"/>
      <w:marLeft w:val="0"/>
      <w:marRight w:val="0"/>
      <w:marTop w:val="0"/>
      <w:marBottom w:val="0"/>
      <w:divBdr>
        <w:top w:val="none" w:sz="0" w:space="0" w:color="auto"/>
        <w:left w:val="none" w:sz="0" w:space="0" w:color="auto"/>
        <w:bottom w:val="none" w:sz="0" w:space="0" w:color="auto"/>
        <w:right w:val="none" w:sz="0" w:space="0" w:color="auto"/>
      </w:divBdr>
    </w:div>
    <w:div w:id="632708478">
      <w:bodyDiv w:val="1"/>
      <w:marLeft w:val="0"/>
      <w:marRight w:val="0"/>
      <w:marTop w:val="0"/>
      <w:marBottom w:val="0"/>
      <w:divBdr>
        <w:top w:val="none" w:sz="0" w:space="0" w:color="auto"/>
        <w:left w:val="none" w:sz="0" w:space="0" w:color="auto"/>
        <w:bottom w:val="none" w:sz="0" w:space="0" w:color="auto"/>
        <w:right w:val="none" w:sz="0" w:space="0" w:color="auto"/>
      </w:divBdr>
    </w:div>
    <w:div w:id="632714245">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6447846">
      <w:bodyDiv w:val="1"/>
      <w:marLeft w:val="0"/>
      <w:marRight w:val="0"/>
      <w:marTop w:val="0"/>
      <w:marBottom w:val="0"/>
      <w:divBdr>
        <w:top w:val="none" w:sz="0" w:space="0" w:color="auto"/>
        <w:left w:val="none" w:sz="0" w:space="0" w:color="auto"/>
        <w:bottom w:val="none" w:sz="0" w:space="0" w:color="auto"/>
        <w:right w:val="none" w:sz="0" w:space="0" w:color="auto"/>
      </w:divBdr>
    </w:div>
    <w:div w:id="639044506">
      <w:bodyDiv w:val="1"/>
      <w:marLeft w:val="0"/>
      <w:marRight w:val="0"/>
      <w:marTop w:val="0"/>
      <w:marBottom w:val="0"/>
      <w:divBdr>
        <w:top w:val="none" w:sz="0" w:space="0" w:color="auto"/>
        <w:left w:val="none" w:sz="0" w:space="0" w:color="auto"/>
        <w:bottom w:val="none" w:sz="0" w:space="0" w:color="auto"/>
        <w:right w:val="none" w:sz="0" w:space="0" w:color="auto"/>
      </w:divBdr>
    </w:div>
    <w:div w:id="639842292">
      <w:bodyDiv w:val="1"/>
      <w:marLeft w:val="0"/>
      <w:marRight w:val="0"/>
      <w:marTop w:val="0"/>
      <w:marBottom w:val="0"/>
      <w:divBdr>
        <w:top w:val="none" w:sz="0" w:space="0" w:color="auto"/>
        <w:left w:val="none" w:sz="0" w:space="0" w:color="auto"/>
        <w:bottom w:val="none" w:sz="0" w:space="0" w:color="auto"/>
        <w:right w:val="none" w:sz="0" w:space="0" w:color="auto"/>
      </w:divBdr>
    </w:div>
    <w:div w:id="641736348">
      <w:bodyDiv w:val="1"/>
      <w:marLeft w:val="0"/>
      <w:marRight w:val="0"/>
      <w:marTop w:val="0"/>
      <w:marBottom w:val="0"/>
      <w:divBdr>
        <w:top w:val="none" w:sz="0" w:space="0" w:color="auto"/>
        <w:left w:val="none" w:sz="0" w:space="0" w:color="auto"/>
        <w:bottom w:val="none" w:sz="0" w:space="0" w:color="auto"/>
        <w:right w:val="none" w:sz="0" w:space="0" w:color="auto"/>
      </w:divBdr>
    </w:div>
    <w:div w:id="644240023">
      <w:bodyDiv w:val="1"/>
      <w:marLeft w:val="0"/>
      <w:marRight w:val="0"/>
      <w:marTop w:val="0"/>
      <w:marBottom w:val="0"/>
      <w:divBdr>
        <w:top w:val="none" w:sz="0" w:space="0" w:color="auto"/>
        <w:left w:val="none" w:sz="0" w:space="0" w:color="auto"/>
        <w:bottom w:val="none" w:sz="0" w:space="0" w:color="auto"/>
        <w:right w:val="none" w:sz="0" w:space="0" w:color="auto"/>
      </w:divBdr>
    </w:div>
    <w:div w:id="646711432">
      <w:bodyDiv w:val="1"/>
      <w:marLeft w:val="0"/>
      <w:marRight w:val="0"/>
      <w:marTop w:val="0"/>
      <w:marBottom w:val="0"/>
      <w:divBdr>
        <w:top w:val="none" w:sz="0" w:space="0" w:color="auto"/>
        <w:left w:val="none" w:sz="0" w:space="0" w:color="auto"/>
        <w:bottom w:val="none" w:sz="0" w:space="0" w:color="auto"/>
        <w:right w:val="none" w:sz="0" w:space="0" w:color="auto"/>
      </w:divBdr>
    </w:div>
    <w:div w:id="649142489">
      <w:bodyDiv w:val="1"/>
      <w:marLeft w:val="0"/>
      <w:marRight w:val="0"/>
      <w:marTop w:val="0"/>
      <w:marBottom w:val="0"/>
      <w:divBdr>
        <w:top w:val="none" w:sz="0" w:space="0" w:color="auto"/>
        <w:left w:val="none" w:sz="0" w:space="0" w:color="auto"/>
        <w:bottom w:val="none" w:sz="0" w:space="0" w:color="auto"/>
        <w:right w:val="none" w:sz="0" w:space="0" w:color="auto"/>
      </w:divBdr>
    </w:div>
    <w:div w:id="649679041">
      <w:bodyDiv w:val="1"/>
      <w:marLeft w:val="0"/>
      <w:marRight w:val="0"/>
      <w:marTop w:val="0"/>
      <w:marBottom w:val="0"/>
      <w:divBdr>
        <w:top w:val="none" w:sz="0" w:space="0" w:color="auto"/>
        <w:left w:val="none" w:sz="0" w:space="0" w:color="auto"/>
        <w:bottom w:val="none" w:sz="0" w:space="0" w:color="auto"/>
        <w:right w:val="none" w:sz="0" w:space="0" w:color="auto"/>
      </w:divBdr>
    </w:div>
    <w:div w:id="649941479">
      <w:bodyDiv w:val="1"/>
      <w:marLeft w:val="0"/>
      <w:marRight w:val="0"/>
      <w:marTop w:val="0"/>
      <w:marBottom w:val="0"/>
      <w:divBdr>
        <w:top w:val="none" w:sz="0" w:space="0" w:color="auto"/>
        <w:left w:val="none" w:sz="0" w:space="0" w:color="auto"/>
        <w:bottom w:val="none" w:sz="0" w:space="0" w:color="auto"/>
        <w:right w:val="none" w:sz="0" w:space="0" w:color="auto"/>
      </w:divBdr>
    </w:div>
    <w:div w:id="649941712">
      <w:bodyDiv w:val="1"/>
      <w:marLeft w:val="0"/>
      <w:marRight w:val="0"/>
      <w:marTop w:val="0"/>
      <w:marBottom w:val="0"/>
      <w:divBdr>
        <w:top w:val="none" w:sz="0" w:space="0" w:color="auto"/>
        <w:left w:val="none" w:sz="0" w:space="0" w:color="auto"/>
        <w:bottom w:val="none" w:sz="0" w:space="0" w:color="auto"/>
        <w:right w:val="none" w:sz="0" w:space="0" w:color="auto"/>
      </w:divBdr>
    </w:div>
    <w:div w:id="655912895">
      <w:bodyDiv w:val="1"/>
      <w:marLeft w:val="0"/>
      <w:marRight w:val="0"/>
      <w:marTop w:val="0"/>
      <w:marBottom w:val="0"/>
      <w:divBdr>
        <w:top w:val="none" w:sz="0" w:space="0" w:color="auto"/>
        <w:left w:val="none" w:sz="0" w:space="0" w:color="auto"/>
        <w:bottom w:val="none" w:sz="0" w:space="0" w:color="auto"/>
        <w:right w:val="none" w:sz="0" w:space="0" w:color="auto"/>
      </w:divBdr>
    </w:div>
    <w:div w:id="657730199">
      <w:bodyDiv w:val="1"/>
      <w:marLeft w:val="0"/>
      <w:marRight w:val="0"/>
      <w:marTop w:val="0"/>
      <w:marBottom w:val="0"/>
      <w:divBdr>
        <w:top w:val="none" w:sz="0" w:space="0" w:color="auto"/>
        <w:left w:val="none" w:sz="0" w:space="0" w:color="auto"/>
        <w:bottom w:val="none" w:sz="0" w:space="0" w:color="auto"/>
        <w:right w:val="none" w:sz="0" w:space="0" w:color="auto"/>
      </w:divBdr>
    </w:div>
    <w:div w:id="658730022">
      <w:bodyDiv w:val="1"/>
      <w:marLeft w:val="0"/>
      <w:marRight w:val="0"/>
      <w:marTop w:val="0"/>
      <w:marBottom w:val="0"/>
      <w:divBdr>
        <w:top w:val="none" w:sz="0" w:space="0" w:color="auto"/>
        <w:left w:val="none" w:sz="0" w:space="0" w:color="auto"/>
        <w:bottom w:val="none" w:sz="0" w:space="0" w:color="auto"/>
        <w:right w:val="none" w:sz="0" w:space="0" w:color="auto"/>
      </w:divBdr>
    </w:div>
    <w:div w:id="659817705">
      <w:bodyDiv w:val="1"/>
      <w:marLeft w:val="0"/>
      <w:marRight w:val="0"/>
      <w:marTop w:val="0"/>
      <w:marBottom w:val="0"/>
      <w:divBdr>
        <w:top w:val="none" w:sz="0" w:space="0" w:color="auto"/>
        <w:left w:val="none" w:sz="0" w:space="0" w:color="auto"/>
        <w:bottom w:val="none" w:sz="0" w:space="0" w:color="auto"/>
        <w:right w:val="none" w:sz="0" w:space="0" w:color="auto"/>
      </w:divBdr>
    </w:div>
    <w:div w:id="662702246">
      <w:bodyDiv w:val="1"/>
      <w:marLeft w:val="0"/>
      <w:marRight w:val="0"/>
      <w:marTop w:val="0"/>
      <w:marBottom w:val="0"/>
      <w:divBdr>
        <w:top w:val="none" w:sz="0" w:space="0" w:color="auto"/>
        <w:left w:val="none" w:sz="0" w:space="0" w:color="auto"/>
        <w:bottom w:val="none" w:sz="0" w:space="0" w:color="auto"/>
        <w:right w:val="none" w:sz="0" w:space="0" w:color="auto"/>
      </w:divBdr>
    </w:div>
    <w:div w:id="662898131">
      <w:bodyDiv w:val="1"/>
      <w:marLeft w:val="0"/>
      <w:marRight w:val="0"/>
      <w:marTop w:val="0"/>
      <w:marBottom w:val="0"/>
      <w:divBdr>
        <w:top w:val="none" w:sz="0" w:space="0" w:color="auto"/>
        <w:left w:val="none" w:sz="0" w:space="0" w:color="auto"/>
        <w:bottom w:val="none" w:sz="0" w:space="0" w:color="auto"/>
        <w:right w:val="none" w:sz="0" w:space="0" w:color="auto"/>
      </w:divBdr>
    </w:div>
    <w:div w:id="668945847">
      <w:bodyDiv w:val="1"/>
      <w:marLeft w:val="0"/>
      <w:marRight w:val="0"/>
      <w:marTop w:val="0"/>
      <w:marBottom w:val="0"/>
      <w:divBdr>
        <w:top w:val="none" w:sz="0" w:space="0" w:color="auto"/>
        <w:left w:val="none" w:sz="0" w:space="0" w:color="auto"/>
        <w:bottom w:val="none" w:sz="0" w:space="0" w:color="auto"/>
        <w:right w:val="none" w:sz="0" w:space="0" w:color="auto"/>
      </w:divBdr>
    </w:div>
    <w:div w:id="669480659">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3532262">
      <w:bodyDiv w:val="1"/>
      <w:marLeft w:val="0"/>
      <w:marRight w:val="0"/>
      <w:marTop w:val="0"/>
      <w:marBottom w:val="0"/>
      <w:divBdr>
        <w:top w:val="none" w:sz="0" w:space="0" w:color="auto"/>
        <w:left w:val="none" w:sz="0" w:space="0" w:color="auto"/>
        <w:bottom w:val="none" w:sz="0" w:space="0" w:color="auto"/>
        <w:right w:val="none" w:sz="0" w:space="0" w:color="auto"/>
      </w:divBdr>
    </w:div>
    <w:div w:id="675110529">
      <w:bodyDiv w:val="1"/>
      <w:marLeft w:val="0"/>
      <w:marRight w:val="0"/>
      <w:marTop w:val="0"/>
      <w:marBottom w:val="0"/>
      <w:divBdr>
        <w:top w:val="none" w:sz="0" w:space="0" w:color="auto"/>
        <w:left w:val="none" w:sz="0" w:space="0" w:color="auto"/>
        <w:bottom w:val="none" w:sz="0" w:space="0" w:color="auto"/>
        <w:right w:val="none" w:sz="0" w:space="0" w:color="auto"/>
      </w:divBdr>
    </w:div>
    <w:div w:id="676276935">
      <w:bodyDiv w:val="1"/>
      <w:marLeft w:val="0"/>
      <w:marRight w:val="0"/>
      <w:marTop w:val="0"/>
      <w:marBottom w:val="0"/>
      <w:divBdr>
        <w:top w:val="none" w:sz="0" w:space="0" w:color="auto"/>
        <w:left w:val="none" w:sz="0" w:space="0" w:color="auto"/>
        <w:bottom w:val="none" w:sz="0" w:space="0" w:color="auto"/>
        <w:right w:val="none" w:sz="0" w:space="0" w:color="auto"/>
      </w:divBdr>
    </w:div>
    <w:div w:id="678384081">
      <w:bodyDiv w:val="1"/>
      <w:marLeft w:val="0"/>
      <w:marRight w:val="0"/>
      <w:marTop w:val="0"/>
      <w:marBottom w:val="0"/>
      <w:divBdr>
        <w:top w:val="none" w:sz="0" w:space="0" w:color="auto"/>
        <w:left w:val="none" w:sz="0" w:space="0" w:color="auto"/>
        <w:bottom w:val="none" w:sz="0" w:space="0" w:color="auto"/>
        <w:right w:val="none" w:sz="0" w:space="0" w:color="auto"/>
      </w:divBdr>
    </w:div>
    <w:div w:id="678430501">
      <w:bodyDiv w:val="1"/>
      <w:marLeft w:val="0"/>
      <w:marRight w:val="0"/>
      <w:marTop w:val="0"/>
      <w:marBottom w:val="0"/>
      <w:divBdr>
        <w:top w:val="none" w:sz="0" w:space="0" w:color="auto"/>
        <w:left w:val="none" w:sz="0" w:space="0" w:color="auto"/>
        <w:bottom w:val="none" w:sz="0" w:space="0" w:color="auto"/>
        <w:right w:val="none" w:sz="0" w:space="0" w:color="auto"/>
      </w:divBdr>
    </w:div>
    <w:div w:id="678966759">
      <w:bodyDiv w:val="1"/>
      <w:marLeft w:val="0"/>
      <w:marRight w:val="0"/>
      <w:marTop w:val="0"/>
      <w:marBottom w:val="0"/>
      <w:divBdr>
        <w:top w:val="none" w:sz="0" w:space="0" w:color="auto"/>
        <w:left w:val="none" w:sz="0" w:space="0" w:color="auto"/>
        <w:bottom w:val="none" w:sz="0" w:space="0" w:color="auto"/>
        <w:right w:val="none" w:sz="0" w:space="0" w:color="auto"/>
      </w:divBdr>
    </w:div>
    <w:div w:id="680858751">
      <w:bodyDiv w:val="1"/>
      <w:marLeft w:val="0"/>
      <w:marRight w:val="0"/>
      <w:marTop w:val="0"/>
      <w:marBottom w:val="0"/>
      <w:divBdr>
        <w:top w:val="none" w:sz="0" w:space="0" w:color="auto"/>
        <w:left w:val="none" w:sz="0" w:space="0" w:color="auto"/>
        <w:bottom w:val="none" w:sz="0" w:space="0" w:color="auto"/>
        <w:right w:val="none" w:sz="0" w:space="0" w:color="auto"/>
      </w:divBdr>
    </w:div>
    <w:div w:id="681712261">
      <w:bodyDiv w:val="1"/>
      <w:marLeft w:val="0"/>
      <w:marRight w:val="0"/>
      <w:marTop w:val="0"/>
      <w:marBottom w:val="0"/>
      <w:divBdr>
        <w:top w:val="none" w:sz="0" w:space="0" w:color="auto"/>
        <w:left w:val="none" w:sz="0" w:space="0" w:color="auto"/>
        <w:bottom w:val="none" w:sz="0" w:space="0" w:color="auto"/>
        <w:right w:val="none" w:sz="0" w:space="0" w:color="auto"/>
      </w:divBdr>
    </w:div>
    <w:div w:id="682561261">
      <w:bodyDiv w:val="1"/>
      <w:marLeft w:val="0"/>
      <w:marRight w:val="0"/>
      <w:marTop w:val="0"/>
      <w:marBottom w:val="0"/>
      <w:divBdr>
        <w:top w:val="none" w:sz="0" w:space="0" w:color="auto"/>
        <w:left w:val="none" w:sz="0" w:space="0" w:color="auto"/>
        <w:bottom w:val="none" w:sz="0" w:space="0" w:color="auto"/>
        <w:right w:val="none" w:sz="0" w:space="0" w:color="auto"/>
      </w:divBdr>
    </w:div>
    <w:div w:id="683096351">
      <w:bodyDiv w:val="1"/>
      <w:marLeft w:val="0"/>
      <w:marRight w:val="0"/>
      <w:marTop w:val="0"/>
      <w:marBottom w:val="0"/>
      <w:divBdr>
        <w:top w:val="none" w:sz="0" w:space="0" w:color="auto"/>
        <w:left w:val="none" w:sz="0" w:space="0" w:color="auto"/>
        <w:bottom w:val="none" w:sz="0" w:space="0" w:color="auto"/>
        <w:right w:val="none" w:sz="0" w:space="0" w:color="auto"/>
      </w:divBdr>
    </w:div>
    <w:div w:id="683244939">
      <w:bodyDiv w:val="1"/>
      <w:marLeft w:val="0"/>
      <w:marRight w:val="0"/>
      <w:marTop w:val="0"/>
      <w:marBottom w:val="0"/>
      <w:divBdr>
        <w:top w:val="none" w:sz="0" w:space="0" w:color="auto"/>
        <w:left w:val="none" w:sz="0" w:space="0" w:color="auto"/>
        <w:bottom w:val="none" w:sz="0" w:space="0" w:color="auto"/>
        <w:right w:val="none" w:sz="0" w:space="0" w:color="auto"/>
      </w:divBdr>
    </w:div>
    <w:div w:id="685331640">
      <w:bodyDiv w:val="1"/>
      <w:marLeft w:val="0"/>
      <w:marRight w:val="0"/>
      <w:marTop w:val="0"/>
      <w:marBottom w:val="0"/>
      <w:divBdr>
        <w:top w:val="none" w:sz="0" w:space="0" w:color="auto"/>
        <w:left w:val="none" w:sz="0" w:space="0" w:color="auto"/>
        <w:bottom w:val="none" w:sz="0" w:space="0" w:color="auto"/>
        <w:right w:val="none" w:sz="0" w:space="0" w:color="auto"/>
      </w:divBdr>
    </w:div>
    <w:div w:id="691300024">
      <w:bodyDiv w:val="1"/>
      <w:marLeft w:val="0"/>
      <w:marRight w:val="0"/>
      <w:marTop w:val="0"/>
      <w:marBottom w:val="0"/>
      <w:divBdr>
        <w:top w:val="none" w:sz="0" w:space="0" w:color="auto"/>
        <w:left w:val="none" w:sz="0" w:space="0" w:color="auto"/>
        <w:bottom w:val="none" w:sz="0" w:space="0" w:color="auto"/>
        <w:right w:val="none" w:sz="0" w:space="0" w:color="auto"/>
      </w:divBdr>
    </w:div>
    <w:div w:id="692613669">
      <w:bodyDiv w:val="1"/>
      <w:marLeft w:val="0"/>
      <w:marRight w:val="0"/>
      <w:marTop w:val="0"/>
      <w:marBottom w:val="0"/>
      <w:divBdr>
        <w:top w:val="none" w:sz="0" w:space="0" w:color="auto"/>
        <w:left w:val="none" w:sz="0" w:space="0" w:color="auto"/>
        <w:bottom w:val="none" w:sz="0" w:space="0" w:color="auto"/>
        <w:right w:val="none" w:sz="0" w:space="0" w:color="auto"/>
      </w:divBdr>
    </w:div>
    <w:div w:id="693921431">
      <w:bodyDiv w:val="1"/>
      <w:marLeft w:val="0"/>
      <w:marRight w:val="0"/>
      <w:marTop w:val="0"/>
      <w:marBottom w:val="0"/>
      <w:divBdr>
        <w:top w:val="none" w:sz="0" w:space="0" w:color="auto"/>
        <w:left w:val="none" w:sz="0" w:space="0" w:color="auto"/>
        <w:bottom w:val="none" w:sz="0" w:space="0" w:color="auto"/>
        <w:right w:val="none" w:sz="0" w:space="0" w:color="auto"/>
      </w:divBdr>
    </w:div>
    <w:div w:id="694382306">
      <w:bodyDiv w:val="1"/>
      <w:marLeft w:val="0"/>
      <w:marRight w:val="0"/>
      <w:marTop w:val="0"/>
      <w:marBottom w:val="0"/>
      <w:divBdr>
        <w:top w:val="none" w:sz="0" w:space="0" w:color="auto"/>
        <w:left w:val="none" w:sz="0" w:space="0" w:color="auto"/>
        <w:bottom w:val="none" w:sz="0" w:space="0" w:color="auto"/>
        <w:right w:val="none" w:sz="0" w:space="0" w:color="auto"/>
      </w:divBdr>
    </w:div>
    <w:div w:id="695621069">
      <w:bodyDiv w:val="1"/>
      <w:marLeft w:val="0"/>
      <w:marRight w:val="0"/>
      <w:marTop w:val="0"/>
      <w:marBottom w:val="0"/>
      <w:divBdr>
        <w:top w:val="none" w:sz="0" w:space="0" w:color="auto"/>
        <w:left w:val="none" w:sz="0" w:space="0" w:color="auto"/>
        <w:bottom w:val="none" w:sz="0" w:space="0" w:color="auto"/>
        <w:right w:val="none" w:sz="0" w:space="0" w:color="auto"/>
      </w:divBdr>
    </w:div>
    <w:div w:id="697044319">
      <w:bodyDiv w:val="1"/>
      <w:marLeft w:val="0"/>
      <w:marRight w:val="0"/>
      <w:marTop w:val="0"/>
      <w:marBottom w:val="0"/>
      <w:divBdr>
        <w:top w:val="none" w:sz="0" w:space="0" w:color="auto"/>
        <w:left w:val="none" w:sz="0" w:space="0" w:color="auto"/>
        <w:bottom w:val="none" w:sz="0" w:space="0" w:color="auto"/>
        <w:right w:val="none" w:sz="0" w:space="0" w:color="auto"/>
      </w:divBdr>
    </w:div>
    <w:div w:id="702367423">
      <w:bodyDiv w:val="1"/>
      <w:marLeft w:val="0"/>
      <w:marRight w:val="0"/>
      <w:marTop w:val="0"/>
      <w:marBottom w:val="0"/>
      <w:divBdr>
        <w:top w:val="none" w:sz="0" w:space="0" w:color="auto"/>
        <w:left w:val="none" w:sz="0" w:space="0" w:color="auto"/>
        <w:bottom w:val="none" w:sz="0" w:space="0" w:color="auto"/>
        <w:right w:val="none" w:sz="0" w:space="0" w:color="auto"/>
      </w:divBdr>
    </w:div>
    <w:div w:id="703218310">
      <w:bodyDiv w:val="1"/>
      <w:marLeft w:val="0"/>
      <w:marRight w:val="0"/>
      <w:marTop w:val="0"/>
      <w:marBottom w:val="0"/>
      <w:divBdr>
        <w:top w:val="none" w:sz="0" w:space="0" w:color="auto"/>
        <w:left w:val="none" w:sz="0" w:space="0" w:color="auto"/>
        <w:bottom w:val="none" w:sz="0" w:space="0" w:color="auto"/>
        <w:right w:val="none" w:sz="0" w:space="0" w:color="auto"/>
      </w:divBdr>
    </w:div>
    <w:div w:id="704525973">
      <w:bodyDiv w:val="1"/>
      <w:marLeft w:val="0"/>
      <w:marRight w:val="0"/>
      <w:marTop w:val="0"/>
      <w:marBottom w:val="0"/>
      <w:divBdr>
        <w:top w:val="none" w:sz="0" w:space="0" w:color="auto"/>
        <w:left w:val="none" w:sz="0" w:space="0" w:color="auto"/>
        <w:bottom w:val="none" w:sz="0" w:space="0" w:color="auto"/>
        <w:right w:val="none" w:sz="0" w:space="0" w:color="auto"/>
      </w:divBdr>
    </w:div>
    <w:div w:id="705252314">
      <w:bodyDiv w:val="1"/>
      <w:marLeft w:val="0"/>
      <w:marRight w:val="0"/>
      <w:marTop w:val="0"/>
      <w:marBottom w:val="0"/>
      <w:divBdr>
        <w:top w:val="none" w:sz="0" w:space="0" w:color="auto"/>
        <w:left w:val="none" w:sz="0" w:space="0" w:color="auto"/>
        <w:bottom w:val="none" w:sz="0" w:space="0" w:color="auto"/>
        <w:right w:val="none" w:sz="0" w:space="0" w:color="auto"/>
      </w:divBdr>
    </w:div>
    <w:div w:id="710686671">
      <w:bodyDiv w:val="1"/>
      <w:marLeft w:val="0"/>
      <w:marRight w:val="0"/>
      <w:marTop w:val="0"/>
      <w:marBottom w:val="0"/>
      <w:divBdr>
        <w:top w:val="none" w:sz="0" w:space="0" w:color="auto"/>
        <w:left w:val="none" w:sz="0" w:space="0" w:color="auto"/>
        <w:bottom w:val="none" w:sz="0" w:space="0" w:color="auto"/>
        <w:right w:val="none" w:sz="0" w:space="0" w:color="auto"/>
      </w:divBdr>
    </w:div>
    <w:div w:id="711199842">
      <w:bodyDiv w:val="1"/>
      <w:marLeft w:val="0"/>
      <w:marRight w:val="0"/>
      <w:marTop w:val="0"/>
      <w:marBottom w:val="0"/>
      <w:divBdr>
        <w:top w:val="none" w:sz="0" w:space="0" w:color="auto"/>
        <w:left w:val="none" w:sz="0" w:space="0" w:color="auto"/>
        <w:bottom w:val="none" w:sz="0" w:space="0" w:color="auto"/>
        <w:right w:val="none" w:sz="0" w:space="0" w:color="auto"/>
      </w:divBdr>
    </w:div>
    <w:div w:id="716508899">
      <w:bodyDiv w:val="1"/>
      <w:marLeft w:val="0"/>
      <w:marRight w:val="0"/>
      <w:marTop w:val="0"/>
      <w:marBottom w:val="0"/>
      <w:divBdr>
        <w:top w:val="none" w:sz="0" w:space="0" w:color="auto"/>
        <w:left w:val="none" w:sz="0" w:space="0" w:color="auto"/>
        <w:bottom w:val="none" w:sz="0" w:space="0" w:color="auto"/>
        <w:right w:val="none" w:sz="0" w:space="0" w:color="auto"/>
      </w:divBdr>
    </w:div>
    <w:div w:id="717322020">
      <w:bodyDiv w:val="1"/>
      <w:marLeft w:val="0"/>
      <w:marRight w:val="0"/>
      <w:marTop w:val="0"/>
      <w:marBottom w:val="0"/>
      <w:divBdr>
        <w:top w:val="none" w:sz="0" w:space="0" w:color="auto"/>
        <w:left w:val="none" w:sz="0" w:space="0" w:color="auto"/>
        <w:bottom w:val="none" w:sz="0" w:space="0" w:color="auto"/>
        <w:right w:val="none" w:sz="0" w:space="0" w:color="auto"/>
      </w:divBdr>
    </w:div>
    <w:div w:id="719324333">
      <w:bodyDiv w:val="1"/>
      <w:marLeft w:val="0"/>
      <w:marRight w:val="0"/>
      <w:marTop w:val="0"/>
      <w:marBottom w:val="0"/>
      <w:divBdr>
        <w:top w:val="none" w:sz="0" w:space="0" w:color="auto"/>
        <w:left w:val="none" w:sz="0" w:space="0" w:color="auto"/>
        <w:bottom w:val="none" w:sz="0" w:space="0" w:color="auto"/>
        <w:right w:val="none" w:sz="0" w:space="0" w:color="auto"/>
      </w:divBdr>
    </w:div>
    <w:div w:id="719983516">
      <w:bodyDiv w:val="1"/>
      <w:marLeft w:val="0"/>
      <w:marRight w:val="0"/>
      <w:marTop w:val="0"/>
      <w:marBottom w:val="0"/>
      <w:divBdr>
        <w:top w:val="none" w:sz="0" w:space="0" w:color="auto"/>
        <w:left w:val="none" w:sz="0" w:space="0" w:color="auto"/>
        <w:bottom w:val="none" w:sz="0" w:space="0" w:color="auto"/>
        <w:right w:val="none" w:sz="0" w:space="0" w:color="auto"/>
      </w:divBdr>
    </w:div>
    <w:div w:id="721172186">
      <w:bodyDiv w:val="1"/>
      <w:marLeft w:val="0"/>
      <w:marRight w:val="0"/>
      <w:marTop w:val="0"/>
      <w:marBottom w:val="0"/>
      <w:divBdr>
        <w:top w:val="none" w:sz="0" w:space="0" w:color="auto"/>
        <w:left w:val="none" w:sz="0" w:space="0" w:color="auto"/>
        <w:bottom w:val="none" w:sz="0" w:space="0" w:color="auto"/>
        <w:right w:val="none" w:sz="0" w:space="0" w:color="auto"/>
      </w:divBdr>
    </w:div>
    <w:div w:id="722751288">
      <w:bodyDiv w:val="1"/>
      <w:marLeft w:val="0"/>
      <w:marRight w:val="0"/>
      <w:marTop w:val="0"/>
      <w:marBottom w:val="0"/>
      <w:divBdr>
        <w:top w:val="none" w:sz="0" w:space="0" w:color="auto"/>
        <w:left w:val="none" w:sz="0" w:space="0" w:color="auto"/>
        <w:bottom w:val="none" w:sz="0" w:space="0" w:color="auto"/>
        <w:right w:val="none" w:sz="0" w:space="0" w:color="auto"/>
      </w:divBdr>
    </w:div>
    <w:div w:id="724453961">
      <w:bodyDiv w:val="1"/>
      <w:marLeft w:val="0"/>
      <w:marRight w:val="0"/>
      <w:marTop w:val="0"/>
      <w:marBottom w:val="0"/>
      <w:divBdr>
        <w:top w:val="none" w:sz="0" w:space="0" w:color="auto"/>
        <w:left w:val="none" w:sz="0" w:space="0" w:color="auto"/>
        <w:bottom w:val="none" w:sz="0" w:space="0" w:color="auto"/>
        <w:right w:val="none" w:sz="0" w:space="0" w:color="auto"/>
      </w:divBdr>
    </w:div>
    <w:div w:id="725908632">
      <w:bodyDiv w:val="1"/>
      <w:marLeft w:val="0"/>
      <w:marRight w:val="0"/>
      <w:marTop w:val="0"/>
      <w:marBottom w:val="0"/>
      <w:divBdr>
        <w:top w:val="none" w:sz="0" w:space="0" w:color="auto"/>
        <w:left w:val="none" w:sz="0" w:space="0" w:color="auto"/>
        <w:bottom w:val="none" w:sz="0" w:space="0" w:color="auto"/>
        <w:right w:val="none" w:sz="0" w:space="0" w:color="auto"/>
      </w:divBdr>
    </w:div>
    <w:div w:id="728266163">
      <w:bodyDiv w:val="1"/>
      <w:marLeft w:val="0"/>
      <w:marRight w:val="0"/>
      <w:marTop w:val="0"/>
      <w:marBottom w:val="0"/>
      <w:divBdr>
        <w:top w:val="none" w:sz="0" w:space="0" w:color="auto"/>
        <w:left w:val="none" w:sz="0" w:space="0" w:color="auto"/>
        <w:bottom w:val="none" w:sz="0" w:space="0" w:color="auto"/>
        <w:right w:val="none" w:sz="0" w:space="0" w:color="auto"/>
      </w:divBdr>
    </w:div>
    <w:div w:id="728384216">
      <w:bodyDiv w:val="1"/>
      <w:marLeft w:val="0"/>
      <w:marRight w:val="0"/>
      <w:marTop w:val="0"/>
      <w:marBottom w:val="0"/>
      <w:divBdr>
        <w:top w:val="none" w:sz="0" w:space="0" w:color="auto"/>
        <w:left w:val="none" w:sz="0" w:space="0" w:color="auto"/>
        <w:bottom w:val="none" w:sz="0" w:space="0" w:color="auto"/>
        <w:right w:val="none" w:sz="0" w:space="0" w:color="auto"/>
      </w:divBdr>
    </w:div>
    <w:div w:id="728891783">
      <w:bodyDiv w:val="1"/>
      <w:marLeft w:val="0"/>
      <w:marRight w:val="0"/>
      <w:marTop w:val="0"/>
      <w:marBottom w:val="0"/>
      <w:divBdr>
        <w:top w:val="none" w:sz="0" w:space="0" w:color="auto"/>
        <w:left w:val="none" w:sz="0" w:space="0" w:color="auto"/>
        <w:bottom w:val="none" w:sz="0" w:space="0" w:color="auto"/>
        <w:right w:val="none" w:sz="0" w:space="0" w:color="auto"/>
      </w:divBdr>
    </w:div>
    <w:div w:id="729303064">
      <w:bodyDiv w:val="1"/>
      <w:marLeft w:val="0"/>
      <w:marRight w:val="0"/>
      <w:marTop w:val="0"/>
      <w:marBottom w:val="0"/>
      <w:divBdr>
        <w:top w:val="none" w:sz="0" w:space="0" w:color="auto"/>
        <w:left w:val="none" w:sz="0" w:space="0" w:color="auto"/>
        <w:bottom w:val="none" w:sz="0" w:space="0" w:color="auto"/>
        <w:right w:val="none" w:sz="0" w:space="0" w:color="auto"/>
      </w:divBdr>
    </w:div>
    <w:div w:id="731538470">
      <w:bodyDiv w:val="1"/>
      <w:marLeft w:val="0"/>
      <w:marRight w:val="0"/>
      <w:marTop w:val="0"/>
      <w:marBottom w:val="0"/>
      <w:divBdr>
        <w:top w:val="none" w:sz="0" w:space="0" w:color="auto"/>
        <w:left w:val="none" w:sz="0" w:space="0" w:color="auto"/>
        <w:bottom w:val="none" w:sz="0" w:space="0" w:color="auto"/>
        <w:right w:val="none" w:sz="0" w:space="0" w:color="auto"/>
      </w:divBdr>
    </w:div>
    <w:div w:id="732387971">
      <w:bodyDiv w:val="1"/>
      <w:marLeft w:val="0"/>
      <w:marRight w:val="0"/>
      <w:marTop w:val="0"/>
      <w:marBottom w:val="0"/>
      <w:divBdr>
        <w:top w:val="none" w:sz="0" w:space="0" w:color="auto"/>
        <w:left w:val="none" w:sz="0" w:space="0" w:color="auto"/>
        <w:bottom w:val="none" w:sz="0" w:space="0" w:color="auto"/>
        <w:right w:val="none" w:sz="0" w:space="0" w:color="auto"/>
      </w:divBdr>
    </w:div>
    <w:div w:id="734818338">
      <w:bodyDiv w:val="1"/>
      <w:marLeft w:val="0"/>
      <w:marRight w:val="0"/>
      <w:marTop w:val="0"/>
      <w:marBottom w:val="0"/>
      <w:divBdr>
        <w:top w:val="none" w:sz="0" w:space="0" w:color="auto"/>
        <w:left w:val="none" w:sz="0" w:space="0" w:color="auto"/>
        <w:bottom w:val="none" w:sz="0" w:space="0" w:color="auto"/>
        <w:right w:val="none" w:sz="0" w:space="0" w:color="auto"/>
      </w:divBdr>
    </w:div>
    <w:div w:id="735976702">
      <w:bodyDiv w:val="1"/>
      <w:marLeft w:val="0"/>
      <w:marRight w:val="0"/>
      <w:marTop w:val="0"/>
      <w:marBottom w:val="0"/>
      <w:divBdr>
        <w:top w:val="none" w:sz="0" w:space="0" w:color="auto"/>
        <w:left w:val="none" w:sz="0" w:space="0" w:color="auto"/>
        <w:bottom w:val="none" w:sz="0" w:space="0" w:color="auto"/>
        <w:right w:val="none" w:sz="0" w:space="0" w:color="auto"/>
      </w:divBdr>
    </w:div>
    <w:div w:id="736051227">
      <w:bodyDiv w:val="1"/>
      <w:marLeft w:val="0"/>
      <w:marRight w:val="0"/>
      <w:marTop w:val="0"/>
      <w:marBottom w:val="0"/>
      <w:divBdr>
        <w:top w:val="none" w:sz="0" w:space="0" w:color="auto"/>
        <w:left w:val="none" w:sz="0" w:space="0" w:color="auto"/>
        <w:bottom w:val="none" w:sz="0" w:space="0" w:color="auto"/>
        <w:right w:val="none" w:sz="0" w:space="0" w:color="auto"/>
      </w:divBdr>
    </w:div>
    <w:div w:id="741608690">
      <w:bodyDiv w:val="1"/>
      <w:marLeft w:val="0"/>
      <w:marRight w:val="0"/>
      <w:marTop w:val="0"/>
      <w:marBottom w:val="0"/>
      <w:divBdr>
        <w:top w:val="none" w:sz="0" w:space="0" w:color="auto"/>
        <w:left w:val="none" w:sz="0" w:space="0" w:color="auto"/>
        <w:bottom w:val="none" w:sz="0" w:space="0" w:color="auto"/>
        <w:right w:val="none" w:sz="0" w:space="0" w:color="auto"/>
      </w:divBdr>
    </w:div>
    <w:div w:id="743456463">
      <w:bodyDiv w:val="1"/>
      <w:marLeft w:val="0"/>
      <w:marRight w:val="0"/>
      <w:marTop w:val="0"/>
      <w:marBottom w:val="0"/>
      <w:divBdr>
        <w:top w:val="none" w:sz="0" w:space="0" w:color="auto"/>
        <w:left w:val="none" w:sz="0" w:space="0" w:color="auto"/>
        <w:bottom w:val="none" w:sz="0" w:space="0" w:color="auto"/>
        <w:right w:val="none" w:sz="0" w:space="0" w:color="auto"/>
      </w:divBdr>
    </w:div>
    <w:div w:id="745105593">
      <w:bodyDiv w:val="1"/>
      <w:marLeft w:val="0"/>
      <w:marRight w:val="0"/>
      <w:marTop w:val="0"/>
      <w:marBottom w:val="0"/>
      <w:divBdr>
        <w:top w:val="none" w:sz="0" w:space="0" w:color="auto"/>
        <w:left w:val="none" w:sz="0" w:space="0" w:color="auto"/>
        <w:bottom w:val="none" w:sz="0" w:space="0" w:color="auto"/>
        <w:right w:val="none" w:sz="0" w:space="0" w:color="auto"/>
      </w:divBdr>
    </w:div>
    <w:div w:id="745877511">
      <w:bodyDiv w:val="1"/>
      <w:marLeft w:val="0"/>
      <w:marRight w:val="0"/>
      <w:marTop w:val="0"/>
      <w:marBottom w:val="0"/>
      <w:divBdr>
        <w:top w:val="none" w:sz="0" w:space="0" w:color="auto"/>
        <w:left w:val="none" w:sz="0" w:space="0" w:color="auto"/>
        <w:bottom w:val="none" w:sz="0" w:space="0" w:color="auto"/>
        <w:right w:val="none" w:sz="0" w:space="0" w:color="auto"/>
      </w:divBdr>
    </w:div>
    <w:div w:id="750659156">
      <w:bodyDiv w:val="1"/>
      <w:marLeft w:val="0"/>
      <w:marRight w:val="0"/>
      <w:marTop w:val="0"/>
      <w:marBottom w:val="0"/>
      <w:divBdr>
        <w:top w:val="none" w:sz="0" w:space="0" w:color="auto"/>
        <w:left w:val="none" w:sz="0" w:space="0" w:color="auto"/>
        <w:bottom w:val="none" w:sz="0" w:space="0" w:color="auto"/>
        <w:right w:val="none" w:sz="0" w:space="0" w:color="auto"/>
      </w:divBdr>
    </w:div>
    <w:div w:id="751782981">
      <w:bodyDiv w:val="1"/>
      <w:marLeft w:val="0"/>
      <w:marRight w:val="0"/>
      <w:marTop w:val="0"/>
      <w:marBottom w:val="0"/>
      <w:divBdr>
        <w:top w:val="none" w:sz="0" w:space="0" w:color="auto"/>
        <w:left w:val="none" w:sz="0" w:space="0" w:color="auto"/>
        <w:bottom w:val="none" w:sz="0" w:space="0" w:color="auto"/>
        <w:right w:val="none" w:sz="0" w:space="0" w:color="auto"/>
      </w:divBdr>
    </w:div>
    <w:div w:id="752973188">
      <w:bodyDiv w:val="1"/>
      <w:marLeft w:val="0"/>
      <w:marRight w:val="0"/>
      <w:marTop w:val="0"/>
      <w:marBottom w:val="0"/>
      <w:divBdr>
        <w:top w:val="none" w:sz="0" w:space="0" w:color="auto"/>
        <w:left w:val="none" w:sz="0" w:space="0" w:color="auto"/>
        <w:bottom w:val="none" w:sz="0" w:space="0" w:color="auto"/>
        <w:right w:val="none" w:sz="0" w:space="0" w:color="auto"/>
      </w:divBdr>
    </w:div>
    <w:div w:id="753477184">
      <w:bodyDiv w:val="1"/>
      <w:marLeft w:val="0"/>
      <w:marRight w:val="0"/>
      <w:marTop w:val="0"/>
      <w:marBottom w:val="0"/>
      <w:divBdr>
        <w:top w:val="none" w:sz="0" w:space="0" w:color="auto"/>
        <w:left w:val="none" w:sz="0" w:space="0" w:color="auto"/>
        <w:bottom w:val="none" w:sz="0" w:space="0" w:color="auto"/>
        <w:right w:val="none" w:sz="0" w:space="0" w:color="auto"/>
      </w:divBdr>
    </w:div>
    <w:div w:id="753548466">
      <w:bodyDiv w:val="1"/>
      <w:marLeft w:val="0"/>
      <w:marRight w:val="0"/>
      <w:marTop w:val="0"/>
      <w:marBottom w:val="0"/>
      <w:divBdr>
        <w:top w:val="none" w:sz="0" w:space="0" w:color="auto"/>
        <w:left w:val="none" w:sz="0" w:space="0" w:color="auto"/>
        <w:bottom w:val="none" w:sz="0" w:space="0" w:color="auto"/>
        <w:right w:val="none" w:sz="0" w:space="0" w:color="auto"/>
      </w:divBdr>
    </w:div>
    <w:div w:id="754088266">
      <w:bodyDiv w:val="1"/>
      <w:marLeft w:val="0"/>
      <w:marRight w:val="0"/>
      <w:marTop w:val="0"/>
      <w:marBottom w:val="0"/>
      <w:divBdr>
        <w:top w:val="none" w:sz="0" w:space="0" w:color="auto"/>
        <w:left w:val="none" w:sz="0" w:space="0" w:color="auto"/>
        <w:bottom w:val="none" w:sz="0" w:space="0" w:color="auto"/>
        <w:right w:val="none" w:sz="0" w:space="0" w:color="auto"/>
      </w:divBdr>
    </w:div>
    <w:div w:id="756364090">
      <w:bodyDiv w:val="1"/>
      <w:marLeft w:val="0"/>
      <w:marRight w:val="0"/>
      <w:marTop w:val="0"/>
      <w:marBottom w:val="0"/>
      <w:divBdr>
        <w:top w:val="none" w:sz="0" w:space="0" w:color="auto"/>
        <w:left w:val="none" w:sz="0" w:space="0" w:color="auto"/>
        <w:bottom w:val="none" w:sz="0" w:space="0" w:color="auto"/>
        <w:right w:val="none" w:sz="0" w:space="0" w:color="auto"/>
      </w:divBdr>
    </w:div>
    <w:div w:id="758713918">
      <w:bodyDiv w:val="1"/>
      <w:marLeft w:val="0"/>
      <w:marRight w:val="0"/>
      <w:marTop w:val="0"/>
      <w:marBottom w:val="0"/>
      <w:divBdr>
        <w:top w:val="none" w:sz="0" w:space="0" w:color="auto"/>
        <w:left w:val="none" w:sz="0" w:space="0" w:color="auto"/>
        <w:bottom w:val="none" w:sz="0" w:space="0" w:color="auto"/>
        <w:right w:val="none" w:sz="0" w:space="0" w:color="auto"/>
      </w:divBdr>
    </w:div>
    <w:div w:id="759643212">
      <w:bodyDiv w:val="1"/>
      <w:marLeft w:val="0"/>
      <w:marRight w:val="0"/>
      <w:marTop w:val="0"/>
      <w:marBottom w:val="0"/>
      <w:divBdr>
        <w:top w:val="none" w:sz="0" w:space="0" w:color="auto"/>
        <w:left w:val="none" w:sz="0" w:space="0" w:color="auto"/>
        <w:bottom w:val="none" w:sz="0" w:space="0" w:color="auto"/>
        <w:right w:val="none" w:sz="0" w:space="0" w:color="auto"/>
      </w:divBdr>
    </w:div>
    <w:div w:id="761485215">
      <w:bodyDiv w:val="1"/>
      <w:marLeft w:val="0"/>
      <w:marRight w:val="0"/>
      <w:marTop w:val="0"/>
      <w:marBottom w:val="0"/>
      <w:divBdr>
        <w:top w:val="none" w:sz="0" w:space="0" w:color="auto"/>
        <w:left w:val="none" w:sz="0" w:space="0" w:color="auto"/>
        <w:bottom w:val="none" w:sz="0" w:space="0" w:color="auto"/>
        <w:right w:val="none" w:sz="0" w:space="0" w:color="auto"/>
      </w:divBdr>
    </w:div>
    <w:div w:id="764886897">
      <w:bodyDiv w:val="1"/>
      <w:marLeft w:val="0"/>
      <w:marRight w:val="0"/>
      <w:marTop w:val="0"/>
      <w:marBottom w:val="0"/>
      <w:divBdr>
        <w:top w:val="none" w:sz="0" w:space="0" w:color="auto"/>
        <w:left w:val="none" w:sz="0" w:space="0" w:color="auto"/>
        <w:bottom w:val="none" w:sz="0" w:space="0" w:color="auto"/>
        <w:right w:val="none" w:sz="0" w:space="0" w:color="auto"/>
      </w:divBdr>
    </w:div>
    <w:div w:id="767046970">
      <w:bodyDiv w:val="1"/>
      <w:marLeft w:val="0"/>
      <w:marRight w:val="0"/>
      <w:marTop w:val="0"/>
      <w:marBottom w:val="0"/>
      <w:divBdr>
        <w:top w:val="none" w:sz="0" w:space="0" w:color="auto"/>
        <w:left w:val="none" w:sz="0" w:space="0" w:color="auto"/>
        <w:bottom w:val="none" w:sz="0" w:space="0" w:color="auto"/>
        <w:right w:val="none" w:sz="0" w:space="0" w:color="auto"/>
      </w:divBdr>
    </w:div>
    <w:div w:id="767390112">
      <w:bodyDiv w:val="1"/>
      <w:marLeft w:val="0"/>
      <w:marRight w:val="0"/>
      <w:marTop w:val="0"/>
      <w:marBottom w:val="0"/>
      <w:divBdr>
        <w:top w:val="none" w:sz="0" w:space="0" w:color="auto"/>
        <w:left w:val="none" w:sz="0" w:space="0" w:color="auto"/>
        <w:bottom w:val="none" w:sz="0" w:space="0" w:color="auto"/>
        <w:right w:val="none" w:sz="0" w:space="0" w:color="auto"/>
      </w:divBdr>
    </w:div>
    <w:div w:id="767820602">
      <w:bodyDiv w:val="1"/>
      <w:marLeft w:val="0"/>
      <w:marRight w:val="0"/>
      <w:marTop w:val="0"/>
      <w:marBottom w:val="0"/>
      <w:divBdr>
        <w:top w:val="none" w:sz="0" w:space="0" w:color="auto"/>
        <w:left w:val="none" w:sz="0" w:space="0" w:color="auto"/>
        <w:bottom w:val="none" w:sz="0" w:space="0" w:color="auto"/>
        <w:right w:val="none" w:sz="0" w:space="0" w:color="auto"/>
      </w:divBdr>
    </w:div>
    <w:div w:id="768886934">
      <w:bodyDiv w:val="1"/>
      <w:marLeft w:val="0"/>
      <w:marRight w:val="0"/>
      <w:marTop w:val="0"/>
      <w:marBottom w:val="0"/>
      <w:divBdr>
        <w:top w:val="none" w:sz="0" w:space="0" w:color="auto"/>
        <w:left w:val="none" w:sz="0" w:space="0" w:color="auto"/>
        <w:bottom w:val="none" w:sz="0" w:space="0" w:color="auto"/>
        <w:right w:val="none" w:sz="0" w:space="0" w:color="auto"/>
      </w:divBdr>
    </w:div>
    <w:div w:id="769274243">
      <w:bodyDiv w:val="1"/>
      <w:marLeft w:val="0"/>
      <w:marRight w:val="0"/>
      <w:marTop w:val="0"/>
      <w:marBottom w:val="0"/>
      <w:divBdr>
        <w:top w:val="none" w:sz="0" w:space="0" w:color="auto"/>
        <w:left w:val="none" w:sz="0" w:space="0" w:color="auto"/>
        <w:bottom w:val="none" w:sz="0" w:space="0" w:color="auto"/>
        <w:right w:val="none" w:sz="0" w:space="0" w:color="auto"/>
      </w:divBdr>
    </w:div>
    <w:div w:id="770783116">
      <w:bodyDiv w:val="1"/>
      <w:marLeft w:val="0"/>
      <w:marRight w:val="0"/>
      <w:marTop w:val="0"/>
      <w:marBottom w:val="0"/>
      <w:divBdr>
        <w:top w:val="none" w:sz="0" w:space="0" w:color="auto"/>
        <w:left w:val="none" w:sz="0" w:space="0" w:color="auto"/>
        <w:bottom w:val="none" w:sz="0" w:space="0" w:color="auto"/>
        <w:right w:val="none" w:sz="0" w:space="0" w:color="auto"/>
      </w:divBdr>
    </w:div>
    <w:div w:id="771049270">
      <w:bodyDiv w:val="1"/>
      <w:marLeft w:val="0"/>
      <w:marRight w:val="0"/>
      <w:marTop w:val="0"/>
      <w:marBottom w:val="0"/>
      <w:divBdr>
        <w:top w:val="none" w:sz="0" w:space="0" w:color="auto"/>
        <w:left w:val="none" w:sz="0" w:space="0" w:color="auto"/>
        <w:bottom w:val="none" w:sz="0" w:space="0" w:color="auto"/>
        <w:right w:val="none" w:sz="0" w:space="0" w:color="auto"/>
      </w:divBdr>
    </w:div>
    <w:div w:id="771827059">
      <w:bodyDiv w:val="1"/>
      <w:marLeft w:val="0"/>
      <w:marRight w:val="0"/>
      <w:marTop w:val="0"/>
      <w:marBottom w:val="0"/>
      <w:divBdr>
        <w:top w:val="none" w:sz="0" w:space="0" w:color="auto"/>
        <w:left w:val="none" w:sz="0" w:space="0" w:color="auto"/>
        <w:bottom w:val="none" w:sz="0" w:space="0" w:color="auto"/>
        <w:right w:val="none" w:sz="0" w:space="0" w:color="auto"/>
      </w:divBdr>
    </w:div>
    <w:div w:id="774179597">
      <w:bodyDiv w:val="1"/>
      <w:marLeft w:val="0"/>
      <w:marRight w:val="0"/>
      <w:marTop w:val="0"/>
      <w:marBottom w:val="0"/>
      <w:divBdr>
        <w:top w:val="none" w:sz="0" w:space="0" w:color="auto"/>
        <w:left w:val="none" w:sz="0" w:space="0" w:color="auto"/>
        <w:bottom w:val="none" w:sz="0" w:space="0" w:color="auto"/>
        <w:right w:val="none" w:sz="0" w:space="0" w:color="auto"/>
      </w:divBdr>
    </w:div>
    <w:div w:id="777987394">
      <w:bodyDiv w:val="1"/>
      <w:marLeft w:val="0"/>
      <w:marRight w:val="0"/>
      <w:marTop w:val="0"/>
      <w:marBottom w:val="0"/>
      <w:divBdr>
        <w:top w:val="none" w:sz="0" w:space="0" w:color="auto"/>
        <w:left w:val="none" w:sz="0" w:space="0" w:color="auto"/>
        <w:bottom w:val="none" w:sz="0" w:space="0" w:color="auto"/>
        <w:right w:val="none" w:sz="0" w:space="0" w:color="auto"/>
      </w:divBdr>
    </w:div>
    <w:div w:id="781848564">
      <w:bodyDiv w:val="1"/>
      <w:marLeft w:val="0"/>
      <w:marRight w:val="0"/>
      <w:marTop w:val="0"/>
      <w:marBottom w:val="0"/>
      <w:divBdr>
        <w:top w:val="none" w:sz="0" w:space="0" w:color="auto"/>
        <w:left w:val="none" w:sz="0" w:space="0" w:color="auto"/>
        <w:bottom w:val="none" w:sz="0" w:space="0" w:color="auto"/>
        <w:right w:val="none" w:sz="0" w:space="0" w:color="auto"/>
      </w:divBdr>
    </w:div>
    <w:div w:id="783381781">
      <w:bodyDiv w:val="1"/>
      <w:marLeft w:val="0"/>
      <w:marRight w:val="0"/>
      <w:marTop w:val="0"/>
      <w:marBottom w:val="0"/>
      <w:divBdr>
        <w:top w:val="none" w:sz="0" w:space="0" w:color="auto"/>
        <w:left w:val="none" w:sz="0" w:space="0" w:color="auto"/>
        <w:bottom w:val="none" w:sz="0" w:space="0" w:color="auto"/>
        <w:right w:val="none" w:sz="0" w:space="0" w:color="auto"/>
      </w:divBdr>
    </w:div>
    <w:div w:id="784929169">
      <w:bodyDiv w:val="1"/>
      <w:marLeft w:val="0"/>
      <w:marRight w:val="0"/>
      <w:marTop w:val="0"/>
      <w:marBottom w:val="0"/>
      <w:divBdr>
        <w:top w:val="none" w:sz="0" w:space="0" w:color="auto"/>
        <w:left w:val="none" w:sz="0" w:space="0" w:color="auto"/>
        <w:bottom w:val="none" w:sz="0" w:space="0" w:color="auto"/>
        <w:right w:val="none" w:sz="0" w:space="0" w:color="auto"/>
      </w:divBdr>
    </w:div>
    <w:div w:id="785735911">
      <w:bodyDiv w:val="1"/>
      <w:marLeft w:val="0"/>
      <w:marRight w:val="0"/>
      <w:marTop w:val="0"/>
      <w:marBottom w:val="0"/>
      <w:divBdr>
        <w:top w:val="none" w:sz="0" w:space="0" w:color="auto"/>
        <w:left w:val="none" w:sz="0" w:space="0" w:color="auto"/>
        <w:bottom w:val="none" w:sz="0" w:space="0" w:color="auto"/>
        <w:right w:val="none" w:sz="0" w:space="0" w:color="auto"/>
      </w:divBdr>
    </w:div>
    <w:div w:id="787358838">
      <w:bodyDiv w:val="1"/>
      <w:marLeft w:val="0"/>
      <w:marRight w:val="0"/>
      <w:marTop w:val="0"/>
      <w:marBottom w:val="0"/>
      <w:divBdr>
        <w:top w:val="none" w:sz="0" w:space="0" w:color="auto"/>
        <w:left w:val="none" w:sz="0" w:space="0" w:color="auto"/>
        <w:bottom w:val="none" w:sz="0" w:space="0" w:color="auto"/>
        <w:right w:val="none" w:sz="0" w:space="0" w:color="auto"/>
      </w:divBdr>
    </w:div>
    <w:div w:id="792015749">
      <w:bodyDiv w:val="1"/>
      <w:marLeft w:val="0"/>
      <w:marRight w:val="0"/>
      <w:marTop w:val="0"/>
      <w:marBottom w:val="0"/>
      <w:divBdr>
        <w:top w:val="none" w:sz="0" w:space="0" w:color="auto"/>
        <w:left w:val="none" w:sz="0" w:space="0" w:color="auto"/>
        <w:bottom w:val="none" w:sz="0" w:space="0" w:color="auto"/>
        <w:right w:val="none" w:sz="0" w:space="0" w:color="auto"/>
      </w:divBdr>
    </w:div>
    <w:div w:id="795871944">
      <w:bodyDiv w:val="1"/>
      <w:marLeft w:val="0"/>
      <w:marRight w:val="0"/>
      <w:marTop w:val="0"/>
      <w:marBottom w:val="0"/>
      <w:divBdr>
        <w:top w:val="none" w:sz="0" w:space="0" w:color="auto"/>
        <w:left w:val="none" w:sz="0" w:space="0" w:color="auto"/>
        <w:bottom w:val="none" w:sz="0" w:space="0" w:color="auto"/>
        <w:right w:val="none" w:sz="0" w:space="0" w:color="auto"/>
      </w:divBdr>
    </w:div>
    <w:div w:id="795877848">
      <w:bodyDiv w:val="1"/>
      <w:marLeft w:val="0"/>
      <w:marRight w:val="0"/>
      <w:marTop w:val="0"/>
      <w:marBottom w:val="0"/>
      <w:divBdr>
        <w:top w:val="none" w:sz="0" w:space="0" w:color="auto"/>
        <w:left w:val="none" w:sz="0" w:space="0" w:color="auto"/>
        <w:bottom w:val="none" w:sz="0" w:space="0" w:color="auto"/>
        <w:right w:val="none" w:sz="0" w:space="0" w:color="auto"/>
      </w:divBdr>
    </w:div>
    <w:div w:id="798037568">
      <w:bodyDiv w:val="1"/>
      <w:marLeft w:val="0"/>
      <w:marRight w:val="0"/>
      <w:marTop w:val="0"/>
      <w:marBottom w:val="0"/>
      <w:divBdr>
        <w:top w:val="none" w:sz="0" w:space="0" w:color="auto"/>
        <w:left w:val="none" w:sz="0" w:space="0" w:color="auto"/>
        <w:bottom w:val="none" w:sz="0" w:space="0" w:color="auto"/>
        <w:right w:val="none" w:sz="0" w:space="0" w:color="auto"/>
      </w:divBdr>
    </w:div>
    <w:div w:id="800194806">
      <w:bodyDiv w:val="1"/>
      <w:marLeft w:val="0"/>
      <w:marRight w:val="0"/>
      <w:marTop w:val="0"/>
      <w:marBottom w:val="0"/>
      <w:divBdr>
        <w:top w:val="none" w:sz="0" w:space="0" w:color="auto"/>
        <w:left w:val="none" w:sz="0" w:space="0" w:color="auto"/>
        <w:bottom w:val="none" w:sz="0" w:space="0" w:color="auto"/>
        <w:right w:val="none" w:sz="0" w:space="0" w:color="auto"/>
      </w:divBdr>
    </w:div>
    <w:div w:id="801272412">
      <w:bodyDiv w:val="1"/>
      <w:marLeft w:val="0"/>
      <w:marRight w:val="0"/>
      <w:marTop w:val="0"/>
      <w:marBottom w:val="0"/>
      <w:divBdr>
        <w:top w:val="none" w:sz="0" w:space="0" w:color="auto"/>
        <w:left w:val="none" w:sz="0" w:space="0" w:color="auto"/>
        <w:bottom w:val="none" w:sz="0" w:space="0" w:color="auto"/>
        <w:right w:val="none" w:sz="0" w:space="0" w:color="auto"/>
      </w:divBdr>
    </w:div>
    <w:div w:id="802311257">
      <w:bodyDiv w:val="1"/>
      <w:marLeft w:val="0"/>
      <w:marRight w:val="0"/>
      <w:marTop w:val="0"/>
      <w:marBottom w:val="0"/>
      <w:divBdr>
        <w:top w:val="none" w:sz="0" w:space="0" w:color="auto"/>
        <w:left w:val="none" w:sz="0" w:space="0" w:color="auto"/>
        <w:bottom w:val="none" w:sz="0" w:space="0" w:color="auto"/>
        <w:right w:val="none" w:sz="0" w:space="0" w:color="auto"/>
      </w:divBdr>
    </w:div>
    <w:div w:id="810681890">
      <w:bodyDiv w:val="1"/>
      <w:marLeft w:val="0"/>
      <w:marRight w:val="0"/>
      <w:marTop w:val="0"/>
      <w:marBottom w:val="0"/>
      <w:divBdr>
        <w:top w:val="none" w:sz="0" w:space="0" w:color="auto"/>
        <w:left w:val="none" w:sz="0" w:space="0" w:color="auto"/>
        <w:bottom w:val="none" w:sz="0" w:space="0" w:color="auto"/>
        <w:right w:val="none" w:sz="0" w:space="0" w:color="auto"/>
      </w:divBdr>
    </w:div>
    <w:div w:id="812023766">
      <w:bodyDiv w:val="1"/>
      <w:marLeft w:val="0"/>
      <w:marRight w:val="0"/>
      <w:marTop w:val="0"/>
      <w:marBottom w:val="0"/>
      <w:divBdr>
        <w:top w:val="none" w:sz="0" w:space="0" w:color="auto"/>
        <w:left w:val="none" w:sz="0" w:space="0" w:color="auto"/>
        <w:bottom w:val="none" w:sz="0" w:space="0" w:color="auto"/>
        <w:right w:val="none" w:sz="0" w:space="0" w:color="auto"/>
      </w:divBdr>
    </w:div>
    <w:div w:id="812794816">
      <w:bodyDiv w:val="1"/>
      <w:marLeft w:val="0"/>
      <w:marRight w:val="0"/>
      <w:marTop w:val="0"/>
      <w:marBottom w:val="0"/>
      <w:divBdr>
        <w:top w:val="none" w:sz="0" w:space="0" w:color="auto"/>
        <w:left w:val="none" w:sz="0" w:space="0" w:color="auto"/>
        <w:bottom w:val="none" w:sz="0" w:space="0" w:color="auto"/>
        <w:right w:val="none" w:sz="0" w:space="0" w:color="auto"/>
      </w:divBdr>
    </w:div>
    <w:div w:id="813958488">
      <w:bodyDiv w:val="1"/>
      <w:marLeft w:val="0"/>
      <w:marRight w:val="0"/>
      <w:marTop w:val="0"/>
      <w:marBottom w:val="0"/>
      <w:divBdr>
        <w:top w:val="none" w:sz="0" w:space="0" w:color="auto"/>
        <w:left w:val="none" w:sz="0" w:space="0" w:color="auto"/>
        <w:bottom w:val="none" w:sz="0" w:space="0" w:color="auto"/>
        <w:right w:val="none" w:sz="0" w:space="0" w:color="auto"/>
      </w:divBdr>
    </w:div>
    <w:div w:id="815418365">
      <w:bodyDiv w:val="1"/>
      <w:marLeft w:val="0"/>
      <w:marRight w:val="0"/>
      <w:marTop w:val="0"/>
      <w:marBottom w:val="0"/>
      <w:divBdr>
        <w:top w:val="none" w:sz="0" w:space="0" w:color="auto"/>
        <w:left w:val="none" w:sz="0" w:space="0" w:color="auto"/>
        <w:bottom w:val="none" w:sz="0" w:space="0" w:color="auto"/>
        <w:right w:val="none" w:sz="0" w:space="0" w:color="auto"/>
      </w:divBdr>
    </w:div>
    <w:div w:id="816067724">
      <w:bodyDiv w:val="1"/>
      <w:marLeft w:val="0"/>
      <w:marRight w:val="0"/>
      <w:marTop w:val="0"/>
      <w:marBottom w:val="0"/>
      <w:divBdr>
        <w:top w:val="none" w:sz="0" w:space="0" w:color="auto"/>
        <w:left w:val="none" w:sz="0" w:space="0" w:color="auto"/>
        <w:bottom w:val="none" w:sz="0" w:space="0" w:color="auto"/>
        <w:right w:val="none" w:sz="0" w:space="0" w:color="auto"/>
      </w:divBdr>
    </w:div>
    <w:div w:id="819535770">
      <w:bodyDiv w:val="1"/>
      <w:marLeft w:val="0"/>
      <w:marRight w:val="0"/>
      <w:marTop w:val="0"/>
      <w:marBottom w:val="0"/>
      <w:divBdr>
        <w:top w:val="none" w:sz="0" w:space="0" w:color="auto"/>
        <w:left w:val="none" w:sz="0" w:space="0" w:color="auto"/>
        <w:bottom w:val="none" w:sz="0" w:space="0" w:color="auto"/>
        <w:right w:val="none" w:sz="0" w:space="0" w:color="auto"/>
      </w:divBdr>
    </w:div>
    <w:div w:id="820583491">
      <w:bodyDiv w:val="1"/>
      <w:marLeft w:val="0"/>
      <w:marRight w:val="0"/>
      <w:marTop w:val="0"/>
      <w:marBottom w:val="0"/>
      <w:divBdr>
        <w:top w:val="none" w:sz="0" w:space="0" w:color="auto"/>
        <w:left w:val="none" w:sz="0" w:space="0" w:color="auto"/>
        <w:bottom w:val="none" w:sz="0" w:space="0" w:color="auto"/>
        <w:right w:val="none" w:sz="0" w:space="0" w:color="auto"/>
      </w:divBdr>
    </w:div>
    <w:div w:id="822622082">
      <w:bodyDiv w:val="1"/>
      <w:marLeft w:val="0"/>
      <w:marRight w:val="0"/>
      <w:marTop w:val="0"/>
      <w:marBottom w:val="0"/>
      <w:divBdr>
        <w:top w:val="none" w:sz="0" w:space="0" w:color="auto"/>
        <w:left w:val="none" w:sz="0" w:space="0" w:color="auto"/>
        <w:bottom w:val="none" w:sz="0" w:space="0" w:color="auto"/>
        <w:right w:val="none" w:sz="0" w:space="0" w:color="auto"/>
      </w:divBdr>
    </w:div>
    <w:div w:id="825904323">
      <w:bodyDiv w:val="1"/>
      <w:marLeft w:val="0"/>
      <w:marRight w:val="0"/>
      <w:marTop w:val="0"/>
      <w:marBottom w:val="0"/>
      <w:divBdr>
        <w:top w:val="none" w:sz="0" w:space="0" w:color="auto"/>
        <w:left w:val="none" w:sz="0" w:space="0" w:color="auto"/>
        <w:bottom w:val="none" w:sz="0" w:space="0" w:color="auto"/>
        <w:right w:val="none" w:sz="0" w:space="0" w:color="auto"/>
      </w:divBdr>
    </w:div>
    <w:div w:id="826559490">
      <w:bodyDiv w:val="1"/>
      <w:marLeft w:val="0"/>
      <w:marRight w:val="0"/>
      <w:marTop w:val="0"/>
      <w:marBottom w:val="0"/>
      <w:divBdr>
        <w:top w:val="none" w:sz="0" w:space="0" w:color="auto"/>
        <w:left w:val="none" w:sz="0" w:space="0" w:color="auto"/>
        <w:bottom w:val="none" w:sz="0" w:space="0" w:color="auto"/>
        <w:right w:val="none" w:sz="0" w:space="0" w:color="auto"/>
      </w:divBdr>
    </w:div>
    <w:div w:id="826870694">
      <w:bodyDiv w:val="1"/>
      <w:marLeft w:val="0"/>
      <w:marRight w:val="0"/>
      <w:marTop w:val="0"/>
      <w:marBottom w:val="0"/>
      <w:divBdr>
        <w:top w:val="none" w:sz="0" w:space="0" w:color="auto"/>
        <w:left w:val="none" w:sz="0" w:space="0" w:color="auto"/>
        <w:bottom w:val="none" w:sz="0" w:space="0" w:color="auto"/>
        <w:right w:val="none" w:sz="0" w:space="0" w:color="auto"/>
      </w:divBdr>
    </w:div>
    <w:div w:id="828523280">
      <w:bodyDiv w:val="1"/>
      <w:marLeft w:val="0"/>
      <w:marRight w:val="0"/>
      <w:marTop w:val="0"/>
      <w:marBottom w:val="0"/>
      <w:divBdr>
        <w:top w:val="none" w:sz="0" w:space="0" w:color="auto"/>
        <w:left w:val="none" w:sz="0" w:space="0" w:color="auto"/>
        <w:bottom w:val="none" w:sz="0" w:space="0" w:color="auto"/>
        <w:right w:val="none" w:sz="0" w:space="0" w:color="auto"/>
      </w:divBdr>
    </w:div>
    <w:div w:id="829445869">
      <w:bodyDiv w:val="1"/>
      <w:marLeft w:val="0"/>
      <w:marRight w:val="0"/>
      <w:marTop w:val="0"/>
      <w:marBottom w:val="0"/>
      <w:divBdr>
        <w:top w:val="none" w:sz="0" w:space="0" w:color="auto"/>
        <w:left w:val="none" w:sz="0" w:space="0" w:color="auto"/>
        <w:bottom w:val="none" w:sz="0" w:space="0" w:color="auto"/>
        <w:right w:val="none" w:sz="0" w:space="0" w:color="auto"/>
      </w:divBdr>
    </w:div>
    <w:div w:id="831339707">
      <w:bodyDiv w:val="1"/>
      <w:marLeft w:val="0"/>
      <w:marRight w:val="0"/>
      <w:marTop w:val="0"/>
      <w:marBottom w:val="0"/>
      <w:divBdr>
        <w:top w:val="none" w:sz="0" w:space="0" w:color="auto"/>
        <w:left w:val="none" w:sz="0" w:space="0" w:color="auto"/>
        <w:bottom w:val="none" w:sz="0" w:space="0" w:color="auto"/>
        <w:right w:val="none" w:sz="0" w:space="0" w:color="auto"/>
      </w:divBdr>
    </w:div>
    <w:div w:id="833687961">
      <w:bodyDiv w:val="1"/>
      <w:marLeft w:val="0"/>
      <w:marRight w:val="0"/>
      <w:marTop w:val="0"/>
      <w:marBottom w:val="0"/>
      <w:divBdr>
        <w:top w:val="none" w:sz="0" w:space="0" w:color="auto"/>
        <w:left w:val="none" w:sz="0" w:space="0" w:color="auto"/>
        <w:bottom w:val="none" w:sz="0" w:space="0" w:color="auto"/>
        <w:right w:val="none" w:sz="0" w:space="0" w:color="auto"/>
      </w:divBdr>
    </w:div>
    <w:div w:id="834105180">
      <w:bodyDiv w:val="1"/>
      <w:marLeft w:val="0"/>
      <w:marRight w:val="0"/>
      <w:marTop w:val="0"/>
      <w:marBottom w:val="0"/>
      <w:divBdr>
        <w:top w:val="none" w:sz="0" w:space="0" w:color="auto"/>
        <w:left w:val="none" w:sz="0" w:space="0" w:color="auto"/>
        <w:bottom w:val="none" w:sz="0" w:space="0" w:color="auto"/>
        <w:right w:val="none" w:sz="0" w:space="0" w:color="auto"/>
      </w:divBdr>
    </w:div>
    <w:div w:id="834807229">
      <w:bodyDiv w:val="1"/>
      <w:marLeft w:val="0"/>
      <w:marRight w:val="0"/>
      <w:marTop w:val="0"/>
      <w:marBottom w:val="0"/>
      <w:divBdr>
        <w:top w:val="none" w:sz="0" w:space="0" w:color="auto"/>
        <w:left w:val="none" w:sz="0" w:space="0" w:color="auto"/>
        <w:bottom w:val="none" w:sz="0" w:space="0" w:color="auto"/>
        <w:right w:val="none" w:sz="0" w:space="0" w:color="auto"/>
      </w:divBdr>
    </w:div>
    <w:div w:id="837115541">
      <w:bodyDiv w:val="1"/>
      <w:marLeft w:val="0"/>
      <w:marRight w:val="0"/>
      <w:marTop w:val="0"/>
      <w:marBottom w:val="0"/>
      <w:divBdr>
        <w:top w:val="none" w:sz="0" w:space="0" w:color="auto"/>
        <w:left w:val="none" w:sz="0" w:space="0" w:color="auto"/>
        <w:bottom w:val="none" w:sz="0" w:space="0" w:color="auto"/>
        <w:right w:val="none" w:sz="0" w:space="0" w:color="auto"/>
      </w:divBdr>
    </w:div>
    <w:div w:id="837380175">
      <w:bodyDiv w:val="1"/>
      <w:marLeft w:val="0"/>
      <w:marRight w:val="0"/>
      <w:marTop w:val="0"/>
      <w:marBottom w:val="0"/>
      <w:divBdr>
        <w:top w:val="none" w:sz="0" w:space="0" w:color="auto"/>
        <w:left w:val="none" w:sz="0" w:space="0" w:color="auto"/>
        <w:bottom w:val="none" w:sz="0" w:space="0" w:color="auto"/>
        <w:right w:val="none" w:sz="0" w:space="0" w:color="auto"/>
      </w:divBdr>
    </w:div>
    <w:div w:id="838274533">
      <w:bodyDiv w:val="1"/>
      <w:marLeft w:val="0"/>
      <w:marRight w:val="0"/>
      <w:marTop w:val="0"/>
      <w:marBottom w:val="0"/>
      <w:divBdr>
        <w:top w:val="none" w:sz="0" w:space="0" w:color="auto"/>
        <w:left w:val="none" w:sz="0" w:space="0" w:color="auto"/>
        <w:bottom w:val="none" w:sz="0" w:space="0" w:color="auto"/>
        <w:right w:val="none" w:sz="0" w:space="0" w:color="auto"/>
      </w:divBdr>
    </w:div>
    <w:div w:id="843283074">
      <w:bodyDiv w:val="1"/>
      <w:marLeft w:val="0"/>
      <w:marRight w:val="0"/>
      <w:marTop w:val="0"/>
      <w:marBottom w:val="0"/>
      <w:divBdr>
        <w:top w:val="none" w:sz="0" w:space="0" w:color="auto"/>
        <w:left w:val="none" w:sz="0" w:space="0" w:color="auto"/>
        <w:bottom w:val="none" w:sz="0" w:space="0" w:color="auto"/>
        <w:right w:val="none" w:sz="0" w:space="0" w:color="auto"/>
      </w:divBdr>
    </w:div>
    <w:div w:id="843325960">
      <w:bodyDiv w:val="1"/>
      <w:marLeft w:val="0"/>
      <w:marRight w:val="0"/>
      <w:marTop w:val="0"/>
      <w:marBottom w:val="0"/>
      <w:divBdr>
        <w:top w:val="none" w:sz="0" w:space="0" w:color="auto"/>
        <w:left w:val="none" w:sz="0" w:space="0" w:color="auto"/>
        <w:bottom w:val="none" w:sz="0" w:space="0" w:color="auto"/>
        <w:right w:val="none" w:sz="0" w:space="0" w:color="auto"/>
      </w:divBdr>
    </w:div>
    <w:div w:id="846333433">
      <w:bodyDiv w:val="1"/>
      <w:marLeft w:val="0"/>
      <w:marRight w:val="0"/>
      <w:marTop w:val="0"/>
      <w:marBottom w:val="0"/>
      <w:divBdr>
        <w:top w:val="none" w:sz="0" w:space="0" w:color="auto"/>
        <w:left w:val="none" w:sz="0" w:space="0" w:color="auto"/>
        <w:bottom w:val="none" w:sz="0" w:space="0" w:color="auto"/>
        <w:right w:val="none" w:sz="0" w:space="0" w:color="auto"/>
      </w:divBdr>
    </w:div>
    <w:div w:id="846483133">
      <w:bodyDiv w:val="1"/>
      <w:marLeft w:val="0"/>
      <w:marRight w:val="0"/>
      <w:marTop w:val="0"/>
      <w:marBottom w:val="0"/>
      <w:divBdr>
        <w:top w:val="none" w:sz="0" w:space="0" w:color="auto"/>
        <w:left w:val="none" w:sz="0" w:space="0" w:color="auto"/>
        <w:bottom w:val="none" w:sz="0" w:space="0" w:color="auto"/>
        <w:right w:val="none" w:sz="0" w:space="0" w:color="auto"/>
      </w:divBdr>
    </w:div>
    <w:div w:id="847018979">
      <w:bodyDiv w:val="1"/>
      <w:marLeft w:val="0"/>
      <w:marRight w:val="0"/>
      <w:marTop w:val="0"/>
      <w:marBottom w:val="0"/>
      <w:divBdr>
        <w:top w:val="none" w:sz="0" w:space="0" w:color="auto"/>
        <w:left w:val="none" w:sz="0" w:space="0" w:color="auto"/>
        <w:bottom w:val="none" w:sz="0" w:space="0" w:color="auto"/>
        <w:right w:val="none" w:sz="0" w:space="0" w:color="auto"/>
      </w:divBdr>
    </w:div>
    <w:div w:id="847209617">
      <w:bodyDiv w:val="1"/>
      <w:marLeft w:val="0"/>
      <w:marRight w:val="0"/>
      <w:marTop w:val="0"/>
      <w:marBottom w:val="0"/>
      <w:divBdr>
        <w:top w:val="none" w:sz="0" w:space="0" w:color="auto"/>
        <w:left w:val="none" w:sz="0" w:space="0" w:color="auto"/>
        <w:bottom w:val="none" w:sz="0" w:space="0" w:color="auto"/>
        <w:right w:val="none" w:sz="0" w:space="0" w:color="auto"/>
      </w:divBdr>
    </w:div>
    <w:div w:id="849835180">
      <w:bodyDiv w:val="1"/>
      <w:marLeft w:val="0"/>
      <w:marRight w:val="0"/>
      <w:marTop w:val="0"/>
      <w:marBottom w:val="0"/>
      <w:divBdr>
        <w:top w:val="none" w:sz="0" w:space="0" w:color="auto"/>
        <w:left w:val="none" w:sz="0" w:space="0" w:color="auto"/>
        <w:bottom w:val="none" w:sz="0" w:space="0" w:color="auto"/>
        <w:right w:val="none" w:sz="0" w:space="0" w:color="auto"/>
      </w:divBdr>
    </w:div>
    <w:div w:id="850991490">
      <w:bodyDiv w:val="1"/>
      <w:marLeft w:val="0"/>
      <w:marRight w:val="0"/>
      <w:marTop w:val="0"/>
      <w:marBottom w:val="0"/>
      <w:divBdr>
        <w:top w:val="none" w:sz="0" w:space="0" w:color="auto"/>
        <w:left w:val="none" w:sz="0" w:space="0" w:color="auto"/>
        <w:bottom w:val="none" w:sz="0" w:space="0" w:color="auto"/>
        <w:right w:val="none" w:sz="0" w:space="0" w:color="auto"/>
      </w:divBdr>
    </w:div>
    <w:div w:id="851532539">
      <w:bodyDiv w:val="1"/>
      <w:marLeft w:val="0"/>
      <w:marRight w:val="0"/>
      <w:marTop w:val="0"/>
      <w:marBottom w:val="0"/>
      <w:divBdr>
        <w:top w:val="none" w:sz="0" w:space="0" w:color="auto"/>
        <w:left w:val="none" w:sz="0" w:space="0" w:color="auto"/>
        <w:bottom w:val="none" w:sz="0" w:space="0" w:color="auto"/>
        <w:right w:val="none" w:sz="0" w:space="0" w:color="auto"/>
      </w:divBdr>
    </w:div>
    <w:div w:id="854881116">
      <w:bodyDiv w:val="1"/>
      <w:marLeft w:val="0"/>
      <w:marRight w:val="0"/>
      <w:marTop w:val="0"/>
      <w:marBottom w:val="0"/>
      <w:divBdr>
        <w:top w:val="none" w:sz="0" w:space="0" w:color="auto"/>
        <w:left w:val="none" w:sz="0" w:space="0" w:color="auto"/>
        <w:bottom w:val="none" w:sz="0" w:space="0" w:color="auto"/>
        <w:right w:val="none" w:sz="0" w:space="0" w:color="auto"/>
      </w:divBdr>
    </w:div>
    <w:div w:id="854995384">
      <w:bodyDiv w:val="1"/>
      <w:marLeft w:val="0"/>
      <w:marRight w:val="0"/>
      <w:marTop w:val="0"/>
      <w:marBottom w:val="0"/>
      <w:divBdr>
        <w:top w:val="none" w:sz="0" w:space="0" w:color="auto"/>
        <w:left w:val="none" w:sz="0" w:space="0" w:color="auto"/>
        <w:bottom w:val="none" w:sz="0" w:space="0" w:color="auto"/>
        <w:right w:val="none" w:sz="0" w:space="0" w:color="auto"/>
      </w:divBdr>
    </w:div>
    <w:div w:id="855079358">
      <w:bodyDiv w:val="1"/>
      <w:marLeft w:val="0"/>
      <w:marRight w:val="0"/>
      <w:marTop w:val="0"/>
      <w:marBottom w:val="0"/>
      <w:divBdr>
        <w:top w:val="none" w:sz="0" w:space="0" w:color="auto"/>
        <w:left w:val="none" w:sz="0" w:space="0" w:color="auto"/>
        <w:bottom w:val="none" w:sz="0" w:space="0" w:color="auto"/>
        <w:right w:val="none" w:sz="0" w:space="0" w:color="auto"/>
      </w:divBdr>
    </w:div>
    <w:div w:id="855267134">
      <w:bodyDiv w:val="1"/>
      <w:marLeft w:val="0"/>
      <w:marRight w:val="0"/>
      <w:marTop w:val="0"/>
      <w:marBottom w:val="0"/>
      <w:divBdr>
        <w:top w:val="none" w:sz="0" w:space="0" w:color="auto"/>
        <w:left w:val="none" w:sz="0" w:space="0" w:color="auto"/>
        <w:bottom w:val="none" w:sz="0" w:space="0" w:color="auto"/>
        <w:right w:val="none" w:sz="0" w:space="0" w:color="auto"/>
      </w:divBdr>
    </w:div>
    <w:div w:id="858080382">
      <w:bodyDiv w:val="1"/>
      <w:marLeft w:val="0"/>
      <w:marRight w:val="0"/>
      <w:marTop w:val="0"/>
      <w:marBottom w:val="0"/>
      <w:divBdr>
        <w:top w:val="none" w:sz="0" w:space="0" w:color="auto"/>
        <w:left w:val="none" w:sz="0" w:space="0" w:color="auto"/>
        <w:bottom w:val="none" w:sz="0" w:space="0" w:color="auto"/>
        <w:right w:val="none" w:sz="0" w:space="0" w:color="auto"/>
      </w:divBdr>
    </w:div>
    <w:div w:id="858665148">
      <w:bodyDiv w:val="1"/>
      <w:marLeft w:val="0"/>
      <w:marRight w:val="0"/>
      <w:marTop w:val="0"/>
      <w:marBottom w:val="0"/>
      <w:divBdr>
        <w:top w:val="none" w:sz="0" w:space="0" w:color="auto"/>
        <w:left w:val="none" w:sz="0" w:space="0" w:color="auto"/>
        <w:bottom w:val="none" w:sz="0" w:space="0" w:color="auto"/>
        <w:right w:val="none" w:sz="0" w:space="0" w:color="auto"/>
      </w:divBdr>
    </w:div>
    <w:div w:id="859464556">
      <w:bodyDiv w:val="1"/>
      <w:marLeft w:val="0"/>
      <w:marRight w:val="0"/>
      <w:marTop w:val="0"/>
      <w:marBottom w:val="0"/>
      <w:divBdr>
        <w:top w:val="none" w:sz="0" w:space="0" w:color="auto"/>
        <w:left w:val="none" w:sz="0" w:space="0" w:color="auto"/>
        <w:bottom w:val="none" w:sz="0" w:space="0" w:color="auto"/>
        <w:right w:val="none" w:sz="0" w:space="0" w:color="auto"/>
      </w:divBdr>
    </w:div>
    <w:div w:id="859588667">
      <w:bodyDiv w:val="1"/>
      <w:marLeft w:val="0"/>
      <w:marRight w:val="0"/>
      <w:marTop w:val="0"/>
      <w:marBottom w:val="0"/>
      <w:divBdr>
        <w:top w:val="none" w:sz="0" w:space="0" w:color="auto"/>
        <w:left w:val="none" w:sz="0" w:space="0" w:color="auto"/>
        <w:bottom w:val="none" w:sz="0" w:space="0" w:color="auto"/>
        <w:right w:val="none" w:sz="0" w:space="0" w:color="auto"/>
      </w:divBdr>
    </w:div>
    <w:div w:id="859859675">
      <w:bodyDiv w:val="1"/>
      <w:marLeft w:val="0"/>
      <w:marRight w:val="0"/>
      <w:marTop w:val="0"/>
      <w:marBottom w:val="0"/>
      <w:divBdr>
        <w:top w:val="none" w:sz="0" w:space="0" w:color="auto"/>
        <w:left w:val="none" w:sz="0" w:space="0" w:color="auto"/>
        <w:bottom w:val="none" w:sz="0" w:space="0" w:color="auto"/>
        <w:right w:val="none" w:sz="0" w:space="0" w:color="auto"/>
      </w:divBdr>
    </w:div>
    <w:div w:id="862211412">
      <w:bodyDiv w:val="1"/>
      <w:marLeft w:val="0"/>
      <w:marRight w:val="0"/>
      <w:marTop w:val="0"/>
      <w:marBottom w:val="0"/>
      <w:divBdr>
        <w:top w:val="none" w:sz="0" w:space="0" w:color="auto"/>
        <w:left w:val="none" w:sz="0" w:space="0" w:color="auto"/>
        <w:bottom w:val="none" w:sz="0" w:space="0" w:color="auto"/>
        <w:right w:val="none" w:sz="0" w:space="0" w:color="auto"/>
      </w:divBdr>
    </w:div>
    <w:div w:id="867839032">
      <w:bodyDiv w:val="1"/>
      <w:marLeft w:val="0"/>
      <w:marRight w:val="0"/>
      <w:marTop w:val="0"/>
      <w:marBottom w:val="0"/>
      <w:divBdr>
        <w:top w:val="none" w:sz="0" w:space="0" w:color="auto"/>
        <w:left w:val="none" w:sz="0" w:space="0" w:color="auto"/>
        <w:bottom w:val="none" w:sz="0" w:space="0" w:color="auto"/>
        <w:right w:val="none" w:sz="0" w:space="0" w:color="auto"/>
      </w:divBdr>
    </w:div>
    <w:div w:id="868490579">
      <w:bodyDiv w:val="1"/>
      <w:marLeft w:val="0"/>
      <w:marRight w:val="0"/>
      <w:marTop w:val="0"/>
      <w:marBottom w:val="0"/>
      <w:divBdr>
        <w:top w:val="none" w:sz="0" w:space="0" w:color="auto"/>
        <w:left w:val="none" w:sz="0" w:space="0" w:color="auto"/>
        <w:bottom w:val="none" w:sz="0" w:space="0" w:color="auto"/>
        <w:right w:val="none" w:sz="0" w:space="0" w:color="auto"/>
      </w:divBdr>
    </w:div>
    <w:div w:id="868841007">
      <w:bodyDiv w:val="1"/>
      <w:marLeft w:val="0"/>
      <w:marRight w:val="0"/>
      <w:marTop w:val="0"/>
      <w:marBottom w:val="0"/>
      <w:divBdr>
        <w:top w:val="none" w:sz="0" w:space="0" w:color="auto"/>
        <w:left w:val="none" w:sz="0" w:space="0" w:color="auto"/>
        <w:bottom w:val="none" w:sz="0" w:space="0" w:color="auto"/>
        <w:right w:val="none" w:sz="0" w:space="0" w:color="auto"/>
      </w:divBdr>
    </w:div>
    <w:div w:id="873617031">
      <w:bodyDiv w:val="1"/>
      <w:marLeft w:val="0"/>
      <w:marRight w:val="0"/>
      <w:marTop w:val="0"/>
      <w:marBottom w:val="0"/>
      <w:divBdr>
        <w:top w:val="none" w:sz="0" w:space="0" w:color="auto"/>
        <w:left w:val="none" w:sz="0" w:space="0" w:color="auto"/>
        <w:bottom w:val="none" w:sz="0" w:space="0" w:color="auto"/>
        <w:right w:val="none" w:sz="0" w:space="0" w:color="auto"/>
      </w:divBdr>
    </w:div>
    <w:div w:id="874585919">
      <w:bodyDiv w:val="1"/>
      <w:marLeft w:val="0"/>
      <w:marRight w:val="0"/>
      <w:marTop w:val="0"/>
      <w:marBottom w:val="0"/>
      <w:divBdr>
        <w:top w:val="none" w:sz="0" w:space="0" w:color="auto"/>
        <w:left w:val="none" w:sz="0" w:space="0" w:color="auto"/>
        <w:bottom w:val="none" w:sz="0" w:space="0" w:color="auto"/>
        <w:right w:val="none" w:sz="0" w:space="0" w:color="auto"/>
      </w:divBdr>
    </w:div>
    <w:div w:id="875894957">
      <w:bodyDiv w:val="1"/>
      <w:marLeft w:val="0"/>
      <w:marRight w:val="0"/>
      <w:marTop w:val="0"/>
      <w:marBottom w:val="0"/>
      <w:divBdr>
        <w:top w:val="none" w:sz="0" w:space="0" w:color="auto"/>
        <w:left w:val="none" w:sz="0" w:space="0" w:color="auto"/>
        <w:bottom w:val="none" w:sz="0" w:space="0" w:color="auto"/>
        <w:right w:val="none" w:sz="0" w:space="0" w:color="auto"/>
      </w:divBdr>
    </w:div>
    <w:div w:id="876043092">
      <w:bodyDiv w:val="1"/>
      <w:marLeft w:val="0"/>
      <w:marRight w:val="0"/>
      <w:marTop w:val="0"/>
      <w:marBottom w:val="0"/>
      <w:divBdr>
        <w:top w:val="none" w:sz="0" w:space="0" w:color="auto"/>
        <w:left w:val="none" w:sz="0" w:space="0" w:color="auto"/>
        <w:bottom w:val="none" w:sz="0" w:space="0" w:color="auto"/>
        <w:right w:val="none" w:sz="0" w:space="0" w:color="auto"/>
      </w:divBdr>
    </w:div>
    <w:div w:id="877084044">
      <w:bodyDiv w:val="1"/>
      <w:marLeft w:val="0"/>
      <w:marRight w:val="0"/>
      <w:marTop w:val="0"/>
      <w:marBottom w:val="0"/>
      <w:divBdr>
        <w:top w:val="none" w:sz="0" w:space="0" w:color="auto"/>
        <w:left w:val="none" w:sz="0" w:space="0" w:color="auto"/>
        <w:bottom w:val="none" w:sz="0" w:space="0" w:color="auto"/>
        <w:right w:val="none" w:sz="0" w:space="0" w:color="auto"/>
      </w:divBdr>
    </w:div>
    <w:div w:id="880284271">
      <w:bodyDiv w:val="1"/>
      <w:marLeft w:val="0"/>
      <w:marRight w:val="0"/>
      <w:marTop w:val="0"/>
      <w:marBottom w:val="0"/>
      <w:divBdr>
        <w:top w:val="none" w:sz="0" w:space="0" w:color="auto"/>
        <w:left w:val="none" w:sz="0" w:space="0" w:color="auto"/>
        <w:bottom w:val="none" w:sz="0" w:space="0" w:color="auto"/>
        <w:right w:val="none" w:sz="0" w:space="0" w:color="auto"/>
      </w:divBdr>
    </w:div>
    <w:div w:id="884952566">
      <w:bodyDiv w:val="1"/>
      <w:marLeft w:val="0"/>
      <w:marRight w:val="0"/>
      <w:marTop w:val="0"/>
      <w:marBottom w:val="0"/>
      <w:divBdr>
        <w:top w:val="none" w:sz="0" w:space="0" w:color="auto"/>
        <w:left w:val="none" w:sz="0" w:space="0" w:color="auto"/>
        <w:bottom w:val="none" w:sz="0" w:space="0" w:color="auto"/>
        <w:right w:val="none" w:sz="0" w:space="0" w:color="auto"/>
      </w:divBdr>
    </w:div>
    <w:div w:id="886070977">
      <w:bodyDiv w:val="1"/>
      <w:marLeft w:val="0"/>
      <w:marRight w:val="0"/>
      <w:marTop w:val="0"/>
      <w:marBottom w:val="0"/>
      <w:divBdr>
        <w:top w:val="none" w:sz="0" w:space="0" w:color="auto"/>
        <w:left w:val="none" w:sz="0" w:space="0" w:color="auto"/>
        <w:bottom w:val="none" w:sz="0" w:space="0" w:color="auto"/>
        <w:right w:val="none" w:sz="0" w:space="0" w:color="auto"/>
      </w:divBdr>
    </w:div>
    <w:div w:id="889616149">
      <w:bodyDiv w:val="1"/>
      <w:marLeft w:val="0"/>
      <w:marRight w:val="0"/>
      <w:marTop w:val="0"/>
      <w:marBottom w:val="0"/>
      <w:divBdr>
        <w:top w:val="none" w:sz="0" w:space="0" w:color="auto"/>
        <w:left w:val="none" w:sz="0" w:space="0" w:color="auto"/>
        <w:bottom w:val="none" w:sz="0" w:space="0" w:color="auto"/>
        <w:right w:val="none" w:sz="0" w:space="0" w:color="auto"/>
      </w:divBdr>
    </w:div>
    <w:div w:id="890463104">
      <w:bodyDiv w:val="1"/>
      <w:marLeft w:val="0"/>
      <w:marRight w:val="0"/>
      <w:marTop w:val="0"/>
      <w:marBottom w:val="0"/>
      <w:divBdr>
        <w:top w:val="none" w:sz="0" w:space="0" w:color="auto"/>
        <w:left w:val="none" w:sz="0" w:space="0" w:color="auto"/>
        <w:bottom w:val="none" w:sz="0" w:space="0" w:color="auto"/>
        <w:right w:val="none" w:sz="0" w:space="0" w:color="auto"/>
      </w:divBdr>
    </w:div>
    <w:div w:id="892732894">
      <w:bodyDiv w:val="1"/>
      <w:marLeft w:val="0"/>
      <w:marRight w:val="0"/>
      <w:marTop w:val="0"/>
      <w:marBottom w:val="0"/>
      <w:divBdr>
        <w:top w:val="none" w:sz="0" w:space="0" w:color="auto"/>
        <w:left w:val="none" w:sz="0" w:space="0" w:color="auto"/>
        <w:bottom w:val="none" w:sz="0" w:space="0" w:color="auto"/>
        <w:right w:val="none" w:sz="0" w:space="0" w:color="auto"/>
      </w:divBdr>
    </w:div>
    <w:div w:id="893928979">
      <w:bodyDiv w:val="1"/>
      <w:marLeft w:val="0"/>
      <w:marRight w:val="0"/>
      <w:marTop w:val="0"/>
      <w:marBottom w:val="0"/>
      <w:divBdr>
        <w:top w:val="none" w:sz="0" w:space="0" w:color="auto"/>
        <w:left w:val="none" w:sz="0" w:space="0" w:color="auto"/>
        <w:bottom w:val="none" w:sz="0" w:space="0" w:color="auto"/>
        <w:right w:val="none" w:sz="0" w:space="0" w:color="auto"/>
      </w:divBdr>
    </w:div>
    <w:div w:id="895975343">
      <w:bodyDiv w:val="1"/>
      <w:marLeft w:val="0"/>
      <w:marRight w:val="0"/>
      <w:marTop w:val="0"/>
      <w:marBottom w:val="0"/>
      <w:divBdr>
        <w:top w:val="none" w:sz="0" w:space="0" w:color="auto"/>
        <w:left w:val="none" w:sz="0" w:space="0" w:color="auto"/>
        <w:bottom w:val="none" w:sz="0" w:space="0" w:color="auto"/>
        <w:right w:val="none" w:sz="0" w:space="0" w:color="auto"/>
      </w:divBdr>
    </w:div>
    <w:div w:id="899554173">
      <w:bodyDiv w:val="1"/>
      <w:marLeft w:val="0"/>
      <w:marRight w:val="0"/>
      <w:marTop w:val="0"/>
      <w:marBottom w:val="0"/>
      <w:divBdr>
        <w:top w:val="none" w:sz="0" w:space="0" w:color="auto"/>
        <w:left w:val="none" w:sz="0" w:space="0" w:color="auto"/>
        <w:bottom w:val="none" w:sz="0" w:space="0" w:color="auto"/>
        <w:right w:val="none" w:sz="0" w:space="0" w:color="auto"/>
      </w:divBdr>
    </w:div>
    <w:div w:id="901067204">
      <w:bodyDiv w:val="1"/>
      <w:marLeft w:val="0"/>
      <w:marRight w:val="0"/>
      <w:marTop w:val="0"/>
      <w:marBottom w:val="0"/>
      <w:divBdr>
        <w:top w:val="none" w:sz="0" w:space="0" w:color="auto"/>
        <w:left w:val="none" w:sz="0" w:space="0" w:color="auto"/>
        <w:bottom w:val="none" w:sz="0" w:space="0" w:color="auto"/>
        <w:right w:val="none" w:sz="0" w:space="0" w:color="auto"/>
      </w:divBdr>
    </w:div>
    <w:div w:id="901795309">
      <w:bodyDiv w:val="1"/>
      <w:marLeft w:val="0"/>
      <w:marRight w:val="0"/>
      <w:marTop w:val="0"/>
      <w:marBottom w:val="0"/>
      <w:divBdr>
        <w:top w:val="none" w:sz="0" w:space="0" w:color="auto"/>
        <w:left w:val="none" w:sz="0" w:space="0" w:color="auto"/>
        <w:bottom w:val="none" w:sz="0" w:space="0" w:color="auto"/>
        <w:right w:val="none" w:sz="0" w:space="0" w:color="auto"/>
      </w:divBdr>
    </w:div>
    <w:div w:id="902058785">
      <w:bodyDiv w:val="1"/>
      <w:marLeft w:val="0"/>
      <w:marRight w:val="0"/>
      <w:marTop w:val="0"/>
      <w:marBottom w:val="0"/>
      <w:divBdr>
        <w:top w:val="none" w:sz="0" w:space="0" w:color="auto"/>
        <w:left w:val="none" w:sz="0" w:space="0" w:color="auto"/>
        <w:bottom w:val="none" w:sz="0" w:space="0" w:color="auto"/>
        <w:right w:val="none" w:sz="0" w:space="0" w:color="auto"/>
      </w:divBdr>
    </w:div>
    <w:div w:id="907230707">
      <w:bodyDiv w:val="1"/>
      <w:marLeft w:val="0"/>
      <w:marRight w:val="0"/>
      <w:marTop w:val="0"/>
      <w:marBottom w:val="0"/>
      <w:divBdr>
        <w:top w:val="none" w:sz="0" w:space="0" w:color="auto"/>
        <w:left w:val="none" w:sz="0" w:space="0" w:color="auto"/>
        <w:bottom w:val="none" w:sz="0" w:space="0" w:color="auto"/>
        <w:right w:val="none" w:sz="0" w:space="0" w:color="auto"/>
      </w:divBdr>
    </w:div>
    <w:div w:id="913512202">
      <w:bodyDiv w:val="1"/>
      <w:marLeft w:val="0"/>
      <w:marRight w:val="0"/>
      <w:marTop w:val="0"/>
      <w:marBottom w:val="0"/>
      <w:divBdr>
        <w:top w:val="none" w:sz="0" w:space="0" w:color="auto"/>
        <w:left w:val="none" w:sz="0" w:space="0" w:color="auto"/>
        <w:bottom w:val="none" w:sz="0" w:space="0" w:color="auto"/>
        <w:right w:val="none" w:sz="0" w:space="0" w:color="auto"/>
      </w:divBdr>
    </w:div>
    <w:div w:id="914241445">
      <w:bodyDiv w:val="1"/>
      <w:marLeft w:val="0"/>
      <w:marRight w:val="0"/>
      <w:marTop w:val="0"/>
      <w:marBottom w:val="0"/>
      <w:divBdr>
        <w:top w:val="none" w:sz="0" w:space="0" w:color="auto"/>
        <w:left w:val="none" w:sz="0" w:space="0" w:color="auto"/>
        <w:bottom w:val="none" w:sz="0" w:space="0" w:color="auto"/>
        <w:right w:val="none" w:sz="0" w:space="0" w:color="auto"/>
      </w:divBdr>
    </w:div>
    <w:div w:id="916553228">
      <w:bodyDiv w:val="1"/>
      <w:marLeft w:val="0"/>
      <w:marRight w:val="0"/>
      <w:marTop w:val="0"/>
      <w:marBottom w:val="0"/>
      <w:divBdr>
        <w:top w:val="none" w:sz="0" w:space="0" w:color="auto"/>
        <w:left w:val="none" w:sz="0" w:space="0" w:color="auto"/>
        <w:bottom w:val="none" w:sz="0" w:space="0" w:color="auto"/>
        <w:right w:val="none" w:sz="0" w:space="0" w:color="auto"/>
      </w:divBdr>
    </w:div>
    <w:div w:id="918172820">
      <w:bodyDiv w:val="1"/>
      <w:marLeft w:val="0"/>
      <w:marRight w:val="0"/>
      <w:marTop w:val="0"/>
      <w:marBottom w:val="0"/>
      <w:divBdr>
        <w:top w:val="none" w:sz="0" w:space="0" w:color="auto"/>
        <w:left w:val="none" w:sz="0" w:space="0" w:color="auto"/>
        <w:bottom w:val="none" w:sz="0" w:space="0" w:color="auto"/>
        <w:right w:val="none" w:sz="0" w:space="0" w:color="auto"/>
      </w:divBdr>
    </w:div>
    <w:div w:id="918176106">
      <w:bodyDiv w:val="1"/>
      <w:marLeft w:val="0"/>
      <w:marRight w:val="0"/>
      <w:marTop w:val="0"/>
      <w:marBottom w:val="0"/>
      <w:divBdr>
        <w:top w:val="none" w:sz="0" w:space="0" w:color="auto"/>
        <w:left w:val="none" w:sz="0" w:space="0" w:color="auto"/>
        <w:bottom w:val="none" w:sz="0" w:space="0" w:color="auto"/>
        <w:right w:val="none" w:sz="0" w:space="0" w:color="auto"/>
      </w:divBdr>
    </w:div>
    <w:div w:id="919021858">
      <w:bodyDiv w:val="1"/>
      <w:marLeft w:val="0"/>
      <w:marRight w:val="0"/>
      <w:marTop w:val="0"/>
      <w:marBottom w:val="0"/>
      <w:divBdr>
        <w:top w:val="none" w:sz="0" w:space="0" w:color="auto"/>
        <w:left w:val="none" w:sz="0" w:space="0" w:color="auto"/>
        <w:bottom w:val="none" w:sz="0" w:space="0" w:color="auto"/>
        <w:right w:val="none" w:sz="0" w:space="0" w:color="auto"/>
      </w:divBdr>
    </w:div>
    <w:div w:id="920526804">
      <w:bodyDiv w:val="1"/>
      <w:marLeft w:val="0"/>
      <w:marRight w:val="0"/>
      <w:marTop w:val="0"/>
      <w:marBottom w:val="0"/>
      <w:divBdr>
        <w:top w:val="none" w:sz="0" w:space="0" w:color="auto"/>
        <w:left w:val="none" w:sz="0" w:space="0" w:color="auto"/>
        <w:bottom w:val="none" w:sz="0" w:space="0" w:color="auto"/>
        <w:right w:val="none" w:sz="0" w:space="0" w:color="auto"/>
      </w:divBdr>
    </w:div>
    <w:div w:id="921720384">
      <w:bodyDiv w:val="1"/>
      <w:marLeft w:val="0"/>
      <w:marRight w:val="0"/>
      <w:marTop w:val="0"/>
      <w:marBottom w:val="0"/>
      <w:divBdr>
        <w:top w:val="none" w:sz="0" w:space="0" w:color="auto"/>
        <w:left w:val="none" w:sz="0" w:space="0" w:color="auto"/>
        <w:bottom w:val="none" w:sz="0" w:space="0" w:color="auto"/>
        <w:right w:val="none" w:sz="0" w:space="0" w:color="auto"/>
      </w:divBdr>
    </w:div>
    <w:div w:id="923296797">
      <w:bodyDiv w:val="1"/>
      <w:marLeft w:val="0"/>
      <w:marRight w:val="0"/>
      <w:marTop w:val="0"/>
      <w:marBottom w:val="0"/>
      <w:divBdr>
        <w:top w:val="none" w:sz="0" w:space="0" w:color="auto"/>
        <w:left w:val="none" w:sz="0" w:space="0" w:color="auto"/>
        <w:bottom w:val="none" w:sz="0" w:space="0" w:color="auto"/>
        <w:right w:val="none" w:sz="0" w:space="0" w:color="auto"/>
      </w:divBdr>
    </w:div>
    <w:div w:id="925500302">
      <w:bodyDiv w:val="1"/>
      <w:marLeft w:val="0"/>
      <w:marRight w:val="0"/>
      <w:marTop w:val="0"/>
      <w:marBottom w:val="0"/>
      <w:divBdr>
        <w:top w:val="none" w:sz="0" w:space="0" w:color="auto"/>
        <w:left w:val="none" w:sz="0" w:space="0" w:color="auto"/>
        <w:bottom w:val="none" w:sz="0" w:space="0" w:color="auto"/>
        <w:right w:val="none" w:sz="0" w:space="0" w:color="auto"/>
      </w:divBdr>
    </w:div>
    <w:div w:id="925576210">
      <w:bodyDiv w:val="1"/>
      <w:marLeft w:val="0"/>
      <w:marRight w:val="0"/>
      <w:marTop w:val="0"/>
      <w:marBottom w:val="0"/>
      <w:divBdr>
        <w:top w:val="none" w:sz="0" w:space="0" w:color="auto"/>
        <w:left w:val="none" w:sz="0" w:space="0" w:color="auto"/>
        <w:bottom w:val="none" w:sz="0" w:space="0" w:color="auto"/>
        <w:right w:val="none" w:sz="0" w:space="0" w:color="auto"/>
      </w:divBdr>
    </w:div>
    <w:div w:id="926184705">
      <w:bodyDiv w:val="1"/>
      <w:marLeft w:val="0"/>
      <w:marRight w:val="0"/>
      <w:marTop w:val="0"/>
      <w:marBottom w:val="0"/>
      <w:divBdr>
        <w:top w:val="none" w:sz="0" w:space="0" w:color="auto"/>
        <w:left w:val="none" w:sz="0" w:space="0" w:color="auto"/>
        <w:bottom w:val="none" w:sz="0" w:space="0" w:color="auto"/>
        <w:right w:val="none" w:sz="0" w:space="0" w:color="auto"/>
      </w:divBdr>
    </w:div>
    <w:div w:id="926890642">
      <w:bodyDiv w:val="1"/>
      <w:marLeft w:val="0"/>
      <w:marRight w:val="0"/>
      <w:marTop w:val="0"/>
      <w:marBottom w:val="0"/>
      <w:divBdr>
        <w:top w:val="none" w:sz="0" w:space="0" w:color="auto"/>
        <w:left w:val="none" w:sz="0" w:space="0" w:color="auto"/>
        <w:bottom w:val="none" w:sz="0" w:space="0" w:color="auto"/>
        <w:right w:val="none" w:sz="0" w:space="0" w:color="auto"/>
      </w:divBdr>
    </w:div>
    <w:div w:id="930819640">
      <w:bodyDiv w:val="1"/>
      <w:marLeft w:val="0"/>
      <w:marRight w:val="0"/>
      <w:marTop w:val="0"/>
      <w:marBottom w:val="0"/>
      <w:divBdr>
        <w:top w:val="none" w:sz="0" w:space="0" w:color="auto"/>
        <w:left w:val="none" w:sz="0" w:space="0" w:color="auto"/>
        <w:bottom w:val="none" w:sz="0" w:space="0" w:color="auto"/>
        <w:right w:val="none" w:sz="0" w:space="0" w:color="auto"/>
      </w:divBdr>
    </w:div>
    <w:div w:id="932277725">
      <w:bodyDiv w:val="1"/>
      <w:marLeft w:val="0"/>
      <w:marRight w:val="0"/>
      <w:marTop w:val="0"/>
      <w:marBottom w:val="0"/>
      <w:divBdr>
        <w:top w:val="none" w:sz="0" w:space="0" w:color="auto"/>
        <w:left w:val="none" w:sz="0" w:space="0" w:color="auto"/>
        <w:bottom w:val="none" w:sz="0" w:space="0" w:color="auto"/>
        <w:right w:val="none" w:sz="0" w:space="0" w:color="auto"/>
      </w:divBdr>
    </w:div>
    <w:div w:id="932981361">
      <w:bodyDiv w:val="1"/>
      <w:marLeft w:val="0"/>
      <w:marRight w:val="0"/>
      <w:marTop w:val="0"/>
      <w:marBottom w:val="0"/>
      <w:divBdr>
        <w:top w:val="none" w:sz="0" w:space="0" w:color="auto"/>
        <w:left w:val="none" w:sz="0" w:space="0" w:color="auto"/>
        <w:bottom w:val="none" w:sz="0" w:space="0" w:color="auto"/>
        <w:right w:val="none" w:sz="0" w:space="0" w:color="auto"/>
      </w:divBdr>
    </w:div>
    <w:div w:id="936331070">
      <w:bodyDiv w:val="1"/>
      <w:marLeft w:val="0"/>
      <w:marRight w:val="0"/>
      <w:marTop w:val="0"/>
      <w:marBottom w:val="0"/>
      <w:divBdr>
        <w:top w:val="none" w:sz="0" w:space="0" w:color="auto"/>
        <w:left w:val="none" w:sz="0" w:space="0" w:color="auto"/>
        <w:bottom w:val="none" w:sz="0" w:space="0" w:color="auto"/>
        <w:right w:val="none" w:sz="0" w:space="0" w:color="auto"/>
      </w:divBdr>
    </w:div>
    <w:div w:id="939606160">
      <w:bodyDiv w:val="1"/>
      <w:marLeft w:val="0"/>
      <w:marRight w:val="0"/>
      <w:marTop w:val="0"/>
      <w:marBottom w:val="0"/>
      <w:divBdr>
        <w:top w:val="none" w:sz="0" w:space="0" w:color="auto"/>
        <w:left w:val="none" w:sz="0" w:space="0" w:color="auto"/>
        <w:bottom w:val="none" w:sz="0" w:space="0" w:color="auto"/>
        <w:right w:val="none" w:sz="0" w:space="0" w:color="auto"/>
      </w:divBdr>
    </w:div>
    <w:div w:id="940336506">
      <w:bodyDiv w:val="1"/>
      <w:marLeft w:val="0"/>
      <w:marRight w:val="0"/>
      <w:marTop w:val="0"/>
      <w:marBottom w:val="0"/>
      <w:divBdr>
        <w:top w:val="none" w:sz="0" w:space="0" w:color="auto"/>
        <w:left w:val="none" w:sz="0" w:space="0" w:color="auto"/>
        <w:bottom w:val="none" w:sz="0" w:space="0" w:color="auto"/>
        <w:right w:val="none" w:sz="0" w:space="0" w:color="auto"/>
      </w:divBdr>
    </w:div>
    <w:div w:id="941766063">
      <w:bodyDiv w:val="1"/>
      <w:marLeft w:val="0"/>
      <w:marRight w:val="0"/>
      <w:marTop w:val="0"/>
      <w:marBottom w:val="0"/>
      <w:divBdr>
        <w:top w:val="none" w:sz="0" w:space="0" w:color="auto"/>
        <w:left w:val="none" w:sz="0" w:space="0" w:color="auto"/>
        <w:bottom w:val="none" w:sz="0" w:space="0" w:color="auto"/>
        <w:right w:val="none" w:sz="0" w:space="0" w:color="auto"/>
      </w:divBdr>
    </w:div>
    <w:div w:id="942305795">
      <w:bodyDiv w:val="1"/>
      <w:marLeft w:val="0"/>
      <w:marRight w:val="0"/>
      <w:marTop w:val="0"/>
      <w:marBottom w:val="0"/>
      <w:divBdr>
        <w:top w:val="none" w:sz="0" w:space="0" w:color="auto"/>
        <w:left w:val="none" w:sz="0" w:space="0" w:color="auto"/>
        <w:bottom w:val="none" w:sz="0" w:space="0" w:color="auto"/>
        <w:right w:val="none" w:sz="0" w:space="0" w:color="auto"/>
      </w:divBdr>
    </w:div>
    <w:div w:id="942343296">
      <w:bodyDiv w:val="1"/>
      <w:marLeft w:val="0"/>
      <w:marRight w:val="0"/>
      <w:marTop w:val="0"/>
      <w:marBottom w:val="0"/>
      <w:divBdr>
        <w:top w:val="none" w:sz="0" w:space="0" w:color="auto"/>
        <w:left w:val="none" w:sz="0" w:space="0" w:color="auto"/>
        <w:bottom w:val="none" w:sz="0" w:space="0" w:color="auto"/>
        <w:right w:val="none" w:sz="0" w:space="0" w:color="auto"/>
      </w:divBdr>
    </w:div>
    <w:div w:id="943729078">
      <w:bodyDiv w:val="1"/>
      <w:marLeft w:val="0"/>
      <w:marRight w:val="0"/>
      <w:marTop w:val="0"/>
      <w:marBottom w:val="0"/>
      <w:divBdr>
        <w:top w:val="none" w:sz="0" w:space="0" w:color="auto"/>
        <w:left w:val="none" w:sz="0" w:space="0" w:color="auto"/>
        <w:bottom w:val="none" w:sz="0" w:space="0" w:color="auto"/>
        <w:right w:val="none" w:sz="0" w:space="0" w:color="auto"/>
      </w:divBdr>
    </w:div>
    <w:div w:id="943999067">
      <w:bodyDiv w:val="1"/>
      <w:marLeft w:val="0"/>
      <w:marRight w:val="0"/>
      <w:marTop w:val="0"/>
      <w:marBottom w:val="0"/>
      <w:divBdr>
        <w:top w:val="none" w:sz="0" w:space="0" w:color="auto"/>
        <w:left w:val="none" w:sz="0" w:space="0" w:color="auto"/>
        <w:bottom w:val="none" w:sz="0" w:space="0" w:color="auto"/>
        <w:right w:val="none" w:sz="0" w:space="0" w:color="auto"/>
      </w:divBdr>
    </w:div>
    <w:div w:id="944927450">
      <w:bodyDiv w:val="1"/>
      <w:marLeft w:val="0"/>
      <w:marRight w:val="0"/>
      <w:marTop w:val="0"/>
      <w:marBottom w:val="0"/>
      <w:divBdr>
        <w:top w:val="none" w:sz="0" w:space="0" w:color="auto"/>
        <w:left w:val="none" w:sz="0" w:space="0" w:color="auto"/>
        <w:bottom w:val="none" w:sz="0" w:space="0" w:color="auto"/>
        <w:right w:val="none" w:sz="0" w:space="0" w:color="auto"/>
      </w:divBdr>
    </w:div>
    <w:div w:id="946543437">
      <w:bodyDiv w:val="1"/>
      <w:marLeft w:val="0"/>
      <w:marRight w:val="0"/>
      <w:marTop w:val="0"/>
      <w:marBottom w:val="0"/>
      <w:divBdr>
        <w:top w:val="none" w:sz="0" w:space="0" w:color="auto"/>
        <w:left w:val="none" w:sz="0" w:space="0" w:color="auto"/>
        <w:bottom w:val="none" w:sz="0" w:space="0" w:color="auto"/>
        <w:right w:val="none" w:sz="0" w:space="0" w:color="auto"/>
      </w:divBdr>
    </w:div>
    <w:div w:id="947354543">
      <w:bodyDiv w:val="1"/>
      <w:marLeft w:val="0"/>
      <w:marRight w:val="0"/>
      <w:marTop w:val="0"/>
      <w:marBottom w:val="0"/>
      <w:divBdr>
        <w:top w:val="none" w:sz="0" w:space="0" w:color="auto"/>
        <w:left w:val="none" w:sz="0" w:space="0" w:color="auto"/>
        <w:bottom w:val="none" w:sz="0" w:space="0" w:color="auto"/>
        <w:right w:val="none" w:sz="0" w:space="0" w:color="auto"/>
      </w:divBdr>
    </w:div>
    <w:div w:id="947545578">
      <w:bodyDiv w:val="1"/>
      <w:marLeft w:val="0"/>
      <w:marRight w:val="0"/>
      <w:marTop w:val="0"/>
      <w:marBottom w:val="0"/>
      <w:divBdr>
        <w:top w:val="none" w:sz="0" w:space="0" w:color="auto"/>
        <w:left w:val="none" w:sz="0" w:space="0" w:color="auto"/>
        <w:bottom w:val="none" w:sz="0" w:space="0" w:color="auto"/>
        <w:right w:val="none" w:sz="0" w:space="0" w:color="auto"/>
      </w:divBdr>
    </w:div>
    <w:div w:id="950430324">
      <w:bodyDiv w:val="1"/>
      <w:marLeft w:val="0"/>
      <w:marRight w:val="0"/>
      <w:marTop w:val="0"/>
      <w:marBottom w:val="0"/>
      <w:divBdr>
        <w:top w:val="none" w:sz="0" w:space="0" w:color="auto"/>
        <w:left w:val="none" w:sz="0" w:space="0" w:color="auto"/>
        <w:bottom w:val="none" w:sz="0" w:space="0" w:color="auto"/>
        <w:right w:val="none" w:sz="0" w:space="0" w:color="auto"/>
      </w:divBdr>
    </w:div>
    <w:div w:id="950627296">
      <w:bodyDiv w:val="1"/>
      <w:marLeft w:val="0"/>
      <w:marRight w:val="0"/>
      <w:marTop w:val="0"/>
      <w:marBottom w:val="0"/>
      <w:divBdr>
        <w:top w:val="none" w:sz="0" w:space="0" w:color="auto"/>
        <w:left w:val="none" w:sz="0" w:space="0" w:color="auto"/>
        <w:bottom w:val="none" w:sz="0" w:space="0" w:color="auto"/>
        <w:right w:val="none" w:sz="0" w:space="0" w:color="auto"/>
      </w:divBdr>
    </w:div>
    <w:div w:id="952176267">
      <w:bodyDiv w:val="1"/>
      <w:marLeft w:val="0"/>
      <w:marRight w:val="0"/>
      <w:marTop w:val="0"/>
      <w:marBottom w:val="0"/>
      <w:divBdr>
        <w:top w:val="none" w:sz="0" w:space="0" w:color="auto"/>
        <w:left w:val="none" w:sz="0" w:space="0" w:color="auto"/>
        <w:bottom w:val="none" w:sz="0" w:space="0" w:color="auto"/>
        <w:right w:val="none" w:sz="0" w:space="0" w:color="auto"/>
      </w:divBdr>
    </w:div>
    <w:div w:id="953096757">
      <w:bodyDiv w:val="1"/>
      <w:marLeft w:val="0"/>
      <w:marRight w:val="0"/>
      <w:marTop w:val="0"/>
      <w:marBottom w:val="0"/>
      <w:divBdr>
        <w:top w:val="none" w:sz="0" w:space="0" w:color="auto"/>
        <w:left w:val="none" w:sz="0" w:space="0" w:color="auto"/>
        <w:bottom w:val="none" w:sz="0" w:space="0" w:color="auto"/>
        <w:right w:val="none" w:sz="0" w:space="0" w:color="auto"/>
      </w:divBdr>
    </w:div>
    <w:div w:id="953753818">
      <w:bodyDiv w:val="1"/>
      <w:marLeft w:val="0"/>
      <w:marRight w:val="0"/>
      <w:marTop w:val="0"/>
      <w:marBottom w:val="0"/>
      <w:divBdr>
        <w:top w:val="none" w:sz="0" w:space="0" w:color="auto"/>
        <w:left w:val="none" w:sz="0" w:space="0" w:color="auto"/>
        <w:bottom w:val="none" w:sz="0" w:space="0" w:color="auto"/>
        <w:right w:val="none" w:sz="0" w:space="0" w:color="auto"/>
      </w:divBdr>
    </w:div>
    <w:div w:id="956595429">
      <w:bodyDiv w:val="1"/>
      <w:marLeft w:val="0"/>
      <w:marRight w:val="0"/>
      <w:marTop w:val="0"/>
      <w:marBottom w:val="0"/>
      <w:divBdr>
        <w:top w:val="none" w:sz="0" w:space="0" w:color="auto"/>
        <w:left w:val="none" w:sz="0" w:space="0" w:color="auto"/>
        <w:bottom w:val="none" w:sz="0" w:space="0" w:color="auto"/>
        <w:right w:val="none" w:sz="0" w:space="0" w:color="auto"/>
      </w:divBdr>
    </w:div>
    <w:div w:id="957487347">
      <w:bodyDiv w:val="1"/>
      <w:marLeft w:val="0"/>
      <w:marRight w:val="0"/>
      <w:marTop w:val="0"/>
      <w:marBottom w:val="0"/>
      <w:divBdr>
        <w:top w:val="none" w:sz="0" w:space="0" w:color="auto"/>
        <w:left w:val="none" w:sz="0" w:space="0" w:color="auto"/>
        <w:bottom w:val="none" w:sz="0" w:space="0" w:color="auto"/>
        <w:right w:val="none" w:sz="0" w:space="0" w:color="auto"/>
      </w:divBdr>
    </w:div>
    <w:div w:id="958025598">
      <w:bodyDiv w:val="1"/>
      <w:marLeft w:val="0"/>
      <w:marRight w:val="0"/>
      <w:marTop w:val="0"/>
      <w:marBottom w:val="0"/>
      <w:divBdr>
        <w:top w:val="none" w:sz="0" w:space="0" w:color="auto"/>
        <w:left w:val="none" w:sz="0" w:space="0" w:color="auto"/>
        <w:bottom w:val="none" w:sz="0" w:space="0" w:color="auto"/>
        <w:right w:val="none" w:sz="0" w:space="0" w:color="auto"/>
      </w:divBdr>
    </w:div>
    <w:div w:id="958488324">
      <w:bodyDiv w:val="1"/>
      <w:marLeft w:val="0"/>
      <w:marRight w:val="0"/>
      <w:marTop w:val="0"/>
      <w:marBottom w:val="0"/>
      <w:divBdr>
        <w:top w:val="none" w:sz="0" w:space="0" w:color="auto"/>
        <w:left w:val="none" w:sz="0" w:space="0" w:color="auto"/>
        <w:bottom w:val="none" w:sz="0" w:space="0" w:color="auto"/>
        <w:right w:val="none" w:sz="0" w:space="0" w:color="auto"/>
      </w:divBdr>
    </w:div>
    <w:div w:id="959535811">
      <w:bodyDiv w:val="1"/>
      <w:marLeft w:val="0"/>
      <w:marRight w:val="0"/>
      <w:marTop w:val="0"/>
      <w:marBottom w:val="0"/>
      <w:divBdr>
        <w:top w:val="none" w:sz="0" w:space="0" w:color="auto"/>
        <w:left w:val="none" w:sz="0" w:space="0" w:color="auto"/>
        <w:bottom w:val="none" w:sz="0" w:space="0" w:color="auto"/>
        <w:right w:val="none" w:sz="0" w:space="0" w:color="auto"/>
      </w:divBdr>
    </w:div>
    <w:div w:id="961764627">
      <w:bodyDiv w:val="1"/>
      <w:marLeft w:val="0"/>
      <w:marRight w:val="0"/>
      <w:marTop w:val="0"/>
      <w:marBottom w:val="0"/>
      <w:divBdr>
        <w:top w:val="none" w:sz="0" w:space="0" w:color="auto"/>
        <w:left w:val="none" w:sz="0" w:space="0" w:color="auto"/>
        <w:bottom w:val="none" w:sz="0" w:space="0" w:color="auto"/>
        <w:right w:val="none" w:sz="0" w:space="0" w:color="auto"/>
      </w:divBdr>
    </w:div>
    <w:div w:id="963459718">
      <w:bodyDiv w:val="1"/>
      <w:marLeft w:val="0"/>
      <w:marRight w:val="0"/>
      <w:marTop w:val="0"/>
      <w:marBottom w:val="0"/>
      <w:divBdr>
        <w:top w:val="none" w:sz="0" w:space="0" w:color="auto"/>
        <w:left w:val="none" w:sz="0" w:space="0" w:color="auto"/>
        <w:bottom w:val="none" w:sz="0" w:space="0" w:color="auto"/>
        <w:right w:val="none" w:sz="0" w:space="0" w:color="auto"/>
      </w:divBdr>
    </w:div>
    <w:div w:id="963973043">
      <w:bodyDiv w:val="1"/>
      <w:marLeft w:val="0"/>
      <w:marRight w:val="0"/>
      <w:marTop w:val="0"/>
      <w:marBottom w:val="0"/>
      <w:divBdr>
        <w:top w:val="none" w:sz="0" w:space="0" w:color="auto"/>
        <w:left w:val="none" w:sz="0" w:space="0" w:color="auto"/>
        <w:bottom w:val="none" w:sz="0" w:space="0" w:color="auto"/>
        <w:right w:val="none" w:sz="0" w:space="0" w:color="auto"/>
      </w:divBdr>
    </w:div>
    <w:div w:id="964119153">
      <w:bodyDiv w:val="1"/>
      <w:marLeft w:val="0"/>
      <w:marRight w:val="0"/>
      <w:marTop w:val="0"/>
      <w:marBottom w:val="0"/>
      <w:divBdr>
        <w:top w:val="none" w:sz="0" w:space="0" w:color="auto"/>
        <w:left w:val="none" w:sz="0" w:space="0" w:color="auto"/>
        <w:bottom w:val="none" w:sz="0" w:space="0" w:color="auto"/>
        <w:right w:val="none" w:sz="0" w:space="0" w:color="auto"/>
      </w:divBdr>
    </w:div>
    <w:div w:id="965432125">
      <w:bodyDiv w:val="1"/>
      <w:marLeft w:val="0"/>
      <w:marRight w:val="0"/>
      <w:marTop w:val="0"/>
      <w:marBottom w:val="0"/>
      <w:divBdr>
        <w:top w:val="none" w:sz="0" w:space="0" w:color="auto"/>
        <w:left w:val="none" w:sz="0" w:space="0" w:color="auto"/>
        <w:bottom w:val="none" w:sz="0" w:space="0" w:color="auto"/>
        <w:right w:val="none" w:sz="0" w:space="0" w:color="auto"/>
      </w:divBdr>
    </w:div>
    <w:div w:id="965502719">
      <w:bodyDiv w:val="1"/>
      <w:marLeft w:val="0"/>
      <w:marRight w:val="0"/>
      <w:marTop w:val="0"/>
      <w:marBottom w:val="0"/>
      <w:divBdr>
        <w:top w:val="none" w:sz="0" w:space="0" w:color="auto"/>
        <w:left w:val="none" w:sz="0" w:space="0" w:color="auto"/>
        <w:bottom w:val="none" w:sz="0" w:space="0" w:color="auto"/>
        <w:right w:val="none" w:sz="0" w:space="0" w:color="auto"/>
      </w:divBdr>
    </w:div>
    <w:div w:id="965543233">
      <w:bodyDiv w:val="1"/>
      <w:marLeft w:val="0"/>
      <w:marRight w:val="0"/>
      <w:marTop w:val="0"/>
      <w:marBottom w:val="0"/>
      <w:divBdr>
        <w:top w:val="none" w:sz="0" w:space="0" w:color="auto"/>
        <w:left w:val="none" w:sz="0" w:space="0" w:color="auto"/>
        <w:bottom w:val="none" w:sz="0" w:space="0" w:color="auto"/>
        <w:right w:val="none" w:sz="0" w:space="0" w:color="auto"/>
      </w:divBdr>
    </w:div>
    <w:div w:id="966592396">
      <w:bodyDiv w:val="1"/>
      <w:marLeft w:val="0"/>
      <w:marRight w:val="0"/>
      <w:marTop w:val="0"/>
      <w:marBottom w:val="0"/>
      <w:divBdr>
        <w:top w:val="none" w:sz="0" w:space="0" w:color="auto"/>
        <w:left w:val="none" w:sz="0" w:space="0" w:color="auto"/>
        <w:bottom w:val="none" w:sz="0" w:space="0" w:color="auto"/>
        <w:right w:val="none" w:sz="0" w:space="0" w:color="auto"/>
      </w:divBdr>
    </w:div>
    <w:div w:id="970013072">
      <w:bodyDiv w:val="1"/>
      <w:marLeft w:val="0"/>
      <w:marRight w:val="0"/>
      <w:marTop w:val="0"/>
      <w:marBottom w:val="0"/>
      <w:divBdr>
        <w:top w:val="none" w:sz="0" w:space="0" w:color="auto"/>
        <w:left w:val="none" w:sz="0" w:space="0" w:color="auto"/>
        <w:bottom w:val="none" w:sz="0" w:space="0" w:color="auto"/>
        <w:right w:val="none" w:sz="0" w:space="0" w:color="auto"/>
      </w:divBdr>
    </w:div>
    <w:div w:id="970786221">
      <w:bodyDiv w:val="1"/>
      <w:marLeft w:val="0"/>
      <w:marRight w:val="0"/>
      <w:marTop w:val="0"/>
      <w:marBottom w:val="0"/>
      <w:divBdr>
        <w:top w:val="none" w:sz="0" w:space="0" w:color="auto"/>
        <w:left w:val="none" w:sz="0" w:space="0" w:color="auto"/>
        <w:bottom w:val="none" w:sz="0" w:space="0" w:color="auto"/>
        <w:right w:val="none" w:sz="0" w:space="0" w:color="auto"/>
      </w:divBdr>
    </w:div>
    <w:div w:id="971178371">
      <w:bodyDiv w:val="1"/>
      <w:marLeft w:val="0"/>
      <w:marRight w:val="0"/>
      <w:marTop w:val="0"/>
      <w:marBottom w:val="0"/>
      <w:divBdr>
        <w:top w:val="none" w:sz="0" w:space="0" w:color="auto"/>
        <w:left w:val="none" w:sz="0" w:space="0" w:color="auto"/>
        <w:bottom w:val="none" w:sz="0" w:space="0" w:color="auto"/>
        <w:right w:val="none" w:sz="0" w:space="0" w:color="auto"/>
      </w:divBdr>
    </w:div>
    <w:div w:id="971207222">
      <w:bodyDiv w:val="1"/>
      <w:marLeft w:val="0"/>
      <w:marRight w:val="0"/>
      <w:marTop w:val="0"/>
      <w:marBottom w:val="0"/>
      <w:divBdr>
        <w:top w:val="none" w:sz="0" w:space="0" w:color="auto"/>
        <w:left w:val="none" w:sz="0" w:space="0" w:color="auto"/>
        <w:bottom w:val="none" w:sz="0" w:space="0" w:color="auto"/>
        <w:right w:val="none" w:sz="0" w:space="0" w:color="auto"/>
      </w:divBdr>
    </w:div>
    <w:div w:id="972099299">
      <w:bodyDiv w:val="1"/>
      <w:marLeft w:val="0"/>
      <w:marRight w:val="0"/>
      <w:marTop w:val="0"/>
      <w:marBottom w:val="0"/>
      <w:divBdr>
        <w:top w:val="none" w:sz="0" w:space="0" w:color="auto"/>
        <w:left w:val="none" w:sz="0" w:space="0" w:color="auto"/>
        <w:bottom w:val="none" w:sz="0" w:space="0" w:color="auto"/>
        <w:right w:val="none" w:sz="0" w:space="0" w:color="auto"/>
      </w:divBdr>
    </w:div>
    <w:div w:id="974988930">
      <w:bodyDiv w:val="1"/>
      <w:marLeft w:val="0"/>
      <w:marRight w:val="0"/>
      <w:marTop w:val="0"/>
      <w:marBottom w:val="0"/>
      <w:divBdr>
        <w:top w:val="none" w:sz="0" w:space="0" w:color="auto"/>
        <w:left w:val="none" w:sz="0" w:space="0" w:color="auto"/>
        <w:bottom w:val="none" w:sz="0" w:space="0" w:color="auto"/>
        <w:right w:val="none" w:sz="0" w:space="0" w:color="auto"/>
      </w:divBdr>
    </w:div>
    <w:div w:id="976372264">
      <w:bodyDiv w:val="1"/>
      <w:marLeft w:val="0"/>
      <w:marRight w:val="0"/>
      <w:marTop w:val="0"/>
      <w:marBottom w:val="0"/>
      <w:divBdr>
        <w:top w:val="none" w:sz="0" w:space="0" w:color="auto"/>
        <w:left w:val="none" w:sz="0" w:space="0" w:color="auto"/>
        <w:bottom w:val="none" w:sz="0" w:space="0" w:color="auto"/>
        <w:right w:val="none" w:sz="0" w:space="0" w:color="auto"/>
      </w:divBdr>
    </w:div>
    <w:div w:id="976883005">
      <w:bodyDiv w:val="1"/>
      <w:marLeft w:val="0"/>
      <w:marRight w:val="0"/>
      <w:marTop w:val="0"/>
      <w:marBottom w:val="0"/>
      <w:divBdr>
        <w:top w:val="none" w:sz="0" w:space="0" w:color="auto"/>
        <w:left w:val="none" w:sz="0" w:space="0" w:color="auto"/>
        <w:bottom w:val="none" w:sz="0" w:space="0" w:color="auto"/>
        <w:right w:val="none" w:sz="0" w:space="0" w:color="auto"/>
      </w:divBdr>
    </w:div>
    <w:div w:id="977414733">
      <w:bodyDiv w:val="1"/>
      <w:marLeft w:val="0"/>
      <w:marRight w:val="0"/>
      <w:marTop w:val="0"/>
      <w:marBottom w:val="0"/>
      <w:divBdr>
        <w:top w:val="none" w:sz="0" w:space="0" w:color="auto"/>
        <w:left w:val="none" w:sz="0" w:space="0" w:color="auto"/>
        <w:bottom w:val="none" w:sz="0" w:space="0" w:color="auto"/>
        <w:right w:val="none" w:sz="0" w:space="0" w:color="auto"/>
      </w:divBdr>
    </w:div>
    <w:div w:id="977415540">
      <w:bodyDiv w:val="1"/>
      <w:marLeft w:val="0"/>
      <w:marRight w:val="0"/>
      <w:marTop w:val="0"/>
      <w:marBottom w:val="0"/>
      <w:divBdr>
        <w:top w:val="none" w:sz="0" w:space="0" w:color="auto"/>
        <w:left w:val="none" w:sz="0" w:space="0" w:color="auto"/>
        <w:bottom w:val="none" w:sz="0" w:space="0" w:color="auto"/>
        <w:right w:val="none" w:sz="0" w:space="0" w:color="auto"/>
      </w:divBdr>
    </w:div>
    <w:div w:id="978341861">
      <w:bodyDiv w:val="1"/>
      <w:marLeft w:val="0"/>
      <w:marRight w:val="0"/>
      <w:marTop w:val="0"/>
      <w:marBottom w:val="0"/>
      <w:divBdr>
        <w:top w:val="none" w:sz="0" w:space="0" w:color="auto"/>
        <w:left w:val="none" w:sz="0" w:space="0" w:color="auto"/>
        <w:bottom w:val="none" w:sz="0" w:space="0" w:color="auto"/>
        <w:right w:val="none" w:sz="0" w:space="0" w:color="auto"/>
      </w:divBdr>
    </w:div>
    <w:div w:id="979457397">
      <w:bodyDiv w:val="1"/>
      <w:marLeft w:val="0"/>
      <w:marRight w:val="0"/>
      <w:marTop w:val="0"/>
      <w:marBottom w:val="0"/>
      <w:divBdr>
        <w:top w:val="none" w:sz="0" w:space="0" w:color="auto"/>
        <w:left w:val="none" w:sz="0" w:space="0" w:color="auto"/>
        <w:bottom w:val="none" w:sz="0" w:space="0" w:color="auto"/>
        <w:right w:val="none" w:sz="0" w:space="0" w:color="auto"/>
      </w:divBdr>
    </w:div>
    <w:div w:id="980186405">
      <w:bodyDiv w:val="1"/>
      <w:marLeft w:val="0"/>
      <w:marRight w:val="0"/>
      <w:marTop w:val="0"/>
      <w:marBottom w:val="0"/>
      <w:divBdr>
        <w:top w:val="none" w:sz="0" w:space="0" w:color="auto"/>
        <w:left w:val="none" w:sz="0" w:space="0" w:color="auto"/>
        <w:bottom w:val="none" w:sz="0" w:space="0" w:color="auto"/>
        <w:right w:val="none" w:sz="0" w:space="0" w:color="auto"/>
      </w:divBdr>
    </w:div>
    <w:div w:id="981621490">
      <w:bodyDiv w:val="1"/>
      <w:marLeft w:val="0"/>
      <w:marRight w:val="0"/>
      <w:marTop w:val="0"/>
      <w:marBottom w:val="0"/>
      <w:divBdr>
        <w:top w:val="none" w:sz="0" w:space="0" w:color="auto"/>
        <w:left w:val="none" w:sz="0" w:space="0" w:color="auto"/>
        <w:bottom w:val="none" w:sz="0" w:space="0" w:color="auto"/>
        <w:right w:val="none" w:sz="0" w:space="0" w:color="auto"/>
      </w:divBdr>
    </w:div>
    <w:div w:id="983198568">
      <w:bodyDiv w:val="1"/>
      <w:marLeft w:val="0"/>
      <w:marRight w:val="0"/>
      <w:marTop w:val="0"/>
      <w:marBottom w:val="0"/>
      <w:divBdr>
        <w:top w:val="none" w:sz="0" w:space="0" w:color="auto"/>
        <w:left w:val="none" w:sz="0" w:space="0" w:color="auto"/>
        <w:bottom w:val="none" w:sz="0" w:space="0" w:color="auto"/>
        <w:right w:val="none" w:sz="0" w:space="0" w:color="auto"/>
      </w:divBdr>
    </w:div>
    <w:div w:id="984775624">
      <w:bodyDiv w:val="1"/>
      <w:marLeft w:val="0"/>
      <w:marRight w:val="0"/>
      <w:marTop w:val="0"/>
      <w:marBottom w:val="0"/>
      <w:divBdr>
        <w:top w:val="none" w:sz="0" w:space="0" w:color="auto"/>
        <w:left w:val="none" w:sz="0" w:space="0" w:color="auto"/>
        <w:bottom w:val="none" w:sz="0" w:space="0" w:color="auto"/>
        <w:right w:val="none" w:sz="0" w:space="0" w:color="auto"/>
      </w:divBdr>
    </w:div>
    <w:div w:id="986014667">
      <w:bodyDiv w:val="1"/>
      <w:marLeft w:val="0"/>
      <w:marRight w:val="0"/>
      <w:marTop w:val="0"/>
      <w:marBottom w:val="0"/>
      <w:divBdr>
        <w:top w:val="none" w:sz="0" w:space="0" w:color="auto"/>
        <w:left w:val="none" w:sz="0" w:space="0" w:color="auto"/>
        <w:bottom w:val="none" w:sz="0" w:space="0" w:color="auto"/>
        <w:right w:val="none" w:sz="0" w:space="0" w:color="auto"/>
      </w:divBdr>
    </w:div>
    <w:div w:id="986132392">
      <w:bodyDiv w:val="1"/>
      <w:marLeft w:val="0"/>
      <w:marRight w:val="0"/>
      <w:marTop w:val="0"/>
      <w:marBottom w:val="0"/>
      <w:divBdr>
        <w:top w:val="none" w:sz="0" w:space="0" w:color="auto"/>
        <w:left w:val="none" w:sz="0" w:space="0" w:color="auto"/>
        <w:bottom w:val="none" w:sz="0" w:space="0" w:color="auto"/>
        <w:right w:val="none" w:sz="0" w:space="0" w:color="auto"/>
      </w:divBdr>
    </w:div>
    <w:div w:id="987128590">
      <w:bodyDiv w:val="1"/>
      <w:marLeft w:val="0"/>
      <w:marRight w:val="0"/>
      <w:marTop w:val="0"/>
      <w:marBottom w:val="0"/>
      <w:divBdr>
        <w:top w:val="none" w:sz="0" w:space="0" w:color="auto"/>
        <w:left w:val="none" w:sz="0" w:space="0" w:color="auto"/>
        <w:bottom w:val="none" w:sz="0" w:space="0" w:color="auto"/>
        <w:right w:val="none" w:sz="0" w:space="0" w:color="auto"/>
      </w:divBdr>
    </w:div>
    <w:div w:id="991562801">
      <w:bodyDiv w:val="1"/>
      <w:marLeft w:val="0"/>
      <w:marRight w:val="0"/>
      <w:marTop w:val="0"/>
      <w:marBottom w:val="0"/>
      <w:divBdr>
        <w:top w:val="none" w:sz="0" w:space="0" w:color="auto"/>
        <w:left w:val="none" w:sz="0" w:space="0" w:color="auto"/>
        <w:bottom w:val="none" w:sz="0" w:space="0" w:color="auto"/>
        <w:right w:val="none" w:sz="0" w:space="0" w:color="auto"/>
      </w:divBdr>
    </w:div>
    <w:div w:id="991638345">
      <w:bodyDiv w:val="1"/>
      <w:marLeft w:val="0"/>
      <w:marRight w:val="0"/>
      <w:marTop w:val="0"/>
      <w:marBottom w:val="0"/>
      <w:divBdr>
        <w:top w:val="none" w:sz="0" w:space="0" w:color="auto"/>
        <w:left w:val="none" w:sz="0" w:space="0" w:color="auto"/>
        <w:bottom w:val="none" w:sz="0" w:space="0" w:color="auto"/>
        <w:right w:val="none" w:sz="0" w:space="0" w:color="auto"/>
      </w:divBdr>
    </w:div>
    <w:div w:id="992829777">
      <w:bodyDiv w:val="1"/>
      <w:marLeft w:val="0"/>
      <w:marRight w:val="0"/>
      <w:marTop w:val="0"/>
      <w:marBottom w:val="0"/>
      <w:divBdr>
        <w:top w:val="none" w:sz="0" w:space="0" w:color="auto"/>
        <w:left w:val="none" w:sz="0" w:space="0" w:color="auto"/>
        <w:bottom w:val="none" w:sz="0" w:space="0" w:color="auto"/>
        <w:right w:val="none" w:sz="0" w:space="0" w:color="auto"/>
      </w:divBdr>
    </w:div>
    <w:div w:id="993726535">
      <w:bodyDiv w:val="1"/>
      <w:marLeft w:val="0"/>
      <w:marRight w:val="0"/>
      <w:marTop w:val="0"/>
      <w:marBottom w:val="0"/>
      <w:divBdr>
        <w:top w:val="none" w:sz="0" w:space="0" w:color="auto"/>
        <w:left w:val="none" w:sz="0" w:space="0" w:color="auto"/>
        <w:bottom w:val="none" w:sz="0" w:space="0" w:color="auto"/>
        <w:right w:val="none" w:sz="0" w:space="0" w:color="auto"/>
      </w:divBdr>
    </w:div>
    <w:div w:id="994451338">
      <w:bodyDiv w:val="1"/>
      <w:marLeft w:val="0"/>
      <w:marRight w:val="0"/>
      <w:marTop w:val="0"/>
      <w:marBottom w:val="0"/>
      <w:divBdr>
        <w:top w:val="none" w:sz="0" w:space="0" w:color="auto"/>
        <w:left w:val="none" w:sz="0" w:space="0" w:color="auto"/>
        <w:bottom w:val="none" w:sz="0" w:space="0" w:color="auto"/>
        <w:right w:val="none" w:sz="0" w:space="0" w:color="auto"/>
      </w:divBdr>
    </w:div>
    <w:div w:id="996416169">
      <w:bodyDiv w:val="1"/>
      <w:marLeft w:val="0"/>
      <w:marRight w:val="0"/>
      <w:marTop w:val="0"/>
      <w:marBottom w:val="0"/>
      <w:divBdr>
        <w:top w:val="none" w:sz="0" w:space="0" w:color="auto"/>
        <w:left w:val="none" w:sz="0" w:space="0" w:color="auto"/>
        <w:bottom w:val="none" w:sz="0" w:space="0" w:color="auto"/>
        <w:right w:val="none" w:sz="0" w:space="0" w:color="auto"/>
      </w:divBdr>
    </w:div>
    <w:div w:id="996763970">
      <w:bodyDiv w:val="1"/>
      <w:marLeft w:val="0"/>
      <w:marRight w:val="0"/>
      <w:marTop w:val="0"/>
      <w:marBottom w:val="0"/>
      <w:divBdr>
        <w:top w:val="none" w:sz="0" w:space="0" w:color="auto"/>
        <w:left w:val="none" w:sz="0" w:space="0" w:color="auto"/>
        <w:bottom w:val="none" w:sz="0" w:space="0" w:color="auto"/>
        <w:right w:val="none" w:sz="0" w:space="0" w:color="auto"/>
      </w:divBdr>
    </w:div>
    <w:div w:id="999036779">
      <w:bodyDiv w:val="1"/>
      <w:marLeft w:val="0"/>
      <w:marRight w:val="0"/>
      <w:marTop w:val="0"/>
      <w:marBottom w:val="0"/>
      <w:divBdr>
        <w:top w:val="none" w:sz="0" w:space="0" w:color="auto"/>
        <w:left w:val="none" w:sz="0" w:space="0" w:color="auto"/>
        <w:bottom w:val="none" w:sz="0" w:space="0" w:color="auto"/>
        <w:right w:val="none" w:sz="0" w:space="0" w:color="auto"/>
      </w:divBdr>
    </w:div>
    <w:div w:id="999041172">
      <w:bodyDiv w:val="1"/>
      <w:marLeft w:val="0"/>
      <w:marRight w:val="0"/>
      <w:marTop w:val="0"/>
      <w:marBottom w:val="0"/>
      <w:divBdr>
        <w:top w:val="none" w:sz="0" w:space="0" w:color="auto"/>
        <w:left w:val="none" w:sz="0" w:space="0" w:color="auto"/>
        <w:bottom w:val="none" w:sz="0" w:space="0" w:color="auto"/>
        <w:right w:val="none" w:sz="0" w:space="0" w:color="auto"/>
      </w:divBdr>
    </w:div>
    <w:div w:id="999581405">
      <w:bodyDiv w:val="1"/>
      <w:marLeft w:val="0"/>
      <w:marRight w:val="0"/>
      <w:marTop w:val="0"/>
      <w:marBottom w:val="0"/>
      <w:divBdr>
        <w:top w:val="none" w:sz="0" w:space="0" w:color="auto"/>
        <w:left w:val="none" w:sz="0" w:space="0" w:color="auto"/>
        <w:bottom w:val="none" w:sz="0" w:space="0" w:color="auto"/>
        <w:right w:val="none" w:sz="0" w:space="0" w:color="auto"/>
      </w:divBdr>
    </w:div>
    <w:div w:id="999693122">
      <w:bodyDiv w:val="1"/>
      <w:marLeft w:val="0"/>
      <w:marRight w:val="0"/>
      <w:marTop w:val="0"/>
      <w:marBottom w:val="0"/>
      <w:divBdr>
        <w:top w:val="none" w:sz="0" w:space="0" w:color="auto"/>
        <w:left w:val="none" w:sz="0" w:space="0" w:color="auto"/>
        <w:bottom w:val="none" w:sz="0" w:space="0" w:color="auto"/>
        <w:right w:val="none" w:sz="0" w:space="0" w:color="auto"/>
      </w:divBdr>
    </w:div>
    <w:div w:id="999846566">
      <w:bodyDiv w:val="1"/>
      <w:marLeft w:val="0"/>
      <w:marRight w:val="0"/>
      <w:marTop w:val="0"/>
      <w:marBottom w:val="0"/>
      <w:divBdr>
        <w:top w:val="none" w:sz="0" w:space="0" w:color="auto"/>
        <w:left w:val="none" w:sz="0" w:space="0" w:color="auto"/>
        <w:bottom w:val="none" w:sz="0" w:space="0" w:color="auto"/>
        <w:right w:val="none" w:sz="0" w:space="0" w:color="auto"/>
      </w:divBdr>
    </w:div>
    <w:div w:id="1003705089">
      <w:bodyDiv w:val="1"/>
      <w:marLeft w:val="0"/>
      <w:marRight w:val="0"/>
      <w:marTop w:val="0"/>
      <w:marBottom w:val="0"/>
      <w:divBdr>
        <w:top w:val="none" w:sz="0" w:space="0" w:color="auto"/>
        <w:left w:val="none" w:sz="0" w:space="0" w:color="auto"/>
        <w:bottom w:val="none" w:sz="0" w:space="0" w:color="auto"/>
        <w:right w:val="none" w:sz="0" w:space="0" w:color="auto"/>
      </w:divBdr>
    </w:div>
    <w:div w:id="1004170246">
      <w:bodyDiv w:val="1"/>
      <w:marLeft w:val="0"/>
      <w:marRight w:val="0"/>
      <w:marTop w:val="0"/>
      <w:marBottom w:val="0"/>
      <w:divBdr>
        <w:top w:val="none" w:sz="0" w:space="0" w:color="auto"/>
        <w:left w:val="none" w:sz="0" w:space="0" w:color="auto"/>
        <w:bottom w:val="none" w:sz="0" w:space="0" w:color="auto"/>
        <w:right w:val="none" w:sz="0" w:space="0" w:color="auto"/>
      </w:divBdr>
    </w:div>
    <w:div w:id="1005283926">
      <w:bodyDiv w:val="1"/>
      <w:marLeft w:val="0"/>
      <w:marRight w:val="0"/>
      <w:marTop w:val="0"/>
      <w:marBottom w:val="0"/>
      <w:divBdr>
        <w:top w:val="none" w:sz="0" w:space="0" w:color="auto"/>
        <w:left w:val="none" w:sz="0" w:space="0" w:color="auto"/>
        <w:bottom w:val="none" w:sz="0" w:space="0" w:color="auto"/>
        <w:right w:val="none" w:sz="0" w:space="0" w:color="auto"/>
      </w:divBdr>
    </w:div>
    <w:div w:id="1006130367">
      <w:bodyDiv w:val="1"/>
      <w:marLeft w:val="0"/>
      <w:marRight w:val="0"/>
      <w:marTop w:val="0"/>
      <w:marBottom w:val="0"/>
      <w:divBdr>
        <w:top w:val="none" w:sz="0" w:space="0" w:color="auto"/>
        <w:left w:val="none" w:sz="0" w:space="0" w:color="auto"/>
        <w:bottom w:val="none" w:sz="0" w:space="0" w:color="auto"/>
        <w:right w:val="none" w:sz="0" w:space="0" w:color="auto"/>
      </w:divBdr>
    </w:div>
    <w:div w:id="1006909098">
      <w:bodyDiv w:val="1"/>
      <w:marLeft w:val="0"/>
      <w:marRight w:val="0"/>
      <w:marTop w:val="0"/>
      <w:marBottom w:val="0"/>
      <w:divBdr>
        <w:top w:val="none" w:sz="0" w:space="0" w:color="auto"/>
        <w:left w:val="none" w:sz="0" w:space="0" w:color="auto"/>
        <w:bottom w:val="none" w:sz="0" w:space="0" w:color="auto"/>
        <w:right w:val="none" w:sz="0" w:space="0" w:color="auto"/>
      </w:divBdr>
    </w:div>
    <w:div w:id="1007058713">
      <w:bodyDiv w:val="1"/>
      <w:marLeft w:val="0"/>
      <w:marRight w:val="0"/>
      <w:marTop w:val="0"/>
      <w:marBottom w:val="0"/>
      <w:divBdr>
        <w:top w:val="none" w:sz="0" w:space="0" w:color="auto"/>
        <w:left w:val="none" w:sz="0" w:space="0" w:color="auto"/>
        <w:bottom w:val="none" w:sz="0" w:space="0" w:color="auto"/>
        <w:right w:val="none" w:sz="0" w:space="0" w:color="auto"/>
      </w:divBdr>
    </w:div>
    <w:div w:id="1009723377">
      <w:bodyDiv w:val="1"/>
      <w:marLeft w:val="0"/>
      <w:marRight w:val="0"/>
      <w:marTop w:val="0"/>
      <w:marBottom w:val="0"/>
      <w:divBdr>
        <w:top w:val="none" w:sz="0" w:space="0" w:color="auto"/>
        <w:left w:val="none" w:sz="0" w:space="0" w:color="auto"/>
        <w:bottom w:val="none" w:sz="0" w:space="0" w:color="auto"/>
        <w:right w:val="none" w:sz="0" w:space="0" w:color="auto"/>
      </w:divBdr>
    </w:div>
    <w:div w:id="1013150428">
      <w:bodyDiv w:val="1"/>
      <w:marLeft w:val="0"/>
      <w:marRight w:val="0"/>
      <w:marTop w:val="0"/>
      <w:marBottom w:val="0"/>
      <w:divBdr>
        <w:top w:val="none" w:sz="0" w:space="0" w:color="auto"/>
        <w:left w:val="none" w:sz="0" w:space="0" w:color="auto"/>
        <w:bottom w:val="none" w:sz="0" w:space="0" w:color="auto"/>
        <w:right w:val="none" w:sz="0" w:space="0" w:color="auto"/>
      </w:divBdr>
    </w:div>
    <w:div w:id="1014455411">
      <w:bodyDiv w:val="1"/>
      <w:marLeft w:val="0"/>
      <w:marRight w:val="0"/>
      <w:marTop w:val="0"/>
      <w:marBottom w:val="0"/>
      <w:divBdr>
        <w:top w:val="none" w:sz="0" w:space="0" w:color="auto"/>
        <w:left w:val="none" w:sz="0" w:space="0" w:color="auto"/>
        <w:bottom w:val="none" w:sz="0" w:space="0" w:color="auto"/>
        <w:right w:val="none" w:sz="0" w:space="0" w:color="auto"/>
      </w:divBdr>
    </w:div>
    <w:div w:id="1015575642">
      <w:bodyDiv w:val="1"/>
      <w:marLeft w:val="0"/>
      <w:marRight w:val="0"/>
      <w:marTop w:val="0"/>
      <w:marBottom w:val="0"/>
      <w:divBdr>
        <w:top w:val="none" w:sz="0" w:space="0" w:color="auto"/>
        <w:left w:val="none" w:sz="0" w:space="0" w:color="auto"/>
        <w:bottom w:val="none" w:sz="0" w:space="0" w:color="auto"/>
        <w:right w:val="none" w:sz="0" w:space="0" w:color="auto"/>
      </w:divBdr>
    </w:div>
    <w:div w:id="1022319721">
      <w:bodyDiv w:val="1"/>
      <w:marLeft w:val="0"/>
      <w:marRight w:val="0"/>
      <w:marTop w:val="0"/>
      <w:marBottom w:val="0"/>
      <w:divBdr>
        <w:top w:val="none" w:sz="0" w:space="0" w:color="auto"/>
        <w:left w:val="none" w:sz="0" w:space="0" w:color="auto"/>
        <w:bottom w:val="none" w:sz="0" w:space="0" w:color="auto"/>
        <w:right w:val="none" w:sz="0" w:space="0" w:color="auto"/>
      </w:divBdr>
    </w:div>
    <w:div w:id="1023483148">
      <w:bodyDiv w:val="1"/>
      <w:marLeft w:val="0"/>
      <w:marRight w:val="0"/>
      <w:marTop w:val="0"/>
      <w:marBottom w:val="0"/>
      <w:divBdr>
        <w:top w:val="none" w:sz="0" w:space="0" w:color="auto"/>
        <w:left w:val="none" w:sz="0" w:space="0" w:color="auto"/>
        <w:bottom w:val="none" w:sz="0" w:space="0" w:color="auto"/>
        <w:right w:val="none" w:sz="0" w:space="0" w:color="auto"/>
      </w:divBdr>
    </w:div>
    <w:div w:id="1023944998">
      <w:bodyDiv w:val="1"/>
      <w:marLeft w:val="0"/>
      <w:marRight w:val="0"/>
      <w:marTop w:val="0"/>
      <w:marBottom w:val="0"/>
      <w:divBdr>
        <w:top w:val="none" w:sz="0" w:space="0" w:color="auto"/>
        <w:left w:val="none" w:sz="0" w:space="0" w:color="auto"/>
        <w:bottom w:val="none" w:sz="0" w:space="0" w:color="auto"/>
        <w:right w:val="none" w:sz="0" w:space="0" w:color="auto"/>
      </w:divBdr>
    </w:div>
    <w:div w:id="1028071229">
      <w:bodyDiv w:val="1"/>
      <w:marLeft w:val="0"/>
      <w:marRight w:val="0"/>
      <w:marTop w:val="0"/>
      <w:marBottom w:val="0"/>
      <w:divBdr>
        <w:top w:val="none" w:sz="0" w:space="0" w:color="auto"/>
        <w:left w:val="none" w:sz="0" w:space="0" w:color="auto"/>
        <w:bottom w:val="none" w:sz="0" w:space="0" w:color="auto"/>
        <w:right w:val="none" w:sz="0" w:space="0" w:color="auto"/>
      </w:divBdr>
    </w:div>
    <w:div w:id="1028220939">
      <w:bodyDiv w:val="1"/>
      <w:marLeft w:val="0"/>
      <w:marRight w:val="0"/>
      <w:marTop w:val="0"/>
      <w:marBottom w:val="0"/>
      <w:divBdr>
        <w:top w:val="none" w:sz="0" w:space="0" w:color="auto"/>
        <w:left w:val="none" w:sz="0" w:space="0" w:color="auto"/>
        <w:bottom w:val="none" w:sz="0" w:space="0" w:color="auto"/>
        <w:right w:val="none" w:sz="0" w:space="0" w:color="auto"/>
      </w:divBdr>
    </w:div>
    <w:div w:id="1028484182">
      <w:bodyDiv w:val="1"/>
      <w:marLeft w:val="0"/>
      <w:marRight w:val="0"/>
      <w:marTop w:val="0"/>
      <w:marBottom w:val="0"/>
      <w:divBdr>
        <w:top w:val="none" w:sz="0" w:space="0" w:color="auto"/>
        <w:left w:val="none" w:sz="0" w:space="0" w:color="auto"/>
        <w:bottom w:val="none" w:sz="0" w:space="0" w:color="auto"/>
        <w:right w:val="none" w:sz="0" w:space="0" w:color="auto"/>
      </w:divBdr>
    </w:div>
    <w:div w:id="1030647845">
      <w:bodyDiv w:val="1"/>
      <w:marLeft w:val="0"/>
      <w:marRight w:val="0"/>
      <w:marTop w:val="0"/>
      <w:marBottom w:val="0"/>
      <w:divBdr>
        <w:top w:val="none" w:sz="0" w:space="0" w:color="auto"/>
        <w:left w:val="none" w:sz="0" w:space="0" w:color="auto"/>
        <w:bottom w:val="none" w:sz="0" w:space="0" w:color="auto"/>
        <w:right w:val="none" w:sz="0" w:space="0" w:color="auto"/>
      </w:divBdr>
    </w:div>
    <w:div w:id="1032995504">
      <w:bodyDiv w:val="1"/>
      <w:marLeft w:val="0"/>
      <w:marRight w:val="0"/>
      <w:marTop w:val="0"/>
      <w:marBottom w:val="0"/>
      <w:divBdr>
        <w:top w:val="none" w:sz="0" w:space="0" w:color="auto"/>
        <w:left w:val="none" w:sz="0" w:space="0" w:color="auto"/>
        <w:bottom w:val="none" w:sz="0" w:space="0" w:color="auto"/>
        <w:right w:val="none" w:sz="0" w:space="0" w:color="auto"/>
      </w:divBdr>
    </w:div>
    <w:div w:id="1034236929">
      <w:bodyDiv w:val="1"/>
      <w:marLeft w:val="0"/>
      <w:marRight w:val="0"/>
      <w:marTop w:val="0"/>
      <w:marBottom w:val="0"/>
      <w:divBdr>
        <w:top w:val="none" w:sz="0" w:space="0" w:color="auto"/>
        <w:left w:val="none" w:sz="0" w:space="0" w:color="auto"/>
        <w:bottom w:val="none" w:sz="0" w:space="0" w:color="auto"/>
        <w:right w:val="none" w:sz="0" w:space="0" w:color="auto"/>
      </w:divBdr>
    </w:div>
    <w:div w:id="1037319097">
      <w:bodyDiv w:val="1"/>
      <w:marLeft w:val="0"/>
      <w:marRight w:val="0"/>
      <w:marTop w:val="0"/>
      <w:marBottom w:val="0"/>
      <w:divBdr>
        <w:top w:val="none" w:sz="0" w:space="0" w:color="auto"/>
        <w:left w:val="none" w:sz="0" w:space="0" w:color="auto"/>
        <w:bottom w:val="none" w:sz="0" w:space="0" w:color="auto"/>
        <w:right w:val="none" w:sz="0" w:space="0" w:color="auto"/>
      </w:divBdr>
    </w:div>
    <w:div w:id="1038042922">
      <w:bodyDiv w:val="1"/>
      <w:marLeft w:val="0"/>
      <w:marRight w:val="0"/>
      <w:marTop w:val="0"/>
      <w:marBottom w:val="0"/>
      <w:divBdr>
        <w:top w:val="none" w:sz="0" w:space="0" w:color="auto"/>
        <w:left w:val="none" w:sz="0" w:space="0" w:color="auto"/>
        <w:bottom w:val="none" w:sz="0" w:space="0" w:color="auto"/>
        <w:right w:val="none" w:sz="0" w:space="0" w:color="auto"/>
      </w:divBdr>
    </w:div>
    <w:div w:id="1041435864">
      <w:bodyDiv w:val="1"/>
      <w:marLeft w:val="0"/>
      <w:marRight w:val="0"/>
      <w:marTop w:val="0"/>
      <w:marBottom w:val="0"/>
      <w:divBdr>
        <w:top w:val="none" w:sz="0" w:space="0" w:color="auto"/>
        <w:left w:val="none" w:sz="0" w:space="0" w:color="auto"/>
        <w:bottom w:val="none" w:sz="0" w:space="0" w:color="auto"/>
        <w:right w:val="none" w:sz="0" w:space="0" w:color="auto"/>
      </w:divBdr>
    </w:div>
    <w:div w:id="1041904690">
      <w:bodyDiv w:val="1"/>
      <w:marLeft w:val="0"/>
      <w:marRight w:val="0"/>
      <w:marTop w:val="0"/>
      <w:marBottom w:val="0"/>
      <w:divBdr>
        <w:top w:val="none" w:sz="0" w:space="0" w:color="auto"/>
        <w:left w:val="none" w:sz="0" w:space="0" w:color="auto"/>
        <w:bottom w:val="none" w:sz="0" w:space="0" w:color="auto"/>
        <w:right w:val="none" w:sz="0" w:space="0" w:color="auto"/>
      </w:divBdr>
    </w:div>
    <w:div w:id="1042628869">
      <w:bodyDiv w:val="1"/>
      <w:marLeft w:val="0"/>
      <w:marRight w:val="0"/>
      <w:marTop w:val="0"/>
      <w:marBottom w:val="0"/>
      <w:divBdr>
        <w:top w:val="none" w:sz="0" w:space="0" w:color="auto"/>
        <w:left w:val="none" w:sz="0" w:space="0" w:color="auto"/>
        <w:bottom w:val="none" w:sz="0" w:space="0" w:color="auto"/>
        <w:right w:val="none" w:sz="0" w:space="0" w:color="auto"/>
      </w:divBdr>
    </w:div>
    <w:div w:id="1043096763">
      <w:bodyDiv w:val="1"/>
      <w:marLeft w:val="0"/>
      <w:marRight w:val="0"/>
      <w:marTop w:val="0"/>
      <w:marBottom w:val="0"/>
      <w:divBdr>
        <w:top w:val="none" w:sz="0" w:space="0" w:color="auto"/>
        <w:left w:val="none" w:sz="0" w:space="0" w:color="auto"/>
        <w:bottom w:val="none" w:sz="0" w:space="0" w:color="auto"/>
        <w:right w:val="none" w:sz="0" w:space="0" w:color="auto"/>
      </w:divBdr>
    </w:div>
    <w:div w:id="1043670742">
      <w:bodyDiv w:val="1"/>
      <w:marLeft w:val="0"/>
      <w:marRight w:val="0"/>
      <w:marTop w:val="0"/>
      <w:marBottom w:val="0"/>
      <w:divBdr>
        <w:top w:val="none" w:sz="0" w:space="0" w:color="auto"/>
        <w:left w:val="none" w:sz="0" w:space="0" w:color="auto"/>
        <w:bottom w:val="none" w:sz="0" w:space="0" w:color="auto"/>
        <w:right w:val="none" w:sz="0" w:space="0" w:color="auto"/>
      </w:divBdr>
    </w:div>
    <w:div w:id="1045837447">
      <w:bodyDiv w:val="1"/>
      <w:marLeft w:val="0"/>
      <w:marRight w:val="0"/>
      <w:marTop w:val="0"/>
      <w:marBottom w:val="0"/>
      <w:divBdr>
        <w:top w:val="none" w:sz="0" w:space="0" w:color="auto"/>
        <w:left w:val="none" w:sz="0" w:space="0" w:color="auto"/>
        <w:bottom w:val="none" w:sz="0" w:space="0" w:color="auto"/>
        <w:right w:val="none" w:sz="0" w:space="0" w:color="auto"/>
      </w:divBdr>
    </w:div>
    <w:div w:id="1047297081">
      <w:bodyDiv w:val="1"/>
      <w:marLeft w:val="0"/>
      <w:marRight w:val="0"/>
      <w:marTop w:val="0"/>
      <w:marBottom w:val="0"/>
      <w:divBdr>
        <w:top w:val="none" w:sz="0" w:space="0" w:color="auto"/>
        <w:left w:val="none" w:sz="0" w:space="0" w:color="auto"/>
        <w:bottom w:val="none" w:sz="0" w:space="0" w:color="auto"/>
        <w:right w:val="none" w:sz="0" w:space="0" w:color="auto"/>
      </w:divBdr>
    </w:div>
    <w:div w:id="1049960774">
      <w:bodyDiv w:val="1"/>
      <w:marLeft w:val="0"/>
      <w:marRight w:val="0"/>
      <w:marTop w:val="0"/>
      <w:marBottom w:val="0"/>
      <w:divBdr>
        <w:top w:val="none" w:sz="0" w:space="0" w:color="auto"/>
        <w:left w:val="none" w:sz="0" w:space="0" w:color="auto"/>
        <w:bottom w:val="none" w:sz="0" w:space="0" w:color="auto"/>
        <w:right w:val="none" w:sz="0" w:space="0" w:color="auto"/>
      </w:divBdr>
    </w:div>
    <w:div w:id="1050150351">
      <w:bodyDiv w:val="1"/>
      <w:marLeft w:val="0"/>
      <w:marRight w:val="0"/>
      <w:marTop w:val="0"/>
      <w:marBottom w:val="0"/>
      <w:divBdr>
        <w:top w:val="none" w:sz="0" w:space="0" w:color="auto"/>
        <w:left w:val="none" w:sz="0" w:space="0" w:color="auto"/>
        <w:bottom w:val="none" w:sz="0" w:space="0" w:color="auto"/>
        <w:right w:val="none" w:sz="0" w:space="0" w:color="auto"/>
      </w:divBdr>
    </w:div>
    <w:div w:id="1050496075">
      <w:bodyDiv w:val="1"/>
      <w:marLeft w:val="0"/>
      <w:marRight w:val="0"/>
      <w:marTop w:val="0"/>
      <w:marBottom w:val="0"/>
      <w:divBdr>
        <w:top w:val="none" w:sz="0" w:space="0" w:color="auto"/>
        <w:left w:val="none" w:sz="0" w:space="0" w:color="auto"/>
        <w:bottom w:val="none" w:sz="0" w:space="0" w:color="auto"/>
        <w:right w:val="none" w:sz="0" w:space="0" w:color="auto"/>
      </w:divBdr>
    </w:div>
    <w:div w:id="1052071689">
      <w:bodyDiv w:val="1"/>
      <w:marLeft w:val="0"/>
      <w:marRight w:val="0"/>
      <w:marTop w:val="0"/>
      <w:marBottom w:val="0"/>
      <w:divBdr>
        <w:top w:val="none" w:sz="0" w:space="0" w:color="auto"/>
        <w:left w:val="none" w:sz="0" w:space="0" w:color="auto"/>
        <w:bottom w:val="none" w:sz="0" w:space="0" w:color="auto"/>
        <w:right w:val="none" w:sz="0" w:space="0" w:color="auto"/>
      </w:divBdr>
    </w:div>
    <w:div w:id="1052509145">
      <w:bodyDiv w:val="1"/>
      <w:marLeft w:val="0"/>
      <w:marRight w:val="0"/>
      <w:marTop w:val="0"/>
      <w:marBottom w:val="0"/>
      <w:divBdr>
        <w:top w:val="none" w:sz="0" w:space="0" w:color="auto"/>
        <w:left w:val="none" w:sz="0" w:space="0" w:color="auto"/>
        <w:bottom w:val="none" w:sz="0" w:space="0" w:color="auto"/>
        <w:right w:val="none" w:sz="0" w:space="0" w:color="auto"/>
      </w:divBdr>
    </w:div>
    <w:div w:id="1056005576">
      <w:bodyDiv w:val="1"/>
      <w:marLeft w:val="0"/>
      <w:marRight w:val="0"/>
      <w:marTop w:val="0"/>
      <w:marBottom w:val="0"/>
      <w:divBdr>
        <w:top w:val="none" w:sz="0" w:space="0" w:color="auto"/>
        <w:left w:val="none" w:sz="0" w:space="0" w:color="auto"/>
        <w:bottom w:val="none" w:sz="0" w:space="0" w:color="auto"/>
        <w:right w:val="none" w:sz="0" w:space="0" w:color="auto"/>
      </w:divBdr>
    </w:div>
    <w:div w:id="1058016634">
      <w:bodyDiv w:val="1"/>
      <w:marLeft w:val="0"/>
      <w:marRight w:val="0"/>
      <w:marTop w:val="0"/>
      <w:marBottom w:val="0"/>
      <w:divBdr>
        <w:top w:val="none" w:sz="0" w:space="0" w:color="auto"/>
        <w:left w:val="none" w:sz="0" w:space="0" w:color="auto"/>
        <w:bottom w:val="none" w:sz="0" w:space="0" w:color="auto"/>
        <w:right w:val="none" w:sz="0" w:space="0" w:color="auto"/>
      </w:divBdr>
    </w:div>
    <w:div w:id="1059671473">
      <w:bodyDiv w:val="1"/>
      <w:marLeft w:val="0"/>
      <w:marRight w:val="0"/>
      <w:marTop w:val="0"/>
      <w:marBottom w:val="0"/>
      <w:divBdr>
        <w:top w:val="none" w:sz="0" w:space="0" w:color="auto"/>
        <w:left w:val="none" w:sz="0" w:space="0" w:color="auto"/>
        <w:bottom w:val="none" w:sz="0" w:space="0" w:color="auto"/>
        <w:right w:val="none" w:sz="0" w:space="0" w:color="auto"/>
      </w:divBdr>
    </w:div>
    <w:div w:id="1065252186">
      <w:bodyDiv w:val="1"/>
      <w:marLeft w:val="0"/>
      <w:marRight w:val="0"/>
      <w:marTop w:val="0"/>
      <w:marBottom w:val="0"/>
      <w:divBdr>
        <w:top w:val="none" w:sz="0" w:space="0" w:color="auto"/>
        <w:left w:val="none" w:sz="0" w:space="0" w:color="auto"/>
        <w:bottom w:val="none" w:sz="0" w:space="0" w:color="auto"/>
        <w:right w:val="none" w:sz="0" w:space="0" w:color="auto"/>
      </w:divBdr>
    </w:div>
    <w:div w:id="1065765805">
      <w:bodyDiv w:val="1"/>
      <w:marLeft w:val="0"/>
      <w:marRight w:val="0"/>
      <w:marTop w:val="0"/>
      <w:marBottom w:val="0"/>
      <w:divBdr>
        <w:top w:val="none" w:sz="0" w:space="0" w:color="auto"/>
        <w:left w:val="none" w:sz="0" w:space="0" w:color="auto"/>
        <w:bottom w:val="none" w:sz="0" w:space="0" w:color="auto"/>
        <w:right w:val="none" w:sz="0" w:space="0" w:color="auto"/>
      </w:divBdr>
    </w:div>
    <w:div w:id="1066681981">
      <w:bodyDiv w:val="1"/>
      <w:marLeft w:val="0"/>
      <w:marRight w:val="0"/>
      <w:marTop w:val="0"/>
      <w:marBottom w:val="0"/>
      <w:divBdr>
        <w:top w:val="none" w:sz="0" w:space="0" w:color="auto"/>
        <w:left w:val="none" w:sz="0" w:space="0" w:color="auto"/>
        <w:bottom w:val="none" w:sz="0" w:space="0" w:color="auto"/>
        <w:right w:val="none" w:sz="0" w:space="0" w:color="auto"/>
      </w:divBdr>
    </w:div>
    <w:div w:id="1068117951">
      <w:bodyDiv w:val="1"/>
      <w:marLeft w:val="0"/>
      <w:marRight w:val="0"/>
      <w:marTop w:val="0"/>
      <w:marBottom w:val="0"/>
      <w:divBdr>
        <w:top w:val="none" w:sz="0" w:space="0" w:color="auto"/>
        <w:left w:val="none" w:sz="0" w:space="0" w:color="auto"/>
        <w:bottom w:val="none" w:sz="0" w:space="0" w:color="auto"/>
        <w:right w:val="none" w:sz="0" w:space="0" w:color="auto"/>
      </w:divBdr>
    </w:div>
    <w:div w:id="1070226055">
      <w:bodyDiv w:val="1"/>
      <w:marLeft w:val="0"/>
      <w:marRight w:val="0"/>
      <w:marTop w:val="0"/>
      <w:marBottom w:val="0"/>
      <w:divBdr>
        <w:top w:val="none" w:sz="0" w:space="0" w:color="auto"/>
        <w:left w:val="none" w:sz="0" w:space="0" w:color="auto"/>
        <w:bottom w:val="none" w:sz="0" w:space="0" w:color="auto"/>
        <w:right w:val="none" w:sz="0" w:space="0" w:color="auto"/>
      </w:divBdr>
    </w:div>
    <w:div w:id="1071267827">
      <w:bodyDiv w:val="1"/>
      <w:marLeft w:val="0"/>
      <w:marRight w:val="0"/>
      <w:marTop w:val="0"/>
      <w:marBottom w:val="0"/>
      <w:divBdr>
        <w:top w:val="none" w:sz="0" w:space="0" w:color="auto"/>
        <w:left w:val="none" w:sz="0" w:space="0" w:color="auto"/>
        <w:bottom w:val="none" w:sz="0" w:space="0" w:color="auto"/>
        <w:right w:val="none" w:sz="0" w:space="0" w:color="auto"/>
      </w:divBdr>
    </w:div>
    <w:div w:id="1074358725">
      <w:bodyDiv w:val="1"/>
      <w:marLeft w:val="0"/>
      <w:marRight w:val="0"/>
      <w:marTop w:val="0"/>
      <w:marBottom w:val="0"/>
      <w:divBdr>
        <w:top w:val="none" w:sz="0" w:space="0" w:color="auto"/>
        <w:left w:val="none" w:sz="0" w:space="0" w:color="auto"/>
        <w:bottom w:val="none" w:sz="0" w:space="0" w:color="auto"/>
        <w:right w:val="none" w:sz="0" w:space="0" w:color="auto"/>
      </w:divBdr>
    </w:div>
    <w:div w:id="1075585278">
      <w:bodyDiv w:val="1"/>
      <w:marLeft w:val="0"/>
      <w:marRight w:val="0"/>
      <w:marTop w:val="0"/>
      <w:marBottom w:val="0"/>
      <w:divBdr>
        <w:top w:val="none" w:sz="0" w:space="0" w:color="auto"/>
        <w:left w:val="none" w:sz="0" w:space="0" w:color="auto"/>
        <w:bottom w:val="none" w:sz="0" w:space="0" w:color="auto"/>
        <w:right w:val="none" w:sz="0" w:space="0" w:color="auto"/>
      </w:divBdr>
    </w:div>
    <w:div w:id="1077164641">
      <w:bodyDiv w:val="1"/>
      <w:marLeft w:val="0"/>
      <w:marRight w:val="0"/>
      <w:marTop w:val="0"/>
      <w:marBottom w:val="0"/>
      <w:divBdr>
        <w:top w:val="none" w:sz="0" w:space="0" w:color="auto"/>
        <w:left w:val="none" w:sz="0" w:space="0" w:color="auto"/>
        <w:bottom w:val="none" w:sz="0" w:space="0" w:color="auto"/>
        <w:right w:val="none" w:sz="0" w:space="0" w:color="auto"/>
      </w:divBdr>
    </w:div>
    <w:div w:id="1079669508">
      <w:bodyDiv w:val="1"/>
      <w:marLeft w:val="0"/>
      <w:marRight w:val="0"/>
      <w:marTop w:val="0"/>
      <w:marBottom w:val="0"/>
      <w:divBdr>
        <w:top w:val="none" w:sz="0" w:space="0" w:color="auto"/>
        <w:left w:val="none" w:sz="0" w:space="0" w:color="auto"/>
        <w:bottom w:val="none" w:sz="0" w:space="0" w:color="auto"/>
        <w:right w:val="none" w:sz="0" w:space="0" w:color="auto"/>
      </w:divBdr>
    </w:div>
    <w:div w:id="1081174019">
      <w:bodyDiv w:val="1"/>
      <w:marLeft w:val="0"/>
      <w:marRight w:val="0"/>
      <w:marTop w:val="0"/>
      <w:marBottom w:val="0"/>
      <w:divBdr>
        <w:top w:val="none" w:sz="0" w:space="0" w:color="auto"/>
        <w:left w:val="none" w:sz="0" w:space="0" w:color="auto"/>
        <w:bottom w:val="none" w:sz="0" w:space="0" w:color="auto"/>
        <w:right w:val="none" w:sz="0" w:space="0" w:color="auto"/>
      </w:divBdr>
    </w:div>
    <w:div w:id="1082097642">
      <w:bodyDiv w:val="1"/>
      <w:marLeft w:val="0"/>
      <w:marRight w:val="0"/>
      <w:marTop w:val="0"/>
      <w:marBottom w:val="0"/>
      <w:divBdr>
        <w:top w:val="none" w:sz="0" w:space="0" w:color="auto"/>
        <w:left w:val="none" w:sz="0" w:space="0" w:color="auto"/>
        <w:bottom w:val="none" w:sz="0" w:space="0" w:color="auto"/>
        <w:right w:val="none" w:sz="0" w:space="0" w:color="auto"/>
      </w:divBdr>
    </w:div>
    <w:div w:id="1082723832">
      <w:bodyDiv w:val="1"/>
      <w:marLeft w:val="0"/>
      <w:marRight w:val="0"/>
      <w:marTop w:val="0"/>
      <w:marBottom w:val="0"/>
      <w:divBdr>
        <w:top w:val="none" w:sz="0" w:space="0" w:color="auto"/>
        <w:left w:val="none" w:sz="0" w:space="0" w:color="auto"/>
        <w:bottom w:val="none" w:sz="0" w:space="0" w:color="auto"/>
        <w:right w:val="none" w:sz="0" w:space="0" w:color="auto"/>
      </w:divBdr>
    </w:div>
    <w:div w:id="1083335831">
      <w:bodyDiv w:val="1"/>
      <w:marLeft w:val="0"/>
      <w:marRight w:val="0"/>
      <w:marTop w:val="0"/>
      <w:marBottom w:val="0"/>
      <w:divBdr>
        <w:top w:val="none" w:sz="0" w:space="0" w:color="auto"/>
        <w:left w:val="none" w:sz="0" w:space="0" w:color="auto"/>
        <w:bottom w:val="none" w:sz="0" w:space="0" w:color="auto"/>
        <w:right w:val="none" w:sz="0" w:space="0" w:color="auto"/>
      </w:divBdr>
    </w:div>
    <w:div w:id="1084574452">
      <w:bodyDiv w:val="1"/>
      <w:marLeft w:val="0"/>
      <w:marRight w:val="0"/>
      <w:marTop w:val="0"/>
      <w:marBottom w:val="0"/>
      <w:divBdr>
        <w:top w:val="none" w:sz="0" w:space="0" w:color="auto"/>
        <w:left w:val="none" w:sz="0" w:space="0" w:color="auto"/>
        <w:bottom w:val="none" w:sz="0" w:space="0" w:color="auto"/>
        <w:right w:val="none" w:sz="0" w:space="0" w:color="auto"/>
      </w:divBdr>
    </w:div>
    <w:div w:id="1084763681">
      <w:bodyDiv w:val="1"/>
      <w:marLeft w:val="0"/>
      <w:marRight w:val="0"/>
      <w:marTop w:val="0"/>
      <w:marBottom w:val="0"/>
      <w:divBdr>
        <w:top w:val="none" w:sz="0" w:space="0" w:color="auto"/>
        <w:left w:val="none" w:sz="0" w:space="0" w:color="auto"/>
        <w:bottom w:val="none" w:sz="0" w:space="0" w:color="auto"/>
        <w:right w:val="none" w:sz="0" w:space="0" w:color="auto"/>
      </w:divBdr>
    </w:div>
    <w:div w:id="1087119710">
      <w:bodyDiv w:val="1"/>
      <w:marLeft w:val="0"/>
      <w:marRight w:val="0"/>
      <w:marTop w:val="0"/>
      <w:marBottom w:val="0"/>
      <w:divBdr>
        <w:top w:val="none" w:sz="0" w:space="0" w:color="auto"/>
        <w:left w:val="none" w:sz="0" w:space="0" w:color="auto"/>
        <w:bottom w:val="none" w:sz="0" w:space="0" w:color="auto"/>
        <w:right w:val="none" w:sz="0" w:space="0" w:color="auto"/>
      </w:divBdr>
    </w:div>
    <w:div w:id="1088888832">
      <w:bodyDiv w:val="1"/>
      <w:marLeft w:val="0"/>
      <w:marRight w:val="0"/>
      <w:marTop w:val="0"/>
      <w:marBottom w:val="0"/>
      <w:divBdr>
        <w:top w:val="none" w:sz="0" w:space="0" w:color="auto"/>
        <w:left w:val="none" w:sz="0" w:space="0" w:color="auto"/>
        <w:bottom w:val="none" w:sz="0" w:space="0" w:color="auto"/>
        <w:right w:val="none" w:sz="0" w:space="0" w:color="auto"/>
      </w:divBdr>
    </w:div>
    <w:div w:id="1089078792">
      <w:bodyDiv w:val="1"/>
      <w:marLeft w:val="0"/>
      <w:marRight w:val="0"/>
      <w:marTop w:val="0"/>
      <w:marBottom w:val="0"/>
      <w:divBdr>
        <w:top w:val="none" w:sz="0" w:space="0" w:color="auto"/>
        <w:left w:val="none" w:sz="0" w:space="0" w:color="auto"/>
        <w:bottom w:val="none" w:sz="0" w:space="0" w:color="auto"/>
        <w:right w:val="none" w:sz="0" w:space="0" w:color="auto"/>
      </w:divBdr>
    </w:div>
    <w:div w:id="1089934584">
      <w:bodyDiv w:val="1"/>
      <w:marLeft w:val="0"/>
      <w:marRight w:val="0"/>
      <w:marTop w:val="0"/>
      <w:marBottom w:val="0"/>
      <w:divBdr>
        <w:top w:val="none" w:sz="0" w:space="0" w:color="auto"/>
        <w:left w:val="none" w:sz="0" w:space="0" w:color="auto"/>
        <w:bottom w:val="none" w:sz="0" w:space="0" w:color="auto"/>
        <w:right w:val="none" w:sz="0" w:space="0" w:color="auto"/>
      </w:divBdr>
    </w:div>
    <w:div w:id="1090080254">
      <w:bodyDiv w:val="1"/>
      <w:marLeft w:val="0"/>
      <w:marRight w:val="0"/>
      <w:marTop w:val="0"/>
      <w:marBottom w:val="0"/>
      <w:divBdr>
        <w:top w:val="none" w:sz="0" w:space="0" w:color="auto"/>
        <w:left w:val="none" w:sz="0" w:space="0" w:color="auto"/>
        <w:bottom w:val="none" w:sz="0" w:space="0" w:color="auto"/>
        <w:right w:val="none" w:sz="0" w:space="0" w:color="auto"/>
      </w:divBdr>
    </w:div>
    <w:div w:id="1090388618">
      <w:bodyDiv w:val="1"/>
      <w:marLeft w:val="0"/>
      <w:marRight w:val="0"/>
      <w:marTop w:val="0"/>
      <w:marBottom w:val="0"/>
      <w:divBdr>
        <w:top w:val="none" w:sz="0" w:space="0" w:color="auto"/>
        <w:left w:val="none" w:sz="0" w:space="0" w:color="auto"/>
        <w:bottom w:val="none" w:sz="0" w:space="0" w:color="auto"/>
        <w:right w:val="none" w:sz="0" w:space="0" w:color="auto"/>
      </w:divBdr>
    </w:div>
    <w:div w:id="1095131301">
      <w:bodyDiv w:val="1"/>
      <w:marLeft w:val="0"/>
      <w:marRight w:val="0"/>
      <w:marTop w:val="0"/>
      <w:marBottom w:val="0"/>
      <w:divBdr>
        <w:top w:val="none" w:sz="0" w:space="0" w:color="auto"/>
        <w:left w:val="none" w:sz="0" w:space="0" w:color="auto"/>
        <w:bottom w:val="none" w:sz="0" w:space="0" w:color="auto"/>
        <w:right w:val="none" w:sz="0" w:space="0" w:color="auto"/>
      </w:divBdr>
    </w:div>
    <w:div w:id="1095177054">
      <w:bodyDiv w:val="1"/>
      <w:marLeft w:val="0"/>
      <w:marRight w:val="0"/>
      <w:marTop w:val="0"/>
      <w:marBottom w:val="0"/>
      <w:divBdr>
        <w:top w:val="none" w:sz="0" w:space="0" w:color="auto"/>
        <w:left w:val="none" w:sz="0" w:space="0" w:color="auto"/>
        <w:bottom w:val="none" w:sz="0" w:space="0" w:color="auto"/>
        <w:right w:val="none" w:sz="0" w:space="0" w:color="auto"/>
      </w:divBdr>
    </w:div>
    <w:div w:id="1096093319">
      <w:bodyDiv w:val="1"/>
      <w:marLeft w:val="0"/>
      <w:marRight w:val="0"/>
      <w:marTop w:val="0"/>
      <w:marBottom w:val="0"/>
      <w:divBdr>
        <w:top w:val="none" w:sz="0" w:space="0" w:color="auto"/>
        <w:left w:val="none" w:sz="0" w:space="0" w:color="auto"/>
        <w:bottom w:val="none" w:sz="0" w:space="0" w:color="auto"/>
        <w:right w:val="none" w:sz="0" w:space="0" w:color="auto"/>
      </w:divBdr>
    </w:div>
    <w:div w:id="1096485564">
      <w:bodyDiv w:val="1"/>
      <w:marLeft w:val="0"/>
      <w:marRight w:val="0"/>
      <w:marTop w:val="0"/>
      <w:marBottom w:val="0"/>
      <w:divBdr>
        <w:top w:val="none" w:sz="0" w:space="0" w:color="auto"/>
        <w:left w:val="none" w:sz="0" w:space="0" w:color="auto"/>
        <w:bottom w:val="none" w:sz="0" w:space="0" w:color="auto"/>
        <w:right w:val="none" w:sz="0" w:space="0" w:color="auto"/>
      </w:divBdr>
    </w:div>
    <w:div w:id="1097287337">
      <w:bodyDiv w:val="1"/>
      <w:marLeft w:val="0"/>
      <w:marRight w:val="0"/>
      <w:marTop w:val="0"/>
      <w:marBottom w:val="0"/>
      <w:divBdr>
        <w:top w:val="none" w:sz="0" w:space="0" w:color="auto"/>
        <w:left w:val="none" w:sz="0" w:space="0" w:color="auto"/>
        <w:bottom w:val="none" w:sz="0" w:space="0" w:color="auto"/>
        <w:right w:val="none" w:sz="0" w:space="0" w:color="auto"/>
      </w:divBdr>
    </w:div>
    <w:div w:id="1098209686">
      <w:bodyDiv w:val="1"/>
      <w:marLeft w:val="0"/>
      <w:marRight w:val="0"/>
      <w:marTop w:val="0"/>
      <w:marBottom w:val="0"/>
      <w:divBdr>
        <w:top w:val="none" w:sz="0" w:space="0" w:color="auto"/>
        <w:left w:val="none" w:sz="0" w:space="0" w:color="auto"/>
        <w:bottom w:val="none" w:sz="0" w:space="0" w:color="auto"/>
        <w:right w:val="none" w:sz="0" w:space="0" w:color="auto"/>
      </w:divBdr>
    </w:div>
    <w:div w:id="1098254656">
      <w:bodyDiv w:val="1"/>
      <w:marLeft w:val="0"/>
      <w:marRight w:val="0"/>
      <w:marTop w:val="0"/>
      <w:marBottom w:val="0"/>
      <w:divBdr>
        <w:top w:val="none" w:sz="0" w:space="0" w:color="auto"/>
        <w:left w:val="none" w:sz="0" w:space="0" w:color="auto"/>
        <w:bottom w:val="none" w:sz="0" w:space="0" w:color="auto"/>
        <w:right w:val="none" w:sz="0" w:space="0" w:color="auto"/>
      </w:divBdr>
    </w:div>
    <w:div w:id="1098793768">
      <w:bodyDiv w:val="1"/>
      <w:marLeft w:val="0"/>
      <w:marRight w:val="0"/>
      <w:marTop w:val="0"/>
      <w:marBottom w:val="0"/>
      <w:divBdr>
        <w:top w:val="none" w:sz="0" w:space="0" w:color="auto"/>
        <w:left w:val="none" w:sz="0" w:space="0" w:color="auto"/>
        <w:bottom w:val="none" w:sz="0" w:space="0" w:color="auto"/>
        <w:right w:val="none" w:sz="0" w:space="0" w:color="auto"/>
      </w:divBdr>
    </w:div>
    <w:div w:id="1102528881">
      <w:bodyDiv w:val="1"/>
      <w:marLeft w:val="0"/>
      <w:marRight w:val="0"/>
      <w:marTop w:val="0"/>
      <w:marBottom w:val="0"/>
      <w:divBdr>
        <w:top w:val="none" w:sz="0" w:space="0" w:color="auto"/>
        <w:left w:val="none" w:sz="0" w:space="0" w:color="auto"/>
        <w:bottom w:val="none" w:sz="0" w:space="0" w:color="auto"/>
        <w:right w:val="none" w:sz="0" w:space="0" w:color="auto"/>
      </w:divBdr>
    </w:div>
    <w:div w:id="1103652091">
      <w:bodyDiv w:val="1"/>
      <w:marLeft w:val="0"/>
      <w:marRight w:val="0"/>
      <w:marTop w:val="0"/>
      <w:marBottom w:val="0"/>
      <w:divBdr>
        <w:top w:val="none" w:sz="0" w:space="0" w:color="auto"/>
        <w:left w:val="none" w:sz="0" w:space="0" w:color="auto"/>
        <w:bottom w:val="none" w:sz="0" w:space="0" w:color="auto"/>
        <w:right w:val="none" w:sz="0" w:space="0" w:color="auto"/>
      </w:divBdr>
    </w:div>
    <w:div w:id="1104376107">
      <w:bodyDiv w:val="1"/>
      <w:marLeft w:val="0"/>
      <w:marRight w:val="0"/>
      <w:marTop w:val="0"/>
      <w:marBottom w:val="0"/>
      <w:divBdr>
        <w:top w:val="none" w:sz="0" w:space="0" w:color="auto"/>
        <w:left w:val="none" w:sz="0" w:space="0" w:color="auto"/>
        <w:bottom w:val="none" w:sz="0" w:space="0" w:color="auto"/>
        <w:right w:val="none" w:sz="0" w:space="0" w:color="auto"/>
      </w:divBdr>
    </w:div>
    <w:div w:id="1104691907">
      <w:bodyDiv w:val="1"/>
      <w:marLeft w:val="0"/>
      <w:marRight w:val="0"/>
      <w:marTop w:val="0"/>
      <w:marBottom w:val="0"/>
      <w:divBdr>
        <w:top w:val="none" w:sz="0" w:space="0" w:color="auto"/>
        <w:left w:val="none" w:sz="0" w:space="0" w:color="auto"/>
        <w:bottom w:val="none" w:sz="0" w:space="0" w:color="auto"/>
        <w:right w:val="none" w:sz="0" w:space="0" w:color="auto"/>
      </w:divBdr>
    </w:div>
    <w:div w:id="1106117910">
      <w:bodyDiv w:val="1"/>
      <w:marLeft w:val="0"/>
      <w:marRight w:val="0"/>
      <w:marTop w:val="0"/>
      <w:marBottom w:val="0"/>
      <w:divBdr>
        <w:top w:val="none" w:sz="0" w:space="0" w:color="auto"/>
        <w:left w:val="none" w:sz="0" w:space="0" w:color="auto"/>
        <w:bottom w:val="none" w:sz="0" w:space="0" w:color="auto"/>
        <w:right w:val="none" w:sz="0" w:space="0" w:color="auto"/>
      </w:divBdr>
    </w:div>
    <w:div w:id="1106651871">
      <w:bodyDiv w:val="1"/>
      <w:marLeft w:val="0"/>
      <w:marRight w:val="0"/>
      <w:marTop w:val="0"/>
      <w:marBottom w:val="0"/>
      <w:divBdr>
        <w:top w:val="none" w:sz="0" w:space="0" w:color="auto"/>
        <w:left w:val="none" w:sz="0" w:space="0" w:color="auto"/>
        <w:bottom w:val="none" w:sz="0" w:space="0" w:color="auto"/>
        <w:right w:val="none" w:sz="0" w:space="0" w:color="auto"/>
      </w:divBdr>
    </w:div>
    <w:div w:id="1106923507">
      <w:bodyDiv w:val="1"/>
      <w:marLeft w:val="0"/>
      <w:marRight w:val="0"/>
      <w:marTop w:val="0"/>
      <w:marBottom w:val="0"/>
      <w:divBdr>
        <w:top w:val="none" w:sz="0" w:space="0" w:color="auto"/>
        <w:left w:val="none" w:sz="0" w:space="0" w:color="auto"/>
        <w:bottom w:val="none" w:sz="0" w:space="0" w:color="auto"/>
        <w:right w:val="none" w:sz="0" w:space="0" w:color="auto"/>
      </w:divBdr>
    </w:div>
    <w:div w:id="1106923715">
      <w:bodyDiv w:val="1"/>
      <w:marLeft w:val="0"/>
      <w:marRight w:val="0"/>
      <w:marTop w:val="0"/>
      <w:marBottom w:val="0"/>
      <w:divBdr>
        <w:top w:val="none" w:sz="0" w:space="0" w:color="auto"/>
        <w:left w:val="none" w:sz="0" w:space="0" w:color="auto"/>
        <w:bottom w:val="none" w:sz="0" w:space="0" w:color="auto"/>
        <w:right w:val="none" w:sz="0" w:space="0" w:color="auto"/>
      </w:divBdr>
    </w:div>
    <w:div w:id="1108770074">
      <w:bodyDiv w:val="1"/>
      <w:marLeft w:val="0"/>
      <w:marRight w:val="0"/>
      <w:marTop w:val="0"/>
      <w:marBottom w:val="0"/>
      <w:divBdr>
        <w:top w:val="none" w:sz="0" w:space="0" w:color="auto"/>
        <w:left w:val="none" w:sz="0" w:space="0" w:color="auto"/>
        <w:bottom w:val="none" w:sz="0" w:space="0" w:color="auto"/>
        <w:right w:val="none" w:sz="0" w:space="0" w:color="auto"/>
      </w:divBdr>
    </w:div>
    <w:div w:id="1109397884">
      <w:bodyDiv w:val="1"/>
      <w:marLeft w:val="0"/>
      <w:marRight w:val="0"/>
      <w:marTop w:val="0"/>
      <w:marBottom w:val="0"/>
      <w:divBdr>
        <w:top w:val="none" w:sz="0" w:space="0" w:color="auto"/>
        <w:left w:val="none" w:sz="0" w:space="0" w:color="auto"/>
        <w:bottom w:val="none" w:sz="0" w:space="0" w:color="auto"/>
        <w:right w:val="none" w:sz="0" w:space="0" w:color="auto"/>
      </w:divBdr>
    </w:div>
    <w:div w:id="1110246084">
      <w:bodyDiv w:val="1"/>
      <w:marLeft w:val="0"/>
      <w:marRight w:val="0"/>
      <w:marTop w:val="0"/>
      <w:marBottom w:val="0"/>
      <w:divBdr>
        <w:top w:val="none" w:sz="0" w:space="0" w:color="auto"/>
        <w:left w:val="none" w:sz="0" w:space="0" w:color="auto"/>
        <w:bottom w:val="none" w:sz="0" w:space="0" w:color="auto"/>
        <w:right w:val="none" w:sz="0" w:space="0" w:color="auto"/>
      </w:divBdr>
    </w:div>
    <w:div w:id="1110902656">
      <w:bodyDiv w:val="1"/>
      <w:marLeft w:val="0"/>
      <w:marRight w:val="0"/>
      <w:marTop w:val="0"/>
      <w:marBottom w:val="0"/>
      <w:divBdr>
        <w:top w:val="none" w:sz="0" w:space="0" w:color="auto"/>
        <w:left w:val="none" w:sz="0" w:space="0" w:color="auto"/>
        <w:bottom w:val="none" w:sz="0" w:space="0" w:color="auto"/>
        <w:right w:val="none" w:sz="0" w:space="0" w:color="auto"/>
      </w:divBdr>
    </w:div>
    <w:div w:id="1110932525">
      <w:bodyDiv w:val="1"/>
      <w:marLeft w:val="0"/>
      <w:marRight w:val="0"/>
      <w:marTop w:val="0"/>
      <w:marBottom w:val="0"/>
      <w:divBdr>
        <w:top w:val="none" w:sz="0" w:space="0" w:color="auto"/>
        <w:left w:val="none" w:sz="0" w:space="0" w:color="auto"/>
        <w:bottom w:val="none" w:sz="0" w:space="0" w:color="auto"/>
        <w:right w:val="none" w:sz="0" w:space="0" w:color="auto"/>
      </w:divBdr>
    </w:div>
    <w:div w:id="1110973174">
      <w:bodyDiv w:val="1"/>
      <w:marLeft w:val="0"/>
      <w:marRight w:val="0"/>
      <w:marTop w:val="0"/>
      <w:marBottom w:val="0"/>
      <w:divBdr>
        <w:top w:val="none" w:sz="0" w:space="0" w:color="auto"/>
        <w:left w:val="none" w:sz="0" w:space="0" w:color="auto"/>
        <w:bottom w:val="none" w:sz="0" w:space="0" w:color="auto"/>
        <w:right w:val="none" w:sz="0" w:space="0" w:color="auto"/>
      </w:divBdr>
    </w:div>
    <w:div w:id="1112670508">
      <w:bodyDiv w:val="1"/>
      <w:marLeft w:val="0"/>
      <w:marRight w:val="0"/>
      <w:marTop w:val="0"/>
      <w:marBottom w:val="0"/>
      <w:divBdr>
        <w:top w:val="none" w:sz="0" w:space="0" w:color="auto"/>
        <w:left w:val="none" w:sz="0" w:space="0" w:color="auto"/>
        <w:bottom w:val="none" w:sz="0" w:space="0" w:color="auto"/>
        <w:right w:val="none" w:sz="0" w:space="0" w:color="auto"/>
      </w:divBdr>
    </w:div>
    <w:div w:id="1113289285">
      <w:bodyDiv w:val="1"/>
      <w:marLeft w:val="0"/>
      <w:marRight w:val="0"/>
      <w:marTop w:val="0"/>
      <w:marBottom w:val="0"/>
      <w:divBdr>
        <w:top w:val="none" w:sz="0" w:space="0" w:color="auto"/>
        <w:left w:val="none" w:sz="0" w:space="0" w:color="auto"/>
        <w:bottom w:val="none" w:sz="0" w:space="0" w:color="auto"/>
        <w:right w:val="none" w:sz="0" w:space="0" w:color="auto"/>
      </w:divBdr>
    </w:div>
    <w:div w:id="1115320773">
      <w:bodyDiv w:val="1"/>
      <w:marLeft w:val="0"/>
      <w:marRight w:val="0"/>
      <w:marTop w:val="0"/>
      <w:marBottom w:val="0"/>
      <w:divBdr>
        <w:top w:val="none" w:sz="0" w:space="0" w:color="auto"/>
        <w:left w:val="none" w:sz="0" w:space="0" w:color="auto"/>
        <w:bottom w:val="none" w:sz="0" w:space="0" w:color="auto"/>
        <w:right w:val="none" w:sz="0" w:space="0" w:color="auto"/>
      </w:divBdr>
    </w:div>
    <w:div w:id="1122455420">
      <w:bodyDiv w:val="1"/>
      <w:marLeft w:val="0"/>
      <w:marRight w:val="0"/>
      <w:marTop w:val="0"/>
      <w:marBottom w:val="0"/>
      <w:divBdr>
        <w:top w:val="none" w:sz="0" w:space="0" w:color="auto"/>
        <w:left w:val="none" w:sz="0" w:space="0" w:color="auto"/>
        <w:bottom w:val="none" w:sz="0" w:space="0" w:color="auto"/>
        <w:right w:val="none" w:sz="0" w:space="0" w:color="auto"/>
      </w:divBdr>
    </w:div>
    <w:div w:id="1122572187">
      <w:bodyDiv w:val="1"/>
      <w:marLeft w:val="0"/>
      <w:marRight w:val="0"/>
      <w:marTop w:val="0"/>
      <w:marBottom w:val="0"/>
      <w:divBdr>
        <w:top w:val="none" w:sz="0" w:space="0" w:color="auto"/>
        <w:left w:val="none" w:sz="0" w:space="0" w:color="auto"/>
        <w:bottom w:val="none" w:sz="0" w:space="0" w:color="auto"/>
        <w:right w:val="none" w:sz="0" w:space="0" w:color="auto"/>
      </w:divBdr>
    </w:div>
    <w:div w:id="1124467616">
      <w:bodyDiv w:val="1"/>
      <w:marLeft w:val="0"/>
      <w:marRight w:val="0"/>
      <w:marTop w:val="0"/>
      <w:marBottom w:val="0"/>
      <w:divBdr>
        <w:top w:val="none" w:sz="0" w:space="0" w:color="auto"/>
        <w:left w:val="none" w:sz="0" w:space="0" w:color="auto"/>
        <w:bottom w:val="none" w:sz="0" w:space="0" w:color="auto"/>
        <w:right w:val="none" w:sz="0" w:space="0" w:color="auto"/>
      </w:divBdr>
    </w:div>
    <w:div w:id="1125781033">
      <w:bodyDiv w:val="1"/>
      <w:marLeft w:val="0"/>
      <w:marRight w:val="0"/>
      <w:marTop w:val="0"/>
      <w:marBottom w:val="0"/>
      <w:divBdr>
        <w:top w:val="none" w:sz="0" w:space="0" w:color="auto"/>
        <w:left w:val="none" w:sz="0" w:space="0" w:color="auto"/>
        <w:bottom w:val="none" w:sz="0" w:space="0" w:color="auto"/>
        <w:right w:val="none" w:sz="0" w:space="0" w:color="auto"/>
      </w:divBdr>
    </w:div>
    <w:div w:id="1127699219">
      <w:bodyDiv w:val="1"/>
      <w:marLeft w:val="0"/>
      <w:marRight w:val="0"/>
      <w:marTop w:val="0"/>
      <w:marBottom w:val="0"/>
      <w:divBdr>
        <w:top w:val="none" w:sz="0" w:space="0" w:color="auto"/>
        <w:left w:val="none" w:sz="0" w:space="0" w:color="auto"/>
        <w:bottom w:val="none" w:sz="0" w:space="0" w:color="auto"/>
        <w:right w:val="none" w:sz="0" w:space="0" w:color="auto"/>
      </w:divBdr>
    </w:div>
    <w:div w:id="1128936951">
      <w:bodyDiv w:val="1"/>
      <w:marLeft w:val="0"/>
      <w:marRight w:val="0"/>
      <w:marTop w:val="0"/>
      <w:marBottom w:val="0"/>
      <w:divBdr>
        <w:top w:val="none" w:sz="0" w:space="0" w:color="auto"/>
        <w:left w:val="none" w:sz="0" w:space="0" w:color="auto"/>
        <w:bottom w:val="none" w:sz="0" w:space="0" w:color="auto"/>
        <w:right w:val="none" w:sz="0" w:space="0" w:color="auto"/>
      </w:divBdr>
    </w:div>
    <w:div w:id="1129516736">
      <w:bodyDiv w:val="1"/>
      <w:marLeft w:val="0"/>
      <w:marRight w:val="0"/>
      <w:marTop w:val="0"/>
      <w:marBottom w:val="0"/>
      <w:divBdr>
        <w:top w:val="none" w:sz="0" w:space="0" w:color="auto"/>
        <w:left w:val="none" w:sz="0" w:space="0" w:color="auto"/>
        <w:bottom w:val="none" w:sz="0" w:space="0" w:color="auto"/>
        <w:right w:val="none" w:sz="0" w:space="0" w:color="auto"/>
      </w:divBdr>
    </w:div>
    <w:div w:id="1129588750">
      <w:bodyDiv w:val="1"/>
      <w:marLeft w:val="0"/>
      <w:marRight w:val="0"/>
      <w:marTop w:val="0"/>
      <w:marBottom w:val="0"/>
      <w:divBdr>
        <w:top w:val="none" w:sz="0" w:space="0" w:color="auto"/>
        <w:left w:val="none" w:sz="0" w:space="0" w:color="auto"/>
        <w:bottom w:val="none" w:sz="0" w:space="0" w:color="auto"/>
        <w:right w:val="none" w:sz="0" w:space="0" w:color="auto"/>
      </w:divBdr>
    </w:div>
    <w:div w:id="1130128530">
      <w:bodyDiv w:val="1"/>
      <w:marLeft w:val="0"/>
      <w:marRight w:val="0"/>
      <w:marTop w:val="0"/>
      <w:marBottom w:val="0"/>
      <w:divBdr>
        <w:top w:val="none" w:sz="0" w:space="0" w:color="auto"/>
        <w:left w:val="none" w:sz="0" w:space="0" w:color="auto"/>
        <w:bottom w:val="none" w:sz="0" w:space="0" w:color="auto"/>
        <w:right w:val="none" w:sz="0" w:space="0" w:color="auto"/>
      </w:divBdr>
    </w:div>
    <w:div w:id="1131481563">
      <w:bodyDiv w:val="1"/>
      <w:marLeft w:val="0"/>
      <w:marRight w:val="0"/>
      <w:marTop w:val="0"/>
      <w:marBottom w:val="0"/>
      <w:divBdr>
        <w:top w:val="none" w:sz="0" w:space="0" w:color="auto"/>
        <w:left w:val="none" w:sz="0" w:space="0" w:color="auto"/>
        <w:bottom w:val="none" w:sz="0" w:space="0" w:color="auto"/>
        <w:right w:val="none" w:sz="0" w:space="0" w:color="auto"/>
      </w:divBdr>
    </w:div>
    <w:div w:id="1132746135">
      <w:bodyDiv w:val="1"/>
      <w:marLeft w:val="0"/>
      <w:marRight w:val="0"/>
      <w:marTop w:val="0"/>
      <w:marBottom w:val="0"/>
      <w:divBdr>
        <w:top w:val="none" w:sz="0" w:space="0" w:color="auto"/>
        <w:left w:val="none" w:sz="0" w:space="0" w:color="auto"/>
        <w:bottom w:val="none" w:sz="0" w:space="0" w:color="auto"/>
        <w:right w:val="none" w:sz="0" w:space="0" w:color="auto"/>
      </w:divBdr>
    </w:div>
    <w:div w:id="1133712126">
      <w:bodyDiv w:val="1"/>
      <w:marLeft w:val="0"/>
      <w:marRight w:val="0"/>
      <w:marTop w:val="0"/>
      <w:marBottom w:val="0"/>
      <w:divBdr>
        <w:top w:val="none" w:sz="0" w:space="0" w:color="auto"/>
        <w:left w:val="none" w:sz="0" w:space="0" w:color="auto"/>
        <w:bottom w:val="none" w:sz="0" w:space="0" w:color="auto"/>
        <w:right w:val="none" w:sz="0" w:space="0" w:color="auto"/>
      </w:divBdr>
    </w:div>
    <w:div w:id="1134568203">
      <w:bodyDiv w:val="1"/>
      <w:marLeft w:val="0"/>
      <w:marRight w:val="0"/>
      <w:marTop w:val="0"/>
      <w:marBottom w:val="0"/>
      <w:divBdr>
        <w:top w:val="none" w:sz="0" w:space="0" w:color="auto"/>
        <w:left w:val="none" w:sz="0" w:space="0" w:color="auto"/>
        <w:bottom w:val="none" w:sz="0" w:space="0" w:color="auto"/>
        <w:right w:val="none" w:sz="0" w:space="0" w:color="auto"/>
      </w:divBdr>
    </w:div>
    <w:div w:id="1135172374">
      <w:bodyDiv w:val="1"/>
      <w:marLeft w:val="0"/>
      <w:marRight w:val="0"/>
      <w:marTop w:val="0"/>
      <w:marBottom w:val="0"/>
      <w:divBdr>
        <w:top w:val="none" w:sz="0" w:space="0" w:color="auto"/>
        <w:left w:val="none" w:sz="0" w:space="0" w:color="auto"/>
        <w:bottom w:val="none" w:sz="0" w:space="0" w:color="auto"/>
        <w:right w:val="none" w:sz="0" w:space="0" w:color="auto"/>
      </w:divBdr>
    </w:div>
    <w:div w:id="1136095978">
      <w:bodyDiv w:val="1"/>
      <w:marLeft w:val="0"/>
      <w:marRight w:val="0"/>
      <w:marTop w:val="0"/>
      <w:marBottom w:val="0"/>
      <w:divBdr>
        <w:top w:val="none" w:sz="0" w:space="0" w:color="auto"/>
        <w:left w:val="none" w:sz="0" w:space="0" w:color="auto"/>
        <w:bottom w:val="none" w:sz="0" w:space="0" w:color="auto"/>
        <w:right w:val="none" w:sz="0" w:space="0" w:color="auto"/>
      </w:divBdr>
    </w:div>
    <w:div w:id="1136148250">
      <w:bodyDiv w:val="1"/>
      <w:marLeft w:val="0"/>
      <w:marRight w:val="0"/>
      <w:marTop w:val="0"/>
      <w:marBottom w:val="0"/>
      <w:divBdr>
        <w:top w:val="none" w:sz="0" w:space="0" w:color="auto"/>
        <w:left w:val="none" w:sz="0" w:space="0" w:color="auto"/>
        <w:bottom w:val="none" w:sz="0" w:space="0" w:color="auto"/>
        <w:right w:val="none" w:sz="0" w:space="0" w:color="auto"/>
      </w:divBdr>
    </w:div>
    <w:div w:id="1136529323">
      <w:bodyDiv w:val="1"/>
      <w:marLeft w:val="0"/>
      <w:marRight w:val="0"/>
      <w:marTop w:val="0"/>
      <w:marBottom w:val="0"/>
      <w:divBdr>
        <w:top w:val="none" w:sz="0" w:space="0" w:color="auto"/>
        <w:left w:val="none" w:sz="0" w:space="0" w:color="auto"/>
        <w:bottom w:val="none" w:sz="0" w:space="0" w:color="auto"/>
        <w:right w:val="none" w:sz="0" w:space="0" w:color="auto"/>
      </w:divBdr>
    </w:div>
    <w:div w:id="1137802713">
      <w:bodyDiv w:val="1"/>
      <w:marLeft w:val="0"/>
      <w:marRight w:val="0"/>
      <w:marTop w:val="0"/>
      <w:marBottom w:val="0"/>
      <w:divBdr>
        <w:top w:val="none" w:sz="0" w:space="0" w:color="auto"/>
        <w:left w:val="none" w:sz="0" w:space="0" w:color="auto"/>
        <w:bottom w:val="none" w:sz="0" w:space="0" w:color="auto"/>
        <w:right w:val="none" w:sz="0" w:space="0" w:color="auto"/>
      </w:divBdr>
    </w:div>
    <w:div w:id="1141460826">
      <w:bodyDiv w:val="1"/>
      <w:marLeft w:val="0"/>
      <w:marRight w:val="0"/>
      <w:marTop w:val="0"/>
      <w:marBottom w:val="0"/>
      <w:divBdr>
        <w:top w:val="none" w:sz="0" w:space="0" w:color="auto"/>
        <w:left w:val="none" w:sz="0" w:space="0" w:color="auto"/>
        <w:bottom w:val="none" w:sz="0" w:space="0" w:color="auto"/>
        <w:right w:val="none" w:sz="0" w:space="0" w:color="auto"/>
      </w:divBdr>
    </w:div>
    <w:div w:id="1142576247">
      <w:bodyDiv w:val="1"/>
      <w:marLeft w:val="0"/>
      <w:marRight w:val="0"/>
      <w:marTop w:val="0"/>
      <w:marBottom w:val="0"/>
      <w:divBdr>
        <w:top w:val="none" w:sz="0" w:space="0" w:color="auto"/>
        <w:left w:val="none" w:sz="0" w:space="0" w:color="auto"/>
        <w:bottom w:val="none" w:sz="0" w:space="0" w:color="auto"/>
        <w:right w:val="none" w:sz="0" w:space="0" w:color="auto"/>
      </w:divBdr>
    </w:div>
    <w:div w:id="1145246229">
      <w:bodyDiv w:val="1"/>
      <w:marLeft w:val="0"/>
      <w:marRight w:val="0"/>
      <w:marTop w:val="0"/>
      <w:marBottom w:val="0"/>
      <w:divBdr>
        <w:top w:val="none" w:sz="0" w:space="0" w:color="auto"/>
        <w:left w:val="none" w:sz="0" w:space="0" w:color="auto"/>
        <w:bottom w:val="none" w:sz="0" w:space="0" w:color="auto"/>
        <w:right w:val="none" w:sz="0" w:space="0" w:color="auto"/>
      </w:divBdr>
    </w:div>
    <w:div w:id="1146512815">
      <w:bodyDiv w:val="1"/>
      <w:marLeft w:val="0"/>
      <w:marRight w:val="0"/>
      <w:marTop w:val="0"/>
      <w:marBottom w:val="0"/>
      <w:divBdr>
        <w:top w:val="none" w:sz="0" w:space="0" w:color="auto"/>
        <w:left w:val="none" w:sz="0" w:space="0" w:color="auto"/>
        <w:bottom w:val="none" w:sz="0" w:space="0" w:color="auto"/>
        <w:right w:val="none" w:sz="0" w:space="0" w:color="auto"/>
      </w:divBdr>
    </w:div>
    <w:div w:id="1148202280">
      <w:bodyDiv w:val="1"/>
      <w:marLeft w:val="0"/>
      <w:marRight w:val="0"/>
      <w:marTop w:val="0"/>
      <w:marBottom w:val="0"/>
      <w:divBdr>
        <w:top w:val="none" w:sz="0" w:space="0" w:color="auto"/>
        <w:left w:val="none" w:sz="0" w:space="0" w:color="auto"/>
        <w:bottom w:val="none" w:sz="0" w:space="0" w:color="auto"/>
        <w:right w:val="none" w:sz="0" w:space="0" w:color="auto"/>
      </w:divBdr>
    </w:div>
    <w:div w:id="1148329279">
      <w:bodyDiv w:val="1"/>
      <w:marLeft w:val="0"/>
      <w:marRight w:val="0"/>
      <w:marTop w:val="0"/>
      <w:marBottom w:val="0"/>
      <w:divBdr>
        <w:top w:val="none" w:sz="0" w:space="0" w:color="auto"/>
        <w:left w:val="none" w:sz="0" w:space="0" w:color="auto"/>
        <w:bottom w:val="none" w:sz="0" w:space="0" w:color="auto"/>
        <w:right w:val="none" w:sz="0" w:space="0" w:color="auto"/>
      </w:divBdr>
    </w:div>
    <w:div w:id="1148789893">
      <w:bodyDiv w:val="1"/>
      <w:marLeft w:val="0"/>
      <w:marRight w:val="0"/>
      <w:marTop w:val="0"/>
      <w:marBottom w:val="0"/>
      <w:divBdr>
        <w:top w:val="none" w:sz="0" w:space="0" w:color="auto"/>
        <w:left w:val="none" w:sz="0" w:space="0" w:color="auto"/>
        <w:bottom w:val="none" w:sz="0" w:space="0" w:color="auto"/>
        <w:right w:val="none" w:sz="0" w:space="0" w:color="auto"/>
      </w:divBdr>
    </w:div>
    <w:div w:id="1150438417">
      <w:bodyDiv w:val="1"/>
      <w:marLeft w:val="0"/>
      <w:marRight w:val="0"/>
      <w:marTop w:val="0"/>
      <w:marBottom w:val="0"/>
      <w:divBdr>
        <w:top w:val="none" w:sz="0" w:space="0" w:color="auto"/>
        <w:left w:val="none" w:sz="0" w:space="0" w:color="auto"/>
        <w:bottom w:val="none" w:sz="0" w:space="0" w:color="auto"/>
        <w:right w:val="none" w:sz="0" w:space="0" w:color="auto"/>
      </w:divBdr>
    </w:div>
    <w:div w:id="1150516027">
      <w:bodyDiv w:val="1"/>
      <w:marLeft w:val="0"/>
      <w:marRight w:val="0"/>
      <w:marTop w:val="0"/>
      <w:marBottom w:val="0"/>
      <w:divBdr>
        <w:top w:val="none" w:sz="0" w:space="0" w:color="auto"/>
        <w:left w:val="none" w:sz="0" w:space="0" w:color="auto"/>
        <w:bottom w:val="none" w:sz="0" w:space="0" w:color="auto"/>
        <w:right w:val="none" w:sz="0" w:space="0" w:color="auto"/>
      </w:divBdr>
    </w:div>
    <w:div w:id="1151019176">
      <w:bodyDiv w:val="1"/>
      <w:marLeft w:val="0"/>
      <w:marRight w:val="0"/>
      <w:marTop w:val="0"/>
      <w:marBottom w:val="0"/>
      <w:divBdr>
        <w:top w:val="none" w:sz="0" w:space="0" w:color="auto"/>
        <w:left w:val="none" w:sz="0" w:space="0" w:color="auto"/>
        <w:bottom w:val="none" w:sz="0" w:space="0" w:color="auto"/>
        <w:right w:val="none" w:sz="0" w:space="0" w:color="auto"/>
      </w:divBdr>
    </w:div>
    <w:div w:id="1151020887">
      <w:bodyDiv w:val="1"/>
      <w:marLeft w:val="0"/>
      <w:marRight w:val="0"/>
      <w:marTop w:val="0"/>
      <w:marBottom w:val="0"/>
      <w:divBdr>
        <w:top w:val="none" w:sz="0" w:space="0" w:color="auto"/>
        <w:left w:val="none" w:sz="0" w:space="0" w:color="auto"/>
        <w:bottom w:val="none" w:sz="0" w:space="0" w:color="auto"/>
        <w:right w:val="none" w:sz="0" w:space="0" w:color="auto"/>
      </w:divBdr>
    </w:div>
    <w:div w:id="1153183930">
      <w:bodyDiv w:val="1"/>
      <w:marLeft w:val="0"/>
      <w:marRight w:val="0"/>
      <w:marTop w:val="0"/>
      <w:marBottom w:val="0"/>
      <w:divBdr>
        <w:top w:val="none" w:sz="0" w:space="0" w:color="auto"/>
        <w:left w:val="none" w:sz="0" w:space="0" w:color="auto"/>
        <w:bottom w:val="none" w:sz="0" w:space="0" w:color="auto"/>
        <w:right w:val="none" w:sz="0" w:space="0" w:color="auto"/>
      </w:divBdr>
    </w:div>
    <w:div w:id="1159539409">
      <w:bodyDiv w:val="1"/>
      <w:marLeft w:val="0"/>
      <w:marRight w:val="0"/>
      <w:marTop w:val="0"/>
      <w:marBottom w:val="0"/>
      <w:divBdr>
        <w:top w:val="none" w:sz="0" w:space="0" w:color="auto"/>
        <w:left w:val="none" w:sz="0" w:space="0" w:color="auto"/>
        <w:bottom w:val="none" w:sz="0" w:space="0" w:color="auto"/>
        <w:right w:val="none" w:sz="0" w:space="0" w:color="auto"/>
      </w:divBdr>
    </w:div>
    <w:div w:id="1159612042">
      <w:bodyDiv w:val="1"/>
      <w:marLeft w:val="0"/>
      <w:marRight w:val="0"/>
      <w:marTop w:val="0"/>
      <w:marBottom w:val="0"/>
      <w:divBdr>
        <w:top w:val="none" w:sz="0" w:space="0" w:color="auto"/>
        <w:left w:val="none" w:sz="0" w:space="0" w:color="auto"/>
        <w:bottom w:val="none" w:sz="0" w:space="0" w:color="auto"/>
        <w:right w:val="none" w:sz="0" w:space="0" w:color="auto"/>
      </w:divBdr>
    </w:div>
    <w:div w:id="1160193603">
      <w:bodyDiv w:val="1"/>
      <w:marLeft w:val="0"/>
      <w:marRight w:val="0"/>
      <w:marTop w:val="0"/>
      <w:marBottom w:val="0"/>
      <w:divBdr>
        <w:top w:val="none" w:sz="0" w:space="0" w:color="auto"/>
        <w:left w:val="none" w:sz="0" w:space="0" w:color="auto"/>
        <w:bottom w:val="none" w:sz="0" w:space="0" w:color="auto"/>
        <w:right w:val="none" w:sz="0" w:space="0" w:color="auto"/>
      </w:divBdr>
    </w:div>
    <w:div w:id="1161657357">
      <w:bodyDiv w:val="1"/>
      <w:marLeft w:val="0"/>
      <w:marRight w:val="0"/>
      <w:marTop w:val="0"/>
      <w:marBottom w:val="0"/>
      <w:divBdr>
        <w:top w:val="none" w:sz="0" w:space="0" w:color="auto"/>
        <w:left w:val="none" w:sz="0" w:space="0" w:color="auto"/>
        <w:bottom w:val="none" w:sz="0" w:space="0" w:color="auto"/>
        <w:right w:val="none" w:sz="0" w:space="0" w:color="auto"/>
      </w:divBdr>
    </w:div>
    <w:div w:id="1164051979">
      <w:bodyDiv w:val="1"/>
      <w:marLeft w:val="0"/>
      <w:marRight w:val="0"/>
      <w:marTop w:val="0"/>
      <w:marBottom w:val="0"/>
      <w:divBdr>
        <w:top w:val="none" w:sz="0" w:space="0" w:color="auto"/>
        <w:left w:val="none" w:sz="0" w:space="0" w:color="auto"/>
        <w:bottom w:val="none" w:sz="0" w:space="0" w:color="auto"/>
        <w:right w:val="none" w:sz="0" w:space="0" w:color="auto"/>
      </w:divBdr>
    </w:div>
    <w:div w:id="1165245653">
      <w:bodyDiv w:val="1"/>
      <w:marLeft w:val="0"/>
      <w:marRight w:val="0"/>
      <w:marTop w:val="0"/>
      <w:marBottom w:val="0"/>
      <w:divBdr>
        <w:top w:val="none" w:sz="0" w:space="0" w:color="auto"/>
        <w:left w:val="none" w:sz="0" w:space="0" w:color="auto"/>
        <w:bottom w:val="none" w:sz="0" w:space="0" w:color="auto"/>
        <w:right w:val="none" w:sz="0" w:space="0" w:color="auto"/>
      </w:divBdr>
    </w:div>
    <w:div w:id="1165433138">
      <w:bodyDiv w:val="1"/>
      <w:marLeft w:val="0"/>
      <w:marRight w:val="0"/>
      <w:marTop w:val="0"/>
      <w:marBottom w:val="0"/>
      <w:divBdr>
        <w:top w:val="none" w:sz="0" w:space="0" w:color="auto"/>
        <w:left w:val="none" w:sz="0" w:space="0" w:color="auto"/>
        <w:bottom w:val="none" w:sz="0" w:space="0" w:color="auto"/>
        <w:right w:val="none" w:sz="0" w:space="0" w:color="auto"/>
      </w:divBdr>
    </w:div>
    <w:div w:id="1165633937">
      <w:bodyDiv w:val="1"/>
      <w:marLeft w:val="0"/>
      <w:marRight w:val="0"/>
      <w:marTop w:val="0"/>
      <w:marBottom w:val="0"/>
      <w:divBdr>
        <w:top w:val="none" w:sz="0" w:space="0" w:color="auto"/>
        <w:left w:val="none" w:sz="0" w:space="0" w:color="auto"/>
        <w:bottom w:val="none" w:sz="0" w:space="0" w:color="auto"/>
        <w:right w:val="none" w:sz="0" w:space="0" w:color="auto"/>
      </w:divBdr>
    </w:div>
    <w:div w:id="1166480407">
      <w:bodyDiv w:val="1"/>
      <w:marLeft w:val="0"/>
      <w:marRight w:val="0"/>
      <w:marTop w:val="0"/>
      <w:marBottom w:val="0"/>
      <w:divBdr>
        <w:top w:val="none" w:sz="0" w:space="0" w:color="auto"/>
        <w:left w:val="none" w:sz="0" w:space="0" w:color="auto"/>
        <w:bottom w:val="none" w:sz="0" w:space="0" w:color="auto"/>
        <w:right w:val="none" w:sz="0" w:space="0" w:color="auto"/>
      </w:divBdr>
    </w:div>
    <w:div w:id="1168442910">
      <w:bodyDiv w:val="1"/>
      <w:marLeft w:val="0"/>
      <w:marRight w:val="0"/>
      <w:marTop w:val="0"/>
      <w:marBottom w:val="0"/>
      <w:divBdr>
        <w:top w:val="none" w:sz="0" w:space="0" w:color="auto"/>
        <w:left w:val="none" w:sz="0" w:space="0" w:color="auto"/>
        <w:bottom w:val="none" w:sz="0" w:space="0" w:color="auto"/>
        <w:right w:val="none" w:sz="0" w:space="0" w:color="auto"/>
      </w:divBdr>
    </w:div>
    <w:div w:id="1168517696">
      <w:bodyDiv w:val="1"/>
      <w:marLeft w:val="0"/>
      <w:marRight w:val="0"/>
      <w:marTop w:val="0"/>
      <w:marBottom w:val="0"/>
      <w:divBdr>
        <w:top w:val="none" w:sz="0" w:space="0" w:color="auto"/>
        <w:left w:val="none" w:sz="0" w:space="0" w:color="auto"/>
        <w:bottom w:val="none" w:sz="0" w:space="0" w:color="auto"/>
        <w:right w:val="none" w:sz="0" w:space="0" w:color="auto"/>
      </w:divBdr>
    </w:div>
    <w:div w:id="1169977630">
      <w:bodyDiv w:val="1"/>
      <w:marLeft w:val="0"/>
      <w:marRight w:val="0"/>
      <w:marTop w:val="0"/>
      <w:marBottom w:val="0"/>
      <w:divBdr>
        <w:top w:val="none" w:sz="0" w:space="0" w:color="auto"/>
        <w:left w:val="none" w:sz="0" w:space="0" w:color="auto"/>
        <w:bottom w:val="none" w:sz="0" w:space="0" w:color="auto"/>
        <w:right w:val="none" w:sz="0" w:space="0" w:color="auto"/>
      </w:divBdr>
    </w:div>
    <w:div w:id="1170944570">
      <w:bodyDiv w:val="1"/>
      <w:marLeft w:val="0"/>
      <w:marRight w:val="0"/>
      <w:marTop w:val="0"/>
      <w:marBottom w:val="0"/>
      <w:divBdr>
        <w:top w:val="none" w:sz="0" w:space="0" w:color="auto"/>
        <w:left w:val="none" w:sz="0" w:space="0" w:color="auto"/>
        <w:bottom w:val="none" w:sz="0" w:space="0" w:color="auto"/>
        <w:right w:val="none" w:sz="0" w:space="0" w:color="auto"/>
      </w:divBdr>
    </w:div>
    <w:div w:id="1171333866">
      <w:bodyDiv w:val="1"/>
      <w:marLeft w:val="0"/>
      <w:marRight w:val="0"/>
      <w:marTop w:val="0"/>
      <w:marBottom w:val="0"/>
      <w:divBdr>
        <w:top w:val="none" w:sz="0" w:space="0" w:color="auto"/>
        <w:left w:val="none" w:sz="0" w:space="0" w:color="auto"/>
        <w:bottom w:val="none" w:sz="0" w:space="0" w:color="auto"/>
        <w:right w:val="none" w:sz="0" w:space="0" w:color="auto"/>
      </w:divBdr>
    </w:div>
    <w:div w:id="1173834303">
      <w:bodyDiv w:val="1"/>
      <w:marLeft w:val="0"/>
      <w:marRight w:val="0"/>
      <w:marTop w:val="0"/>
      <w:marBottom w:val="0"/>
      <w:divBdr>
        <w:top w:val="none" w:sz="0" w:space="0" w:color="auto"/>
        <w:left w:val="none" w:sz="0" w:space="0" w:color="auto"/>
        <w:bottom w:val="none" w:sz="0" w:space="0" w:color="auto"/>
        <w:right w:val="none" w:sz="0" w:space="0" w:color="auto"/>
      </w:divBdr>
    </w:div>
    <w:div w:id="1175806714">
      <w:bodyDiv w:val="1"/>
      <w:marLeft w:val="0"/>
      <w:marRight w:val="0"/>
      <w:marTop w:val="0"/>
      <w:marBottom w:val="0"/>
      <w:divBdr>
        <w:top w:val="none" w:sz="0" w:space="0" w:color="auto"/>
        <w:left w:val="none" w:sz="0" w:space="0" w:color="auto"/>
        <w:bottom w:val="none" w:sz="0" w:space="0" w:color="auto"/>
        <w:right w:val="none" w:sz="0" w:space="0" w:color="auto"/>
      </w:divBdr>
    </w:div>
    <w:div w:id="1176580906">
      <w:bodyDiv w:val="1"/>
      <w:marLeft w:val="0"/>
      <w:marRight w:val="0"/>
      <w:marTop w:val="0"/>
      <w:marBottom w:val="0"/>
      <w:divBdr>
        <w:top w:val="none" w:sz="0" w:space="0" w:color="auto"/>
        <w:left w:val="none" w:sz="0" w:space="0" w:color="auto"/>
        <w:bottom w:val="none" w:sz="0" w:space="0" w:color="auto"/>
        <w:right w:val="none" w:sz="0" w:space="0" w:color="auto"/>
      </w:divBdr>
    </w:div>
    <w:div w:id="1176730642">
      <w:bodyDiv w:val="1"/>
      <w:marLeft w:val="0"/>
      <w:marRight w:val="0"/>
      <w:marTop w:val="0"/>
      <w:marBottom w:val="0"/>
      <w:divBdr>
        <w:top w:val="none" w:sz="0" w:space="0" w:color="auto"/>
        <w:left w:val="none" w:sz="0" w:space="0" w:color="auto"/>
        <w:bottom w:val="none" w:sz="0" w:space="0" w:color="auto"/>
        <w:right w:val="none" w:sz="0" w:space="0" w:color="auto"/>
      </w:divBdr>
    </w:div>
    <w:div w:id="1182666183">
      <w:bodyDiv w:val="1"/>
      <w:marLeft w:val="0"/>
      <w:marRight w:val="0"/>
      <w:marTop w:val="0"/>
      <w:marBottom w:val="0"/>
      <w:divBdr>
        <w:top w:val="none" w:sz="0" w:space="0" w:color="auto"/>
        <w:left w:val="none" w:sz="0" w:space="0" w:color="auto"/>
        <w:bottom w:val="none" w:sz="0" w:space="0" w:color="auto"/>
        <w:right w:val="none" w:sz="0" w:space="0" w:color="auto"/>
      </w:divBdr>
    </w:div>
    <w:div w:id="1184903539">
      <w:bodyDiv w:val="1"/>
      <w:marLeft w:val="0"/>
      <w:marRight w:val="0"/>
      <w:marTop w:val="0"/>
      <w:marBottom w:val="0"/>
      <w:divBdr>
        <w:top w:val="none" w:sz="0" w:space="0" w:color="auto"/>
        <w:left w:val="none" w:sz="0" w:space="0" w:color="auto"/>
        <w:bottom w:val="none" w:sz="0" w:space="0" w:color="auto"/>
        <w:right w:val="none" w:sz="0" w:space="0" w:color="auto"/>
      </w:divBdr>
    </w:div>
    <w:div w:id="1185559198">
      <w:bodyDiv w:val="1"/>
      <w:marLeft w:val="0"/>
      <w:marRight w:val="0"/>
      <w:marTop w:val="0"/>
      <w:marBottom w:val="0"/>
      <w:divBdr>
        <w:top w:val="none" w:sz="0" w:space="0" w:color="auto"/>
        <w:left w:val="none" w:sz="0" w:space="0" w:color="auto"/>
        <w:bottom w:val="none" w:sz="0" w:space="0" w:color="auto"/>
        <w:right w:val="none" w:sz="0" w:space="0" w:color="auto"/>
      </w:divBdr>
    </w:div>
    <w:div w:id="1187937948">
      <w:bodyDiv w:val="1"/>
      <w:marLeft w:val="0"/>
      <w:marRight w:val="0"/>
      <w:marTop w:val="0"/>
      <w:marBottom w:val="0"/>
      <w:divBdr>
        <w:top w:val="none" w:sz="0" w:space="0" w:color="auto"/>
        <w:left w:val="none" w:sz="0" w:space="0" w:color="auto"/>
        <w:bottom w:val="none" w:sz="0" w:space="0" w:color="auto"/>
        <w:right w:val="none" w:sz="0" w:space="0" w:color="auto"/>
      </w:divBdr>
    </w:div>
    <w:div w:id="1189099170">
      <w:bodyDiv w:val="1"/>
      <w:marLeft w:val="0"/>
      <w:marRight w:val="0"/>
      <w:marTop w:val="0"/>
      <w:marBottom w:val="0"/>
      <w:divBdr>
        <w:top w:val="none" w:sz="0" w:space="0" w:color="auto"/>
        <w:left w:val="none" w:sz="0" w:space="0" w:color="auto"/>
        <w:bottom w:val="none" w:sz="0" w:space="0" w:color="auto"/>
        <w:right w:val="none" w:sz="0" w:space="0" w:color="auto"/>
      </w:divBdr>
    </w:div>
    <w:div w:id="1192305984">
      <w:bodyDiv w:val="1"/>
      <w:marLeft w:val="0"/>
      <w:marRight w:val="0"/>
      <w:marTop w:val="0"/>
      <w:marBottom w:val="0"/>
      <w:divBdr>
        <w:top w:val="none" w:sz="0" w:space="0" w:color="auto"/>
        <w:left w:val="none" w:sz="0" w:space="0" w:color="auto"/>
        <w:bottom w:val="none" w:sz="0" w:space="0" w:color="auto"/>
        <w:right w:val="none" w:sz="0" w:space="0" w:color="auto"/>
      </w:divBdr>
    </w:div>
    <w:div w:id="1194198215">
      <w:bodyDiv w:val="1"/>
      <w:marLeft w:val="0"/>
      <w:marRight w:val="0"/>
      <w:marTop w:val="0"/>
      <w:marBottom w:val="0"/>
      <w:divBdr>
        <w:top w:val="none" w:sz="0" w:space="0" w:color="auto"/>
        <w:left w:val="none" w:sz="0" w:space="0" w:color="auto"/>
        <w:bottom w:val="none" w:sz="0" w:space="0" w:color="auto"/>
        <w:right w:val="none" w:sz="0" w:space="0" w:color="auto"/>
      </w:divBdr>
    </w:div>
    <w:div w:id="1195734349">
      <w:bodyDiv w:val="1"/>
      <w:marLeft w:val="0"/>
      <w:marRight w:val="0"/>
      <w:marTop w:val="0"/>
      <w:marBottom w:val="0"/>
      <w:divBdr>
        <w:top w:val="none" w:sz="0" w:space="0" w:color="auto"/>
        <w:left w:val="none" w:sz="0" w:space="0" w:color="auto"/>
        <w:bottom w:val="none" w:sz="0" w:space="0" w:color="auto"/>
        <w:right w:val="none" w:sz="0" w:space="0" w:color="auto"/>
      </w:divBdr>
    </w:div>
    <w:div w:id="1195970816">
      <w:bodyDiv w:val="1"/>
      <w:marLeft w:val="0"/>
      <w:marRight w:val="0"/>
      <w:marTop w:val="0"/>
      <w:marBottom w:val="0"/>
      <w:divBdr>
        <w:top w:val="none" w:sz="0" w:space="0" w:color="auto"/>
        <w:left w:val="none" w:sz="0" w:space="0" w:color="auto"/>
        <w:bottom w:val="none" w:sz="0" w:space="0" w:color="auto"/>
        <w:right w:val="none" w:sz="0" w:space="0" w:color="auto"/>
      </w:divBdr>
    </w:div>
    <w:div w:id="1197043980">
      <w:bodyDiv w:val="1"/>
      <w:marLeft w:val="0"/>
      <w:marRight w:val="0"/>
      <w:marTop w:val="0"/>
      <w:marBottom w:val="0"/>
      <w:divBdr>
        <w:top w:val="none" w:sz="0" w:space="0" w:color="auto"/>
        <w:left w:val="none" w:sz="0" w:space="0" w:color="auto"/>
        <w:bottom w:val="none" w:sz="0" w:space="0" w:color="auto"/>
        <w:right w:val="none" w:sz="0" w:space="0" w:color="auto"/>
      </w:divBdr>
    </w:div>
    <w:div w:id="1199926242">
      <w:bodyDiv w:val="1"/>
      <w:marLeft w:val="0"/>
      <w:marRight w:val="0"/>
      <w:marTop w:val="0"/>
      <w:marBottom w:val="0"/>
      <w:divBdr>
        <w:top w:val="none" w:sz="0" w:space="0" w:color="auto"/>
        <w:left w:val="none" w:sz="0" w:space="0" w:color="auto"/>
        <w:bottom w:val="none" w:sz="0" w:space="0" w:color="auto"/>
        <w:right w:val="none" w:sz="0" w:space="0" w:color="auto"/>
      </w:divBdr>
    </w:div>
    <w:div w:id="1201700293">
      <w:bodyDiv w:val="1"/>
      <w:marLeft w:val="0"/>
      <w:marRight w:val="0"/>
      <w:marTop w:val="0"/>
      <w:marBottom w:val="0"/>
      <w:divBdr>
        <w:top w:val="none" w:sz="0" w:space="0" w:color="auto"/>
        <w:left w:val="none" w:sz="0" w:space="0" w:color="auto"/>
        <w:bottom w:val="none" w:sz="0" w:space="0" w:color="auto"/>
        <w:right w:val="none" w:sz="0" w:space="0" w:color="auto"/>
      </w:divBdr>
    </w:div>
    <w:div w:id="1202476735">
      <w:bodyDiv w:val="1"/>
      <w:marLeft w:val="0"/>
      <w:marRight w:val="0"/>
      <w:marTop w:val="0"/>
      <w:marBottom w:val="0"/>
      <w:divBdr>
        <w:top w:val="none" w:sz="0" w:space="0" w:color="auto"/>
        <w:left w:val="none" w:sz="0" w:space="0" w:color="auto"/>
        <w:bottom w:val="none" w:sz="0" w:space="0" w:color="auto"/>
        <w:right w:val="none" w:sz="0" w:space="0" w:color="auto"/>
      </w:divBdr>
    </w:div>
    <w:div w:id="1214079079">
      <w:bodyDiv w:val="1"/>
      <w:marLeft w:val="0"/>
      <w:marRight w:val="0"/>
      <w:marTop w:val="0"/>
      <w:marBottom w:val="0"/>
      <w:divBdr>
        <w:top w:val="none" w:sz="0" w:space="0" w:color="auto"/>
        <w:left w:val="none" w:sz="0" w:space="0" w:color="auto"/>
        <w:bottom w:val="none" w:sz="0" w:space="0" w:color="auto"/>
        <w:right w:val="none" w:sz="0" w:space="0" w:color="auto"/>
      </w:divBdr>
    </w:div>
    <w:div w:id="1214463977">
      <w:bodyDiv w:val="1"/>
      <w:marLeft w:val="0"/>
      <w:marRight w:val="0"/>
      <w:marTop w:val="0"/>
      <w:marBottom w:val="0"/>
      <w:divBdr>
        <w:top w:val="none" w:sz="0" w:space="0" w:color="auto"/>
        <w:left w:val="none" w:sz="0" w:space="0" w:color="auto"/>
        <w:bottom w:val="none" w:sz="0" w:space="0" w:color="auto"/>
        <w:right w:val="none" w:sz="0" w:space="0" w:color="auto"/>
      </w:divBdr>
    </w:div>
    <w:div w:id="1216548556">
      <w:bodyDiv w:val="1"/>
      <w:marLeft w:val="0"/>
      <w:marRight w:val="0"/>
      <w:marTop w:val="0"/>
      <w:marBottom w:val="0"/>
      <w:divBdr>
        <w:top w:val="none" w:sz="0" w:space="0" w:color="auto"/>
        <w:left w:val="none" w:sz="0" w:space="0" w:color="auto"/>
        <w:bottom w:val="none" w:sz="0" w:space="0" w:color="auto"/>
        <w:right w:val="none" w:sz="0" w:space="0" w:color="auto"/>
      </w:divBdr>
    </w:div>
    <w:div w:id="1216626543">
      <w:bodyDiv w:val="1"/>
      <w:marLeft w:val="0"/>
      <w:marRight w:val="0"/>
      <w:marTop w:val="0"/>
      <w:marBottom w:val="0"/>
      <w:divBdr>
        <w:top w:val="none" w:sz="0" w:space="0" w:color="auto"/>
        <w:left w:val="none" w:sz="0" w:space="0" w:color="auto"/>
        <w:bottom w:val="none" w:sz="0" w:space="0" w:color="auto"/>
        <w:right w:val="none" w:sz="0" w:space="0" w:color="auto"/>
      </w:divBdr>
    </w:div>
    <w:div w:id="1219511315">
      <w:bodyDiv w:val="1"/>
      <w:marLeft w:val="0"/>
      <w:marRight w:val="0"/>
      <w:marTop w:val="0"/>
      <w:marBottom w:val="0"/>
      <w:divBdr>
        <w:top w:val="none" w:sz="0" w:space="0" w:color="auto"/>
        <w:left w:val="none" w:sz="0" w:space="0" w:color="auto"/>
        <w:bottom w:val="none" w:sz="0" w:space="0" w:color="auto"/>
        <w:right w:val="none" w:sz="0" w:space="0" w:color="auto"/>
      </w:divBdr>
    </w:div>
    <w:div w:id="1219516230">
      <w:bodyDiv w:val="1"/>
      <w:marLeft w:val="0"/>
      <w:marRight w:val="0"/>
      <w:marTop w:val="0"/>
      <w:marBottom w:val="0"/>
      <w:divBdr>
        <w:top w:val="none" w:sz="0" w:space="0" w:color="auto"/>
        <w:left w:val="none" w:sz="0" w:space="0" w:color="auto"/>
        <w:bottom w:val="none" w:sz="0" w:space="0" w:color="auto"/>
        <w:right w:val="none" w:sz="0" w:space="0" w:color="auto"/>
      </w:divBdr>
    </w:div>
    <w:div w:id="1220704427">
      <w:bodyDiv w:val="1"/>
      <w:marLeft w:val="0"/>
      <w:marRight w:val="0"/>
      <w:marTop w:val="0"/>
      <w:marBottom w:val="0"/>
      <w:divBdr>
        <w:top w:val="none" w:sz="0" w:space="0" w:color="auto"/>
        <w:left w:val="none" w:sz="0" w:space="0" w:color="auto"/>
        <w:bottom w:val="none" w:sz="0" w:space="0" w:color="auto"/>
        <w:right w:val="none" w:sz="0" w:space="0" w:color="auto"/>
      </w:divBdr>
    </w:div>
    <w:div w:id="1221595360">
      <w:bodyDiv w:val="1"/>
      <w:marLeft w:val="0"/>
      <w:marRight w:val="0"/>
      <w:marTop w:val="0"/>
      <w:marBottom w:val="0"/>
      <w:divBdr>
        <w:top w:val="none" w:sz="0" w:space="0" w:color="auto"/>
        <w:left w:val="none" w:sz="0" w:space="0" w:color="auto"/>
        <w:bottom w:val="none" w:sz="0" w:space="0" w:color="auto"/>
        <w:right w:val="none" w:sz="0" w:space="0" w:color="auto"/>
      </w:divBdr>
    </w:div>
    <w:div w:id="1222405968">
      <w:bodyDiv w:val="1"/>
      <w:marLeft w:val="0"/>
      <w:marRight w:val="0"/>
      <w:marTop w:val="0"/>
      <w:marBottom w:val="0"/>
      <w:divBdr>
        <w:top w:val="none" w:sz="0" w:space="0" w:color="auto"/>
        <w:left w:val="none" w:sz="0" w:space="0" w:color="auto"/>
        <w:bottom w:val="none" w:sz="0" w:space="0" w:color="auto"/>
        <w:right w:val="none" w:sz="0" w:space="0" w:color="auto"/>
      </w:divBdr>
    </w:div>
    <w:div w:id="1223179929">
      <w:bodyDiv w:val="1"/>
      <w:marLeft w:val="0"/>
      <w:marRight w:val="0"/>
      <w:marTop w:val="0"/>
      <w:marBottom w:val="0"/>
      <w:divBdr>
        <w:top w:val="none" w:sz="0" w:space="0" w:color="auto"/>
        <w:left w:val="none" w:sz="0" w:space="0" w:color="auto"/>
        <w:bottom w:val="none" w:sz="0" w:space="0" w:color="auto"/>
        <w:right w:val="none" w:sz="0" w:space="0" w:color="auto"/>
      </w:divBdr>
    </w:div>
    <w:div w:id="1223444642">
      <w:bodyDiv w:val="1"/>
      <w:marLeft w:val="0"/>
      <w:marRight w:val="0"/>
      <w:marTop w:val="0"/>
      <w:marBottom w:val="0"/>
      <w:divBdr>
        <w:top w:val="none" w:sz="0" w:space="0" w:color="auto"/>
        <w:left w:val="none" w:sz="0" w:space="0" w:color="auto"/>
        <w:bottom w:val="none" w:sz="0" w:space="0" w:color="auto"/>
        <w:right w:val="none" w:sz="0" w:space="0" w:color="auto"/>
      </w:divBdr>
    </w:div>
    <w:div w:id="1225869025">
      <w:bodyDiv w:val="1"/>
      <w:marLeft w:val="0"/>
      <w:marRight w:val="0"/>
      <w:marTop w:val="0"/>
      <w:marBottom w:val="0"/>
      <w:divBdr>
        <w:top w:val="none" w:sz="0" w:space="0" w:color="auto"/>
        <w:left w:val="none" w:sz="0" w:space="0" w:color="auto"/>
        <w:bottom w:val="none" w:sz="0" w:space="0" w:color="auto"/>
        <w:right w:val="none" w:sz="0" w:space="0" w:color="auto"/>
      </w:divBdr>
    </w:div>
    <w:div w:id="1226182921">
      <w:bodyDiv w:val="1"/>
      <w:marLeft w:val="0"/>
      <w:marRight w:val="0"/>
      <w:marTop w:val="0"/>
      <w:marBottom w:val="0"/>
      <w:divBdr>
        <w:top w:val="none" w:sz="0" w:space="0" w:color="auto"/>
        <w:left w:val="none" w:sz="0" w:space="0" w:color="auto"/>
        <w:bottom w:val="none" w:sz="0" w:space="0" w:color="auto"/>
        <w:right w:val="none" w:sz="0" w:space="0" w:color="auto"/>
      </w:divBdr>
    </w:div>
    <w:div w:id="1226726135">
      <w:bodyDiv w:val="1"/>
      <w:marLeft w:val="0"/>
      <w:marRight w:val="0"/>
      <w:marTop w:val="0"/>
      <w:marBottom w:val="0"/>
      <w:divBdr>
        <w:top w:val="none" w:sz="0" w:space="0" w:color="auto"/>
        <w:left w:val="none" w:sz="0" w:space="0" w:color="auto"/>
        <w:bottom w:val="none" w:sz="0" w:space="0" w:color="auto"/>
        <w:right w:val="none" w:sz="0" w:space="0" w:color="auto"/>
      </w:divBdr>
    </w:div>
    <w:div w:id="1227760314">
      <w:bodyDiv w:val="1"/>
      <w:marLeft w:val="0"/>
      <w:marRight w:val="0"/>
      <w:marTop w:val="0"/>
      <w:marBottom w:val="0"/>
      <w:divBdr>
        <w:top w:val="none" w:sz="0" w:space="0" w:color="auto"/>
        <w:left w:val="none" w:sz="0" w:space="0" w:color="auto"/>
        <w:bottom w:val="none" w:sz="0" w:space="0" w:color="auto"/>
        <w:right w:val="none" w:sz="0" w:space="0" w:color="auto"/>
      </w:divBdr>
    </w:div>
    <w:div w:id="1228613605">
      <w:bodyDiv w:val="1"/>
      <w:marLeft w:val="0"/>
      <w:marRight w:val="0"/>
      <w:marTop w:val="0"/>
      <w:marBottom w:val="0"/>
      <w:divBdr>
        <w:top w:val="none" w:sz="0" w:space="0" w:color="auto"/>
        <w:left w:val="none" w:sz="0" w:space="0" w:color="auto"/>
        <w:bottom w:val="none" w:sz="0" w:space="0" w:color="auto"/>
        <w:right w:val="none" w:sz="0" w:space="0" w:color="auto"/>
      </w:divBdr>
    </w:div>
    <w:div w:id="1228801627">
      <w:bodyDiv w:val="1"/>
      <w:marLeft w:val="0"/>
      <w:marRight w:val="0"/>
      <w:marTop w:val="0"/>
      <w:marBottom w:val="0"/>
      <w:divBdr>
        <w:top w:val="none" w:sz="0" w:space="0" w:color="auto"/>
        <w:left w:val="none" w:sz="0" w:space="0" w:color="auto"/>
        <w:bottom w:val="none" w:sz="0" w:space="0" w:color="auto"/>
        <w:right w:val="none" w:sz="0" w:space="0" w:color="auto"/>
      </w:divBdr>
    </w:div>
    <w:div w:id="1231891104">
      <w:bodyDiv w:val="1"/>
      <w:marLeft w:val="0"/>
      <w:marRight w:val="0"/>
      <w:marTop w:val="0"/>
      <w:marBottom w:val="0"/>
      <w:divBdr>
        <w:top w:val="none" w:sz="0" w:space="0" w:color="auto"/>
        <w:left w:val="none" w:sz="0" w:space="0" w:color="auto"/>
        <w:bottom w:val="none" w:sz="0" w:space="0" w:color="auto"/>
        <w:right w:val="none" w:sz="0" w:space="0" w:color="auto"/>
      </w:divBdr>
    </w:div>
    <w:div w:id="1232809862">
      <w:bodyDiv w:val="1"/>
      <w:marLeft w:val="0"/>
      <w:marRight w:val="0"/>
      <w:marTop w:val="0"/>
      <w:marBottom w:val="0"/>
      <w:divBdr>
        <w:top w:val="none" w:sz="0" w:space="0" w:color="auto"/>
        <w:left w:val="none" w:sz="0" w:space="0" w:color="auto"/>
        <w:bottom w:val="none" w:sz="0" w:space="0" w:color="auto"/>
        <w:right w:val="none" w:sz="0" w:space="0" w:color="auto"/>
      </w:divBdr>
    </w:div>
    <w:div w:id="1238125707">
      <w:bodyDiv w:val="1"/>
      <w:marLeft w:val="0"/>
      <w:marRight w:val="0"/>
      <w:marTop w:val="0"/>
      <w:marBottom w:val="0"/>
      <w:divBdr>
        <w:top w:val="none" w:sz="0" w:space="0" w:color="auto"/>
        <w:left w:val="none" w:sz="0" w:space="0" w:color="auto"/>
        <w:bottom w:val="none" w:sz="0" w:space="0" w:color="auto"/>
        <w:right w:val="none" w:sz="0" w:space="0" w:color="auto"/>
      </w:divBdr>
    </w:div>
    <w:div w:id="1239747071">
      <w:bodyDiv w:val="1"/>
      <w:marLeft w:val="0"/>
      <w:marRight w:val="0"/>
      <w:marTop w:val="0"/>
      <w:marBottom w:val="0"/>
      <w:divBdr>
        <w:top w:val="none" w:sz="0" w:space="0" w:color="auto"/>
        <w:left w:val="none" w:sz="0" w:space="0" w:color="auto"/>
        <w:bottom w:val="none" w:sz="0" w:space="0" w:color="auto"/>
        <w:right w:val="none" w:sz="0" w:space="0" w:color="auto"/>
      </w:divBdr>
    </w:div>
    <w:div w:id="1240094560">
      <w:bodyDiv w:val="1"/>
      <w:marLeft w:val="0"/>
      <w:marRight w:val="0"/>
      <w:marTop w:val="0"/>
      <w:marBottom w:val="0"/>
      <w:divBdr>
        <w:top w:val="none" w:sz="0" w:space="0" w:color="auto"/>
        <w:left w:val="none" w:sz="0" w:space="0" w:color="auto"/>
        <w:bottom w:val="none" w:sz="0" w:space="0" w:color="auto"/>
        <w:right w:val="none" w:sz="0" w:space="0" w:color="auto"/>
      </w:divBdr>
    </w:div>
    <w:div w:id="1242062196">
      <w:bodyDiv w:val="1"/>
      <w:marLeft w:val="0"/>
      <w:marRight w:val="0"/>
      <w:marTop w:val="0"/>
      <w:marBottom w:val="0"/>
      <w:divBdr>
        <w:top w:val="none" w:sz="0" w:space="0" w:color="auto"/>
        <w:left w:val="none" w:sz="0" w:space="0" w:color="auto"/>
        <w:bottom w:val="none" w:sz="0" w:space="0" w:color="auto"/>
        <w:right w:val="none" w:sz="0" w:space="0" w:color="auto"/>
      </w:divBdr>
    </w:div>
    <w:div w:id="1242567872">
      <w:bodyDiv w:val="1"/>
      <w:marLeft w:val="0"/>
      <w:marRight w:val="0"/>
      <w:marTop w:val="0"/>
      <w:marBottom w:val="0"/>
      <w:divBdr>
        <w:top w:val="none" w:sz="0" w:space="0" w:color="auto"/>
        <w:left w:val="none" w:sz="0" w:space="0" w:color="auto"/>
        <w:bottom w:val="none" w:sz="0" w:space="0" w:color="auto"/>
        <w:right w:val="none" w:sz="0" w:space="0" w:color="auto"/>
      </w:divBdr>
    </w:div>
    <w:div w:id="1243492227">
      <w:bodyDiv w:val="1"/>
      <w:marLeft w:val="0"/>
      <w:marRight w:val="0"/>
      <w:marTop w:val="0"/>
      <w:marBottom w:val="0"/>
      <w:divBdr>
        <w:top w:val="none" w:sz="0" w:space="0" w:color="auto"/>
        <w:left w:val="none" w:sz="0" w:space="0" w:color="auto"/>
        <w:bottom w:val="none" w:sz="0" w:space="0" w:color="auto"/>
        <w:right w:val="none" w:sz="0" w:space="0" w:color="auto"/>
      </w:divBdr>
    </w:div>
    <w:div w:id="1244605384">
      <w:bodyDiv w:val="1"/>
      <w:marLeft w:val="0"/>
      <w:marRight w:val="0"/>
      <w:marTop w:val="0"/>
      <w:marBottom w:val="0"/>
      <w:divBdr>
        <w:top w:val="none" w:sz="0" w:space="0" w:color="auto"/>
        <w:left w:val="none" w:sz="0" w:space="0" w:color="auto"/>
        <w:bottom w:val="none" w:sz="0" w:space="0" w:color="auto"/>
        <w:right w:val="none" w:sz="0" w:space="0" w:color="auto"/>
      </w:divBdr>
    </w:div>
    <w:div w:id="1245989220">
      <w:bodyDiv w:val="1"/>
      <w:marLeft w:val="0"/>
      <w:marRight w:val="0"/>
      <w:marTop w:val="0"/>
      <w:marBottom w:val="0"/>
      <w:divBdr>
        <w:top w:val="none" w:sz="0" w:space="0" w:color="auto"/>
        <w:left w:val="none" w:sz="0" w:space="0" w:color="auto"/>
        <w:bottom w:val="none" w:sz="0" w:space="0" w:color="auto"/>
        <w:right w:val="none" w:sz="0" w:space="0" w:color="auto"/>
      </w:divBdr>
    </w:div>
    <w:div w:id="1247181630">
      <w:bodyDiv w:val="1"/>
      <w:marLeft w:val="0"/>
      <w:marRight w:val="0"/>
      <w:marTop w:val="0"/>
      <w:marBottom w:val="0"/>
      <w:divBdr>
        <w:top w:val="none" w:sz="0" w:space="0" w:color="auto"/>
        <w:left w:val="none" w:sz="0" w:space="0" w:color="auto"/>
        <w:bottom w:val="none" w:sz="0" w:space="0" w:color="auto"/>
        <w:right w:val="none" w:sz="0" w:space="0" w:color="auto"/>
      </w:divBdr>
    </w:div>
    <w:div w:id="1248032018">
      <w:bodyDiv w:val="1"/>
      <w:marLeft w:val="0"/>
      <w:marRight w:val="0"/>
      <w:marTop w:val="0"/>
      <w:marBottom w:val="0"/>
      <w:divBdr>
        <w:top w:val="none" w:sz="0" w:space="0" w:color="auto"/>
        <w:left w:val="none" w:sz="0" w:space="0" w:color="auto"/>
        <w:bottom w:val="none" w:sz="0" w:space="0" w:color="auto"/>
        <w:right w:val="none" w:sz="0" w:space="0" w:color="auto"/>
      </w:divBdr>
    </w:div>
    <w:div w:id="1250193978">
      <w:bodyDiv w:val="1"/>
      <w:marLeft w:val="0"/>
      <w:marRight w:val="0"/>
      <w:marTop w:val="0"/>
      <w:marBottom w:val="0"/>
      <w:divBdr>
        <w:top w:val="none" w:sz="0" w:space="0" w:color="auto"/>
        <w:left w:val="none" w:sz="0" w:space="0" w:color="auto"/>
        <w:bottom w:val="none" w:sz="0" w:space="0" w:color="auto"/>
        <w:right w:val="none" w:sz="0" w:space="0" w:color="auto"/>
      </w:divBdr>
    </w:div>
    <w:div w:id="1255163725">
      <w:bodyDiv w:val="1"/>
      <w:marLeft w:val="0"/>
      <w:marRight w:val="0"/>
      <w:marTop w:val="0"/>
      <w:marBottom w:val="0"/>
      <w:divBdr>
        <w:top w:val="none" w:sz="0" w:space="0" w:color="auto"/>
        <w:left w:val="none" w:sz="0" w:space="0" w:color="auto"/>
        <w:bottom w:val="none" w:sz="0" w:space="0" w:color="auto"/>
        <w:right w:val="none" w:sz="0" w:space="0" w:color="auto"/>
      </w:divBdr>
    </w:div>
    <w:div w:id="1258323824">
      <w:bodyDiv w:val="1"/>
      <w:marLeft w:val="0"/>
      <w:marRight w:val="0"/>
      <w:marTop w:val="0"/>
      <w:marBottom w:val="0"/>
      <w:divBdr>
        <w:top w:val="none" w:sz="0" w:space="0" w:color="auto"/>
        <w:left w:val="none" w:sz="0" w:space="0" w:color="auto"/>
        <w:bottom w:val="none" w:sz="0" w:space="0" w:color="auto"/>
        <w:right w:val="none" w:sz="0" w:space="0" w:color="auto"/>
      </w:divBdr>
    </w:div>
    <w:div w:id="1258366428">
      <w:bodyDiv w:val="1"/>
      <w:marLeft w:val="0"/>
      <w:marRight w:val="0"/>
      <w:marTop w:val="0"/>
      <w:marBottom w:val="0"/>
      <w:divBdr>
        <w:top w:val="none" w:sz="0" w:space="0" w:color="auto"/>
        <w:left w:val="none" w:sz="0" w:space="0" w:color="auto"/>
        <w:bottom w:val="none" w:sz="0" w:space="0" w:color="auto"/>
        <w:right w:val="none" w:sz="0" w:space="0" w:color="auto"/>
      </w:divBdr>
    </w:div>
    <w:div w:id="1258633009">
      <w:bodyDiv w:val="1"/>
      <w:marLeft w:val="0"/>
      <w:marRight w:val="0"/>
      <w:marTop w:val="0"/>
      <w:marBottom w:val="0"/>
      <w:divBdr>
        <w:top w:val="none" w:sz="0" w:space="0" w:color="auto"/>
        <w:left w:val="none" w:sz="0" w:space="0" w:color="auto"/>
        <w:bottom w:val="none" w:sz="0" w:space="0" w:color="auto"/>
        <w:right w:val="none" w:sz="0" w:space="0" w:color="auto"/>
      </w:divBdr>
    </w:div>
    <w:div w:id="1259872531">
      <w:bodyDiv w:val="1"/>
      <w:marLeft w:val="0"/>
      <w:marRight w:val="0"/>
      <w:marTop w:val="0"/>
      <w:marBottom w:val="0"/>
      <w:divBdr>
        <w:top w:val="none" w:sz="0" w:space="0" w:color="auto"/>
        <w:left w:val="none" w:sz="0" w:space="0" w:color="auto"/>
        <w:bottom w:val="none" w:sz="0" w:space="0" w:color="auto"/>
        <w:right w:val="none" w:sz="0" w:space="0" w:color="auto"/>
      </w:divBdr>
    </w:div>
    <w:div w:id="1260021481">
      <w:bodyDiv w:val="1"/>
      <w:marLeft w:val="0"/>
      <w:marRight w:val="0"/>
      <w:marTop w:val="0"/>
      <w:marBottom w:val="0"/>
      <w:divBdr>
        <w:top w:val="none" w:sz="0" w:space="0" w:color="auto"/>
        <w:left w:val="none" w:sz="0" w:space="0" w:color="auto"/>
        <w:bottom w:val="none" w:sz="0" w:space="0" w:color="auto"/>
        <w:right w:val="none" w:sz="0" w:space="0" w:color="auto"/>
      </w:divBdr>
    </w:div>
    <w:div w:id="1261260002">
      <w:bodyDiv w:val="1"/>
      <w:marLeft w:val="0"/>
      <w:marRight w:val="0"/>
      <w:marTop w:val="0"/>
      <w:marBottom w:val="0"/>
      <w:divBdr>
        <w:top w:val="none" w:sz="0" w:space="0" w:color="auto"/>
        <w:left w:val="none" w:sz="0" w:space="0" w:color="auto"/>
        <w:bottom w:val="none" w:sz="0" w:space="0" w:color="auto"/>
        <w:right w:val="none" w:sz="0" w:space="0" w:color="auto"/>
      </w:divBdr>
    </w:div>
    <w:div w:id="1263031716">
      <w:bodyDiv w:val="1"/>
      <w:marLeft w:val="0"/>
      <w:marRight w:val="0"/>
      <w:marTop w:val="0"/>
      <w:marBottom w:val="0"/>
      <w:divBdr>
        <w:top w:val="none" w:sz="0" w:space="0" w:color="auto"/>
        <w:left w:val="none" w:sz="0" w:space="0" w:color="auto"/>
        <w:bottom w:val="none" w:sz="0" w:space="0" w:color="auto"/>
        <w:right w:val="none" w:sz="0" w:space="0" w:color="auto"/>
      </w:divBdr>
    </w:div>
    <w:div w:id="1263604793">
      <w:bodyDiv w:val="1"/>
      <w:marLeft w:val="0"/>
      <w:marRight w:val="0"/>
      <w:marTop w:val="0"/>
      <w:marBottom w:val="0"/>
      <w:divBdr>
        <w:top w:val="none" w:sz="0" w:space="0" w:color="auto"/>
        <w:left w:val="none" w:sz="0" w:space="0" w:color="auto"/>
        <w:bottom w:val="none" w:sz="0" w:space="0" w:color="auto"/>
        <w:right w:val="none" w:sz="0" w:space="0" w:color="auto"/>
      </w:divBdr>
    </w:div>
    <w:div w:id="1264722046">
      <w:bodyDiv w:val="1"/>
      <w:marLeft w:val="0"/>
      <w:marRight w:val="0"/>
      <w:marTop w:val="0"/>
      <w:marBottom w:val="0"/>
      <w:divBdr>
        <w:top w:val="none" w:sz="0" w:space="0" w:color="auto"/>
        <w:left w:val="none" w:sz="0" w:space="0" w:color="auto"/>
        <w:bottom w:val="none" w:sz="0" w:space="0" w:color="auto"/>
        <w:right w:val="none" w:sz="0" w:space="0" w:color="auto"/>
      </w:divBdr>
    </w:div>
    <w:div w:id="1265577932">
      <w:bodyDiv w:val="1"/>
      <w:marLeft w:val="0"/>
      <w:marRight w:val="0"/>
      <w:marTop w:val="0"/>
      <w:marBottom w:val="0"/>
      <w:divBdr>
        <w:top w:val="none" w:sz="0" w:space="0" w:color="auto"/>
        <w:left w:val="none" w:sz="0" w:space="0" w:color="auto"/>
        <w:bottom w:val="none" w:sz="0" w:space="0" w:color="auto"/>
        <w:right w:val="none" w:sz="0" w:space="0" w:color="auto"/>
      </w:divBdr>
    </w:div>
    <w:div w:id="1266156673">
      <w:bodyDiv w:val="1"/>
      <w:marLeft w:val="0"/>
      <w:marRight w:val="0"/>
      <w:marTop w:val="0"/>
      <w:marBottom w:val="0"/>
      <w:divBdr>
        <w:top w:val="none" w:sz="0" w:space="0" w:color="auto"/>
        <w:left w:val="none" w:sz="0" w:space="0" w:color="auto"/>
        <w:bottom w:val="none" w:sz="0" w:space="0" w:color="auto"/>
        <w:right w:val="none" w:sz="0" w:space="0" w:color="auto"/>
      </w:divBdr>
    </w:div>
    <w:div w:id="1266378859">
      <w:bodyDiv w:val="1"/>
      <w:marLeft w:val="0"/>
      <w:marRight w:val="0"/>
      <w:marTop w:val="0"/>
      <w:marBottom w:val="0"/>
      <w:divBdr>
        <w:top w:val="none" w:sz="0" w:space="0" w:color="auto"/>
        <w:left w:val="none" w:sz="0" w:space="0" w:color="auto"/>
        <w:bottom w:val="none" w:sz="0" w:space="0" w:color="auto"/>
        <w:right w:val="none" w:sz="0" w:space="0" w:color="auto"/>
      </w:divBdr>
    </w:div>
    <w:div w:id="1267497976">
      <w:bodyDiv w:val="1"/>
      <w:marLeft w:val="0"/>
      <w:marRight w:val="0"/>
      <w:marTop w:val="0"/>
      <w:marBottom w:val="0"/>
      <w:divBdr>
        <w:top w:val="none" w:sz="0" w:space="0" w:color="auto"/>
        <w:left w:val="none" w:sz="0" w:space="0" w:color="auto"/>
        <w:bottom w:val="none" w:sz="0" w:space="0" w:color="auto"/>
        <w:right w:val="none" w:sz="0" w:space="0" w:color="auto"/>
      </w:divBdr>
    </w:div>
    <w:div w:id="1267689450">
      <w:bodyDiv w:val="1"/>
      <w:marLeft w:val="0"/>
      <w:marRight w:val="0"/>
      <w:marTop w:val="0"/>
      <w:marBottom w:val="0"/>
      <w:divBdr>
        <w:top w:val="none" w:sz="0" w:space="0" w:color="auto"/>
        <w:left w:val="none" w:sz="0" w:space="0" w:color="auto"/>
        <w:bottom w:val="none" w:sz="0" w:space="0" w:color="auto"/>
        <w:right w:val="none" w:sz="0" w:space="0" w:color="auto"/>
      </w:divBdr>
    </w:div>
    <w:div w:id="1267730653">
      <w:bodyDiv w:val="1"/>
      <w:marLeft w:val="0"/>
      <w:marRight w:val="0"/>
      <w:marTop w:val="0"/>
      <w:marBottom w:val="0"/>
      <w:divBdr>
        <w:top w:val="none" w:sz="0" w:space="0" w:color="auto"/>
        <w:left w:val="none" w:sz="0" w:space="0" w:color="auto"/>
        <w:bottom w:val="none" w:sz="0" w:space="0" w:color="auto"/>
        <w:right w:val="none" w:sz="0" w:space="0" w:color="auto"/>
      </w:divBdr>
    </w:div>
    <w:div w:id="1273243692">
      <w:bodyDiv w:val="1"/>
      <w:marLeft w:val="0"/>
      <w:marRight w:val="0"/>
      <w:marTop w:val="0"/>
      <w:marBottom w:val="0"/>
      <w:divBdr>
        <w:top w:val="none" w:sz="0" w:space="0" w:color="auto"/>
        <w:left w:val="none" w:sz="0" w:space="0" w:color="auto"/>
        <w:bottom w:val="none" w:sz="0" w:space="0" w:color="auto"/>
        <w:right w:val="none" w:sz="0" w:space="0" w:color="auto"/>
      </w:divBdr>
    </w:div>
    <w:div w:id="1277522185">
      <w:bodyDiv w:val="1"/>
      <w:marLeft w:val="0"/>
      <w:marRight w:val="0"/>
      <w:marTop w:val="0"/>
      <w:marBottom w:val="0"/>
      <w:divBdr>
        <w:top w:val="none" w:sz="0" w:space="0" w:color="auto"/>
        <w:left w:val="none" w:sz="0" w:space="0" w:color="auto"/>
        <w:bottom w:val="none" w:sz="0" w:space="0" w:color="auto"/>
        <w:right w:val="none" w:sz="0" w:space="0" w:color="auto"/>
      </w:divBdr>
    </w:div>
    <w:div w:id="1280381113">
      <w:bodyDiv w:val="1"/>
      <w:marLeft w:val="0"/>
      <w:marRight w:val="0"/>
      <w:marTop w:val="0"/>
      <w:marBottom w:val="0"/>
      <w:divBdr>
        <w:top w:val="none" w:sz="0" w:space="0" w:color="auto"/>
        <w:left w:val="none" w:sz="0" w:space="0" w:color="auto"/>
        <w:bottom w:val="none" w:sz="0" w:space="0" w:color="auto"/>
        <w:right w:val="none" w:sz="0" w:space="0" w:color="auto"/>
      </w:divBdr>
    </w:div>
    <w:div w:id="1284535818">
      <w:bodyDiv w:val="1"/>
      <w:marLeft w:val="0"/>
      <w:marRight w:val="0"/>
      <w:marTop w:val="0"/>
      <w:marBottom w:val="0"/>
      <w:divBdr>
        <w:top w:val="none" w:sz="0" w:space="0" w:color="auto"/>
        <w:left w:val="none" w:sz="0" w:space="0" w:color="auto"/>
        <w:bottom w:val="none" w:sz="0" w:space="0" w:color="auto"/>
        <w:right w:val="none" w:sz="0" w:space="0" w:color="auto"/>
      </w:divBdr>
    </w:div>
    <w:div w:id="1285775466">
      <w:bodyDiv w:val="1"/>
      <w:marLeft w:val="0"/>
      <w:marRight w:val="0"/>
      <w:marTop w:val="0"/>
      <w:marBottom w:val="0"/>
      <w:divBdr>
        <w:top w:val="none" w:sz="0" w:space="0" w:color="auto"/>
        <w:left w:val="none" w:sz="0" w:space="0" w:color="auto"/>
        <w:bottom w:val="none" w:sz="0" w:space="0" w:color="auto"/>
        <w:right w:val="none" w:sz="0" w:space="0" w:color="auto"/>
      </w:divBdr>
    </w:div>
    <w:div w:id="1285887433">
      <w:bodyDiv w:val="1"/>
      <w:marLeft w:val="0"/>
      <w:marRight w:val="0"/>
      <w:marTop w:val="0"/>
      <w:marBottom w:val="0"/>
      <w:divBdr>
        <w:top w:val="none" w:sz="0" w:space="0" w:color="auto"/>
        <w:left w:val="none" w:sz="0" w:space="0" w:color="auto"/>
        <w:bottom w:val="none" w:sz="0" w:space="0" w:color="auto"/>
        <w:right w:val="none" w:sz="0" w:space="0" w:color="auto"/>
      </w:divBdr>
    </w:div>
    <w:div w:id="1287001925">
      <w:bodyDiv w:val="1"/>
      <w:marLeft w:val="0"/>
      <w:marRight w:val="0"/>
      <w:marTop w:val="0"/>
      <w:marBottom w:val="0"/>
      <w:divBdr>
        <w:top w:val="none" w:sz="0" w:space="0" w:color="auto"/>
        <w:left w:val="none" w:sz="0" w:space="0" w:color="auto"/>
        <w:bottom w:val="none" w:sz="0" w:space="0" w:color="auto"/>
        <w:right w:val="none" w:sz="0" w:space="0" w:color="auto"/>
      </w:divBdr>
    </w:div>
    <w:div w:id="1290940444">
      <w:bodyDiv w:val="1"/>
      <w:marLeft w:val="0"/>
      <w:marRight w:val="0"/>
      <w:marTop w:val="0"/>
      <w:marBottom w:val="0"/>
      <w:divBdr>
        <w:top w:val="none" w:sz="0" w:space="0" w:color="auto"/>
        <w:left w:val="none" w:sz="0" w:space="0" w:color="auto"/>
        <w:bottom w:val="none" w:sz="0" w:space="0" w:color="auto"/>
        <w:right w:val="none" w:sz="0" w:space="0" w:color="auto"/>
      </w:divBdr>
    </w:div>
    <w:div w:id="1291324678">
      <w:bodyDiv w:val="1"/>
      <w:marLeft w:val="0"/>
      <w:marRight w:val="0"/>
      <w:marTop w:val="0"/>
      <w:marBottom w:val="0"/>
      <w:divBdr>
        <w:top w:val="none" w:sz="0" w:space="0" w:color="auto"/>
        <w:left w:val="none" w:sz="0" w:space="0" w:color="auto"/>
        <w:bottom w:val="none" w:sz="0" w:space="0" w:color="auto"/>
        <w:right w:val="none" w:sz="0" w:space="0" w:color="auto"/>
      </w:divBdr>
    </w:div>
    <w:div w:id="1291400031">
      <w:bodyDiv w:val="1"/>
      <w:marLeft w:val="0"/>
      <w:marRight w:val="0"/>
      <w:marTop w:val="0"/>
      <w:marBottom w:val="0"/>
      <w:divBdr>
        <w:top w:val="none" w:sz="0" w:space="0" w:color="auto"/>
        <w:left w:val="none" w:sz="0" w:space="0" w:color="auto"/>
        <w:bottom w:val="none" w:sz="0" w:space="0" w:color="auto"/>
        <w:right w:val="none" w:sz="0" w:space="0" w:color="auto"/>
      </w:divBdr>
    </w:div>
    <w:div w:id="1292127706">
      <w:bodyDiv w:val="1"/>
      <w:marLeft w:val="0"/>
      <w:marRight w:val="0"/>
      <w:marTop w:val="0"/>
      <w:marBottom w:val="0"/>
      <w:divBdr>
        <w:top w:val="none" w:sz="0" w:space="0" w:color="auto"/>
        <w:left w:val="none" w:sz="0" w:space="0" w:color="auto"/>
        <w:bottom w:val="none" w:sz="0" w:space="0" w:color="auto"/>
        <w:right w:val="none" w:sz="0" w:space="0" w:color="auto"/>
      </w:divBdr>
    </w:div>
    <w:div w:id="1294796235">
      <w:bodyDiv w:val="1"/>
      <w:marLeft w:val="0"/>
      <w:marRight w:val="0"/>
      <w:marTop w:val="0"/>
      <w:marBottom w:val="0"/>
      <w:divBdr>
        <w:top w:val="none" w:sz="0" w:space="0" w:color="auto"/>
        <w:left w:val="none" w:sz="0" w:space="0" w:color="auto"/>
        <w:bottom w:val="none" w:sz="0" w:space="0" w:color="auto"/>
        <w:right w:val="none" w:sz="0" w:space="0" w:color="auto"/>
      </w:divBdr>
    </w:div>
    <w:div w:id="1294946767">
      <w:bodyDiv w:val="1"/>
      <w:marLeft w:val="0"/>
      <w:marRight w:val="0"/>
      <w:marTop w:val="0"/>
      <w:marBottom w:val="0"/>
      <w:divBdr>
        <w:top w:val="none" w:sz="0" w:space="0" w:color="auto"/>
        <w:left w:val="none" w:sz="0" w:space="0" w:color="auto"/>
        <w:bottom w:val="none" w:sz="0" w:space="0" w:color="auto"/>
        <w:right w:val="none" w:sz="0" w:space="0" w:color="auto"/>
      </w:divBdr>
    </w:div>
    <w:div w:id="1295794461">
      <w:bodyDiv w:val="1"/>
      <w:marLeft w:val="0"/>
      <w:marRight w:val="0"/>
      <w:marTop w:val="0"/>
      <w:marBottom w:val="0"/>
      <w:divBdr>
        <w:top w:val="none" w:sz="0" w:space="0" w:color="auto"/>
        <w:left w:val="none" w:sz="0" w:space="0" w:color="auto"/>
        <w:bottom w:val="none" w:sz="0" w:space="0" w:color="auto"/>
        <w:right w:val="none" w:sz="0" w:space="0" w:color="auto"/>
      </w:divBdr>
    </w:div>
    <w:div w:id="1297489085">
      <w:bodyDiv w:val="1"/>
      <w:marLeft w:val="0"/>
      <w:marRight w:val="0"/>
      <w:marTop w:val="0"/>
      <w:marBottom w:val="0"/>
      <w:divBdr>
        <w:top w:val="none" w:sz="0" w:space="0" w:color="auto"/>
        <w:left w:val="none" w:sz="0" w:space="0" w:color="auto"/>
        <w:bottom w:val="none" w:sz="0" w:space="0" w:color="auto"/>
        <w:right w:val="none" w:sz="0" w:space="0" w:color="auto"/>
      </w:divBdr>
    </w:div>
    <w:div w:id="1302342558">
      <w:bodyDiv w:val="1"/>
      <w:marLeft w:val="0"/>
      <w:marRight w:val="0"/>
      <w:marTop w:val="0"/>
      <w:marBottom w:val="0"/>
      <w:divBdr>
        <w:top w:val="none" w:sz="0" w:space="0" w:color="auto"/>
        <w:left w:val="none" w:sz="0" w:space="0" w:color="auto"/>
        <w:bottom w:val="none" w:sz="0" w:space="0" w:color="auto"/>
        <w:right w:val="none" w:sz="0" w:space="0" w:color="auto"/>
      </w:divBdr>
    </w:div>
    <w:div w:id="130423538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06082546">
      <w:bodyDiv w:val="1"/>
      <w:marLeft w:val="0"/>
      <w:marRight w:val="0"/>
      <w:marTop w:val="0"/>
      <w:marBottom w:val="0"/>
      <w:divBdr>
        <w:top w:val="none" w:sz="0" w:space="0" w:color="auto"/>
        <w:left w:val="none" w:sz="0" w:space="0" w:color="auto"/>
        <w:bottom w:val="none" w:sz="0" w:space="0" w:color="auto"/>
        <w:right w:val="none" w:sz="0" w:space="0" w:color="auto"/>
      </w:divBdr>
    </w:div>
    <w:div w:id="1307583376">
      <w:bodyDiv w:val="1"/>
      <w:marLeft w:val="0"/>
      <w:marRight w:val="0"/>
      <w:marTop w:val="0"/>
      <w:marBottom w:val="0"/>
      <w:divBdr>
        <w:top w:val="none" w:sz="0" w:space="0" w:color="auto"/>
        <w:left w:val="none" w:sz="0" w:space="0" w:color="auto"/>
        <w:bottom w:val="none" w:sz="0" w:space="0" w:color="auto"/>
        <w:right w:val="none" w:sz="0" w:space="0" w:color="auto"/>
      </w:divBdr>
    </w:div>
    <w:div w:id="1309898564">
      <w:bodyDiv w:val="1"/>
      <w:marLeft w:val="0"/>
      <w:marRight w:val="0"/>
      <w:marTop w:val="0"/>
      <w:marBottom w:val="0"/>
      <w:divBdr>
        <w:top w:val="none" w:sz="0" w:space="0" w:color="auto"/>
        <w:left w:val="none" w:sz="0" w:space="0" w:color="auto"/>
        <w:bottom w:val="none" w:sz="0" w:space="0" w:color="auto"/>
        <w:right w:val="none" w:sz="0" w:space="0" w:color="auto"/>
      </w:divBdr>
    </w:div>
    <w:div w:id="1315718347">
      <w:bodyDiv w:val="1"/>
      <w:marLeft w:val="0"/>
      <w:marRight w:val="0"/>
      <w:marTop w:val="0"/>
      <w:marBottom w:val="0"/>
      <w:divBdr>
        <w:top w:val="none" w:sz="0" w:space="0" w:color="auto"/>
        <w:left w:val="none" w:sz="0" w:space="0" w:color="auto"/>
        <w:bottom w:val="none" w:sz="0" w:space="0" w:color="auto"/>
        <w:right w:val="none" w:sz="0" w:space="0" w:color="auto"/>
      </w:divBdr>
    </w:div>
    <w:div w:id="1316762488">
      <w:bodyDiv w:val="1"/>
      <w:marLeft w:val="0"/>
      <w:marRight w:val="0"/>
      <w:marTop w:val="0"/>
      <w:marBottom w:val="0"/>
      <w:divBdr>
        <w:top w:val="none" w:sz="0" w:space="0" w:color="auto"/>
        <w:left w:val="none" w:sz="0" w:space="0" w:color="auto"/>
        <w:bottom w:val="none" w:sz="0" w:space="0" w:color="auto"/>
        <w:right w:val="none" w:sz="0" w:space="0" w:color="auto"/>
      </w:divBdr>
    </w:div>
    <w:div w:id="1318073279">
      <w:bodyDiv w:val="1"/>
      <w:marLeft w:val="0"/>
      <w:marRight w:val="0"/>
      <w:marTop w:val="0"/>
      <w:marBottom w:val="0"/>
      <w:divBdr>
        <w:top w:val="none" w:sz="0" w:space="0" w:color="auto"/>
        <w:left w:val="none" w:sz="0" w:space="0" w:color="auto"/>
        <w:bottom w:val="none" w:sz="0" w:space="0" w:color="auto"/>
        <w:right w:val="none" w:sz="0" w:space="0" w:color="auto"/>
      </w:divBdr>
    </w:div>
    <w:div w:id="1318613805">
      <w:bodyDiv w:val="1"/>
      <w:marLeft w:val="0"/>
      <w:marRight w:val="0"/>
      <w:marTop w:val="0"/>
      <w:marBottom w:val="0"/>
      <w:divBdr>
        <w:top w:val="none" w:sz="0" w:space="0" w:color="auto"/>
        <w:left w:val="none" w:sz="0" w:space="0" w:color="auto"/>
        <w:bottom w:val="none" w:sz="0" w:space="0" w:color="auto"/>
        <w:right w:val="none" w:sz="0" w:space="0" w:color="auto"/>
      </w:divBdr>
    </w:div>
    <w:div w:id="1319114073">
      <w:bodyDiv w:val="1"/>
      <w:marLeft w:val="0"/>
      <w:marRight w:val="0"/>
      <w:marTop w:val="0"/>
      <w:marBottom w:val="0"/>
      <w:divBdr>
        <w:top w:val="none" w:sz="0" w:space="0" w:color="auto"/>
        <w:left w:val="none" w:sz="0" w:space="0" w:color="auto"/>
        <w:bottom w:val="none" w:sz="0" w:space="0" w:color="auto"/>
        <w:right w:val="none" w:sz="0" w:space="0" w:color="auto"/>
      </w:divBdr>
    </w:div>
    <w:div w:id="1321227354">
      <w:bodyDiv w:val="1"/>
      <w:marLeft w:val="0"/>
      <w:marRight w:val="0"/>
      <w:marTop w:val="0"/>
      <w:marBottom w:val="0"/>
      <w:divBdr>
        <w:top w:val="none" w:sz="0" w:space="0" w:color="auto"/>
        <w:left w:val="none" w:sz="0" w:space="0" w:color="auto"/>
        <w:bottom w:val="none" w:sz="0" w:space="0" w:color="auto"/>
        <w:right w:val="none" w:sz="0" w:space="0" w:color="auto"/>
      </w:divBdr>
    </w:div>
    <w:div w:id="1321537915">
      <w:bodyDiv w:val="1"/>
      <w:marLeft w:val="0"/>
      <w:marRight w:val="0"/>
      <w:marTop w:val="0"/>
      <w:marBottom w:val="0"/>
      <w:divBdr>
        <w:top w:val="none" w:sz="0" w:space="0" w:color="auto"/>
        <w:left w:val="none" w:sz="0" w:space="0" w:color="auto"/>
        <w:bottom w:val="none" w:sz="0" w:space="0" w:color="auto"/>
        <w:right w:val="none" w:sz="0" w:space="0" w:color="auto"/>
      </w:divBdr>
    </w:div>
    <w:div w:id="1324973018">
      <w:bodyDiv w:val="1"/>
      <w:marLeft w:val="0"/>
      <w:marRight w:val="0"/>
      <w:marTop w:val="0"/>
      <w:marBottom w:val="0"/>
      <w:divBdr>
        <w:top w:val="none" w:sz="0" w:space="0" w:color="auto"/>
        <w:left w:val="none" w:sz="0" w:space="0" w:color="auto"/>
        <w:bottom w:val="none" w:sz="0" w:space="0" w:color="auto"/>
        <w:right w:val="none" w:sz="0" w:space="0" w:color="auto"/>
      </w:divBdr>
    </w:div>
    <w:div w:id="1327243167">
      <w:bodyDiv w:val="1"/>
      <w:marLeft w:val="0"/>
      <w:marRight w:val="0"/>
      <w:marTop w:val="0"/>
      <w:marBottom w:val="0"/>
      <w:divBdr>
        <w:top w:val="none" w:sz="0" w:space="0" w:color="auto"/>
        <w:left w:val="none" w:sz="0" w:space="0" w:color="auto"/>
        <w:bottom w:val="none" w:sz="0" w:space="0" w:color="auto"/>
        <w:right w:val="none" w:sz="0" w:space="0" w:color="auto"/>
      </w:divBdr>
    </w:div>
    <w:div w:id="1327511838">
      <w:bodyDiv w:val="1"/>
      <w:marLeft w:val="0"/>
      <w:marRight w:val="0"/>
      <w:marTop w:val="0"/>
      <w:marBottom w:val="0"/>
      <w:divBdr>
        <w:top w:val="none" w:sz="0" w:space="0" w:color="auto"/>
        <w:left w:val="none" w:sz="0" w:space="0" w:color="auto"/>
        <w:bottom w:val="none" w:sz="0" w:space="0" w:color="auto"/>
        <w:right w:val="none" w:sz="0" w:space="0" w:color="auto"/>
      </w:divBdr>
    </w:div>
    <w:div w:id="1327518741">
      <w:bodyDiv w:val="1"/>
      <w:marLeft w:val="0"/>
      <w:marRight w:val="0"/>
      <w:marTop w:val="0"/>
      <w:marBottom w:val="0"/>
      <w:divBdr>
        <w:top w:val="none" w:sz="0" w:space="0" w:color="auto"/>
        <w:left w:val="none" w:sz="0" w:space="0" w:color="auto"/>
        <w:bottom w:val="none" w:sz="0" w:space="0" w:color="auto"/>
        <w:right w:val="none" w:sz="0" w:space="0" w:color="auto"/>
      </w:divBdr>
    </w:div>
    <w:div w:id="1327588606">
      <w:bodyDiv w:val="1"/>
      <w:marLeft w:val="0"/>
      <w:marRight w:val="0"/>
      <w:marTop w:val="0"/>
      <w:marBottom w:val="0"/>
      <w:divBdr>
        <w:top w:val="none" w:sz="0" w:space="0" w:color="auto"/>
        <w:left w:val="none" w:sz="0" w:space="0" w:color="auto"/>
        <w:bottom w:val="none" w:sz="0" w:space="0" w:color="auto"/>
        <w:right w:val="none" w:sz="0" w:space="0" w:color="auto"/>
      </w:divBdr>
    </w:div>
    <w:div w:id="1328290397">
      <w:bodyDiv w:val="1"/>
      <w:marLeft w:val="0"/>
      <w:marRight w:val="0"/>
      <w:marTop w:val="0"/>
      <w:marBottom w:val="0"/>
      <w:divBdr>
        <w:top w:val="none" w:sz="0" w:space="0" w:color="auto"/>
        <w:left w:val="none" w:sz="0" w:space="0" w:color="auto"/>
        <w:bottom w:val="none" w:sz="0" w:space="0" w:color="auto"/>
        <w:right w:val="none" w:sz="0" w:space="0" w:color="auto"/>
      </w:divBdr>
    </w:div>
    <w:div w:id="1329359540">
      <w:bodyDiv w:val="1"/>
      <w:marLeft w:val="0"/>
      <w:marRight w:val="0"/>
      <w:marTop w:val="0"/>
      <w:marBottom w:val="0"/>
      <w:divBdr>
        <w:top w:val="none" w:sz="0" w:space="0" w:color="auto"/>
        <w:left w:val="none" w:sz="0" w:space="0" w:color="auto"/>
        <w:bottom w:val="none" w:sz="0" w:space="0" w:color="auto"/>
        <w:right w:val="none" w:sz="0" w:space="0" w:color="auto"/>
      </w:divBdr>
    </w:div>
    <w:div w:id="1332100915">
      <w:bodyDiv w:val="1"/>
      <w:marLeft w:val="0"/>
      <w:marRight w:val="0"/>
      <w:marTop w:val="0"/>
      <w:marBottom w:val="0"/>
      <w:divBdr>
        <w:top w:val="none" w:sz="0" w:space="0" w:color="auto"/>
        <w:left w:val="none" w:sz="0" w:space="0" w:color="auto"/>
        <w:bottom w:val="none" w:sz="0" w:space="0" w:color="auto"/>
        <w:right w:val="none" w:sz="0" w:space="0" w:color="auto"/>
      </w:divBdr>
    </w:div>
    <w:div w:id="1333214860">
      <w:bodyDiv w:val="1"/>
      <w:marLeft w:val="0"/>
      <w:marRight w:val="0"/>
      <w:marTop w:val="0"/>
      <w:marBottom w:val="0"/>
      <w:divBdr>
        <w:top w:val="none" w:sz="0" w:space="0" w:color="auto"/>
        <w:left w:val="none" w:sz="0" w:space="0" w:color="auto"/>
        <w:bottom w:val="none" w:sz="0" w:space="0" w:color="auto"/>
        <w:right w:val="none" w:sz="0" w:space="0" w:color="auto"/>
      </w:divBdr>
    </w:div>
    <w:div w:id="1333415877">
      <w:bodyDiv w:val="1"/>
      <w:marLeft w:val="0"/>
      <w:marRight w:val="0"/>
      <w:marTop w:val="0"/>
      <w:marBottom w:val="0"/>
      <w:divBdr>
        <w:top w:val="none" w:sz="0" w:space="0" w:color="auto"/>
        <w:left w:val="none" w:sz="0" w:space="0" w:color="auto"/>
        <w:bottom w:val="none" w:sz="0" w:space="0" w:color="auto"/>
        <w:right w:val="none" w:sz="0" w:space="0" w:color="auto"/>
      </w:divBdr>
    </w:div>
    <w:div w:id="1334644878">
      <w:bodyDiv w:val="1"/>
      <w:marLeft w:val="0"/>
      <w:marRight w:val="0"/>
      <w:marTop w:val="0"/>
      <w:marBottom w:val="0"/>
      <w:divBdr>
        <w:top w:val="none" w:sz="0" w:space="0" w:color="auto"/>
        <w:left w:val="none" w:sz="0" w:space="0" w:color="auto"/>
        <w:bottom w:val="none" w:sz="0" w:space="0" w:color="auto"/>
        <w:right w:val="none" w:sz="0" w:space="0" w:color="auto"/>
      </w:divBdr>
    </w:div>
    <w:div w:id="1338726328">
      <w:bodyDiv w:val="1"/>
      <w:marLeft w:val="0"/>
      <w:marRight w:val="0"/>
      <w:marTop w:val="0"/>
      <w:marBottom w:val="0"/>
      <w:divBdr>
        <w:top w:val="none" w:sz="0" w:space="0" w:color="auto"/>
        <w:left w:val="none" w:sz="0" w:space="0" w:color="auto"/>
        <w:bottom w:val="none" w:sz="0" w:space="0" w:color="auto"/>
        <w:right w:val="none" w:sz="0" w:space="0" w:color="auto"/>
      </w:divBdr>
    </w:div>
    <w:div w:id="1341154781">
      <w:bodyDiv w:val="1"/>
      <w:marLeft w:val="0"/>
      <w:marRight w:val="0"/>
      <w:marTop w:val="0"/>
      <w:marBottom w:val="0"/>
      <w:divBdr>
        <w:top w:val="none" w:sz="0" w:space="0" w:color="auto"/>
        <w:left w:val="none" w:sz="0" w:space="0" w:color="auto"/>
        <w:bottom w:val="none" w:sz="0" w:space="0" w:color="auto"/>
        <w:right w:val="none" w:sz="0" w:space="0" w:color="auto"/>
      </w:divBdr>
    </w:div>
    <w:div w:id="1342275579">
      <w:bodyDiv w:val="1"/>
      <w:marLeft w:val="0"/>
      <w:marRight w:val="0"/>
      <w:marTop w:val="0"/>
      <w:marBottom w:val="0"/>
      <w:divBdr>
        <w:top w:val="none" w:sz="0" w:space="0" w:color="auto"/>
        <w:left w:val="none" w:sz="0" w:space="0" w:color="auto"/>
        <w:bottom w:val="none" w:sz="0" w:space="0" w:color="auto"/>
        <w:right w:val="none" w:sz="0" w:space="0" w:color="auto"/>
      </w:divBdr>
    </w:div>
    <w:div w:id="1342855163">
      <w:bodyDiv w:val="1"/>
      <w:marLeft w:val="0"/>
      <w:marRight w:val="0"/>
      <w:marTop w:val="0"/>
      <w:marBottom w:val="0"/>
      <w:divBdr>
        <w:top w:val="none" w:sz="0" w:space="0" w:color="auto"/>
        <w:left w:val="none" w:sz="0" w:space="0" w:color="auto"/>
        <w:bottom w:val="none" w:sz="0" w:space="0" w:color="auto"/>
        <w:right w:val="none" w:sz="0" w:space="0" w:color="auto"/>
      </w:divBdr>
    </w:div>
    <w:div w:id="1348167473">
      <w:bodyDiv w:val="1"/>
      <w:marLeft w:val="0"/>
      <w:marRight w:val="0"/>
      <w:marTop w:val="0"/>
      <w:marBottom w:val="0"/>
      <w:divBdr>
        <w:top w:val="none" w:sz="0" w:space="0" w:color="auto"/>
        <w:left w:val="none" w:sz="0" w:space="0" w:color="auto"/>
        <w:bottom w:val="none" w:sz="0" w:space="0" w:color="auto"/>
        <w:right w:val="none" w:sz="0" w:space="0" w:color="auto"/>
      </w:divBdr>
    </w:div>
    <w:div w:id="1350139271">
      <w:bodyDiv w:val="1"/>
      <w:marLeft w:val="0"/>
      <w:marRight w:val="0"/>
      <w:marTop w:val="0"/>
      <w:marBottom w:val="0"/>
      <w:divBdr>
        <w:top w:val="none" w:sz="0" w:space="0" w:color="auto"/>
        <w:left w:val="none" w:sz="0" w:space="0" w:color="auto"/>
        <w:bottom w:val="none" w:sz="0" w:space="0" w:color="auto"/>
        <w:right w:val="none" w:sz="0" w:space="0" w:color="auto"/>
      </w:divBdr>
    </w:div>
    <w:div w:id="1350596807">
      <w:bodyDiv w:val="1"/>
      <w:marLeft w:val="0"/>
      <w:marRight w:val="0"/>
      <w:marTop w:val="0"/>
      <w:marBottom w:val="0"/>
      <w:divBdr>
        <w:top w:val="none" w:sz="0" w:space="0" w:color="auto"/>
        <w:left w:val="none" w:sz="0" w:space="0" w:color="auto"/>
        <w:bottom w:val="none" w:sz="0" w:space="0" w:color="auto"/>
        <w:right w:val="none" w:sz="0" w:space="0" w:color="auto"/>
      </w:divBdr>
    </w:div>
    <w:div w:id="1352805695">
      <w:bodyDiv w:val="1"/>
      <w:marLeft w:val="0"/>
      <w:marRight w:val="0"/>
      <w:marTop w:val="0"/>
      <w:marBottom w:val="0"/>
      <w:divBdr>
        <w:top w:val="none" w:sz="0" w:space="0" w:color="auto"/>
        <w:left w:val="none" w:sz="0" w:space="0" w:color="auto"/>
        <w:bottom w:val="none" w:sz="0" w:space="0" w:color="auto"/>
        <w:right w:val="none" w:sz="0" w:space="0" w:color="auto"/>
      </w:divBdr>
    </w:div>
    <w:div w:id="1352876810">
      <w:bodyDiv w:val="1"/>
      <w:marLeft w:val="0"/>
      <w:marRight w:val="0"/>
      <w:marTop w:val="0"/>
      <w:marBottom w:val="0"/>
      <w:divBdr>
        <w:top w:val="none" w:sz="0" w:space="0" w:color="auto"/>
        <w:left w:val="none" w:sz="0" w:space="0" w:color="auto"/>
        <w:bottom w:val="none" w:sz="0" w:space="0" w:color="auto"/>
        <w:right w:val="none" w:sz="0" w:space="0" w:color="auto"/>
      </w:divBdr>
    </w:div>
    <w:div w:id="1353654129">
      <w:bodyDiv w:val="1"/>
      <w:marLeft w:val="0"/>
      <w:marRight w:val="0"/>
      <w:marTop w:val="0"/>
      <w:marBottom w:val="0"/>
      <w:divBdr>
        <w:top w:val="none" w:sz="0" w:space="0" w:color="auto"/>
        <w:left w:val="none" w:sz="0" w:space="0" w:color="auto"/>
        <w:bottom w:val="none" w:sz="0" w:space="0" w:color="auto"/>
        <w:right w:val="none" w:sz="0" w:space="0" w:color="auto"/>
      </w:divBdr>
    </w:div>
    <w:div w:id="1355571752">
      <w:bodyDiv w:val="1"/>
      <w:marLeft w:val="0"/>
      <w:marRight w:val="0"/>
      <w:marTop w:val="0"/>
      <w:marBottom w:val="0"/>
      <w:divBdr>
        <w:top w:val="none" w:sz="0" w:space="0" w:color="auto"/>
        <w:left w:val="none" w:sz="0" w:space="0" w:color="auto"/>
        <w:bottom w:val="none" w:sz="0" w:space="0" w:color="auto"/>
        <w:right w:val="none" w:sz="0" w:space="0" w:color="auto"/>
      </w:divBdr>
    </w:div>
    <w:div w:id="1358433003">
      <w:bodyDiv w:val="1"/>
      <w:marLeft w:val="0"/>
      <w:marRight w:val="0"/>
      <w:marTop w:val="0"/>
      <w:marBottom w:val="0"/>
      <w:divBdr>
        <w:top w:val="none" w:sz="0" w:space="0" w:color="auto"/>
        <w:left w:val="none" w:sz="0" w:space="0" w:color="auto"/>
        <w:bottom w:val="none" w:sz="0" w:space="0" w:color="auto"/>
        <w:right w:val="none" w:sz="0" w:space="0" w:color="auto"/>
      </w:divBdr>
    </w:div>
    <w:div w:id="1358699722">
      <w:bodyDiv w:val="1"/>
      <w:marLeft w:val="0"/>
      <w:marRight w:val="0"/>
      <w:marTop w:val="0"/>
      <w:marBottom w:val="0"/>
      <w:divBdr>
        <w:top w:val="none" w:sz="0" w:space="0" w:color="auto"/>
        <w:left w:val="none" w:sz="0" w:space="0" w:color="auto"/>
        <w:bottom w:val="none" w:sz="0" w:space="0" w:color="auto"/>
        <w:right w:val="none" w:sz="0" w:space="0" w:color="auto"/>
      </w:divBdr>
    </w:div>
    <w:div w:id="1359157755">
      <w:bodyDiv w:val="1"/>
      <w:marLeft w:val="0"/>
      <w:marRight w:val="0"/>
      <w:marTop w:val="0"/>
      <w:marBottom w:val="0"/>
      <w:divBdr>
        <w:top w:val="none" w:sz="0" w:space="0" w:color="auto"/>
        <w:left w:val="none" w:sz="0" w:space="0" w:color="auto"/>
        <w:bottom w:val="none" w:sz="0" w:space="0" w:color="auto"/>
        <w:right w:val="none" w:sz="0" w:space="0" w:color="auto"/>
      </w:divBdr>
    </w:div>
    <w:div w:id="1361318573">
      <w:bodyDiv w:val="1"/>
      <w:marLeft w:val="0"/>
      <w:marRight w:val="0"/>
      <w:marTop w:val="0"/>
      <w:marBottom w:val="0"/>
      <w:divBdr>
        <w:top w:val="none" w:sz="0" w:space="0" w:color="auto"/>
        <w:left w:val="none" w:sz="0" w:space="0" w:color="auto"/>
        <w:bottom w:val="none" w:sz="0" w:space="0" w:color="auto"/>
        <w:right w:val="none" w:sz="0" w:space="0" w:color="auto"/>
      </w:divBdr>
    </w:div>
    <w:div w:id="1361588438">
      <w:bodyDiv w:val="1"/>
      <w:marLeft w:val="0"/>
      <w:marRight w:val="0"/>
      <w:marTop w:val="0"/>
      <w:marBottom w:val="0"/>
      <w:divBdr>
        <w:top w:val="none" w:sz="0" w:space="0" w:color="auto"/>
        <w:left w:val="none" w:sz="0" w:space="0" w:color="auto"/>
        <w:bottom w:val="none" w:sz="0" w:space="0" w:color="auto"/>
        <w:right w:val="none" w:sz="0" w:space="0" w:color="auto"/>
      </w:divBdr>
    </w:div>
    <w:div w:id="1361933725">
      <w:bodyDiv w:val="1"/>
      <w:marLeft w:val="0"/>
      <w:marRight w:val="0"/>
      <w:marTop w:val="0"/>
      <w:marBottom w:val="0"/>
      <w:divBdr>
        <w:top w:val="none" w:sz="0" w:space="0" w:color="auto"/>
        <w:left w:val="none" w:sz="0" w:space="0" w:color="auto"/>
        <w:bottom w:val="none" w:sz="0" w:space="0" w:color="auto"/>
        <w:right w:val="none" w:sz="0" w:space="0" w:color="auto"/>
      </w:divBdr>
    </w:div>
    <w:div w:id="1363554407">
      <w:bodyDiv w:val="1"/>
      <w:marLeft w:val="0"/>
      <w:marRight w:val="0"/>
      <w:marTop w:val="0"/>
      <w:marBottom w:val="0"/>
      <w:divBdr>
        <w:top w:val="none" w:sz="0" w:space="0" w:color="auto"/>
        <w:left w:val="none" w:sz="0" w:space="0" w:color="auto"/>
        <w:bottom w:val="none" w:sz="0" w:space="0" w:color="auto"/>
        <w:right w:val="none" w:sz="0" w:space="0" w:color="auto"/>
      </w:divBdr>
    </w:div>
    <w:div w:id="1364743281">
      <w:bodyDiv w:val="1"/>
      <w:marLeft w:val="0"/>
      <w:marRight w:val="0"/>
      <w:marTop w:val="0"/>
      <w:marBottom w:val="0"/>
      <w:divBdr>
        <w:top w:val="none" w:sz="0" w:space="0" w:color="auto"/>
        <w:left w:val="none" w:sz="0" w:space="0" w:color="auto"/>
        <w:bottom w:val="none" w:sz="0" w:space="0" w:color="auto"/>
        <w:right w:val="none" w:sz="0" w:space="0" w:color="auto"/>
      </w:divBdr>
    </w:div>
    <w:div w:id="1365016219">
      <w:bodyDiv w:val="1"/>
      <w:marLeft w:val="0"/>
      <w:marRight w:val="0"/>
      <w:marTop w:val="0"/>
      <w:marBottom w:val="0"/>
      <w:divBdr>
        <w:top w:val="none" w:sz="0" w:space="0" w:color="auto"/>
        <w:left w:val="none" w:sz="0" w:space="0" w:color="auto"/>
        <w:bottom w:val="none" w:sz="0" w:space="0" w:color="auto"/>
        <w:right w:val="none" w:sz="0" w:space="0" w:color="auto"/>
      </w:divBdr>
    </w:div>
    <w:div w:id="1365905086">
      <w:bodyDiv w:val="1"/>
      <w:marLeft w:val="0"/>
      <w:marRight w:val="0"/>
      <w:marTop w:val="0"/>
      <w:marBottom w:val="0"/>
      <w:divBdr>
        <w:top w:val="none" w:sz="0" w:space="0" w:color="auto"/>
        <w:left w:val="none" w:sz="0" w:space="0" w:color="auto"/>
        <w:bottom w:val="none" w:sz="0" w:space="0" w:color="auto"/>
        <w:right w:val="none" w:sz="0" w:space="0" w:color="auto"/>
      </w:divBdr>
    </w:div>
    <w:div w:id="1369378278">
      <w:bodyDiv w:val="1"/>
      <w:marLeft w:val="0"/>
      <w:marRight w:val="0"/>
      <w:marTop w:val="0"/>
      <w:marBottom w:val="0"/>
      <w:divBdr>
        <w:top w:val="none" w:sz="0" w:space="0" w:color="auto"/>
        <w:left w:val="none" w:sz="0" w:space="0" w:color="auto"/>
        <w:bottom w:val="none" w:sz="0" w:space="0" w:color="auto"/>
        <w:right w:val="none" w:sz="0" w:space="0" w:color="auto"/>
      </w:divBdr>
    </w:div>
    <w:div w:id="1369451654">
      <w:bodyDiv w:val="1"/>
      <w:marLeft w:val="0"/>
      <w:marRight w:val="0"/>
      <w:marTop w:val="0"/>
      <w:marBottom w:val="0"/>
      <w:divBdr>
        <w:top w:val="none" w:sz="0" w:space="0" w:color="auto"/>
        <w:left w:val="none" w:sz="0" w:space="0" w:color="auto"/>
        <w:bottom w:val="none" w:sz="0" w:space="0" w:color="auto"/>
        <w:right w:val="none" w:sz="0" w:space="0" w:color="auto"/>
      </w:divBdr>
    </w:div>
    <w:div w:id="1371615501">
      <w:bodyDiv w:val="1"/>
      <w:marLeft w:val="0"/>
      <w:marRight w:val="0"/>
      <w:marTop w:val="0"/>
      <w:marBottom w:val="0"/>
      <w:divBdr>
        <w:top w:val="none" w:sz="0" w:space="0" w:color="auto"/>
        <w:left w:val="none" w:sz="0" w:space="0" w:color="auto"/>
        <w:bottom w:val="none" w:sz="0" w:space="0" w:color="auto"/>
        <w:right w:val="none" w:sz="0" w:space="0" w:color="auto"/>
      </w:divBdr>
    </w:div>
    <w:div w:id="1374579583">
      <w:bodyDiv w:val="1"/>
      <w:marLeft w:val="0"/>
      <w:marRight w:val="0"/>
      <w:marTop w:val="0"/>
      <w:marBottom w:val="0"/>
      <w:divBdr>
        <w:top w:val="none" w:sz="0" w:space="0" w:color="auto"/>
        <w:left w:val="none" w:sz="0" w:space="0" w:color="auto"/>
        <w:bottom w:val="none" w:sz="0" w:space="0" w:color="auto"/>
        <w:right w:val="none" w:sz="0" w:space="0" w:color="auto"/>
      </w:divBdr>
    </w:div>
    <w:div w:id="1375620823">
      <w:bodyDiv w:val="1"/>
      <w:marLeft w:val="0"/>
      <w:marRight w:val="0"/>
      <w:marTop w:val="0"/>
      <w:marBottom w:val="0"/>
      <w:divBdr>
        <w:top w:val="none" w:sz="0" w:space="0" w:color="auto"/>
        <w:left w:val="none" w:sz="0" w:space="0" w:color="auto"/>
        <w:bottom w:val="none" w:sz="0" w:space="0" w:color="auto"/>
        <w:right w:val="none" w:sz="0" w:space="0" w:color="auto"/>
      </w:divBdr>
    </w:div>
    <w:div w:id="1378354289">
      <w:bodyDiv w:val="1"/>
      <w:marLeft w:val="0"/>
      <w:marRight w:val="0"/>
      <w:marTop w:val="0"/>
      <w:marBottom w:val="0"/>
      <w:divBdr>
        <w:top w:val="none" w:sz="0" w:space="0" w:color="auto"/>
        <w:left w:val="none" w:sz="0" w:space="0" w:color="auto"/>
        <w:bottom w:val="none" w:sz="0" w:space="0" w:color="auto"/>
        <w:right w:val="none" w:sz="0" w:space="0" w:color="auto"/>
      </w:divBdr>
    </w:div>
    <w:div w:id="1380058729">
      <w:bodyDiv w:val="1"/>
      <w:marLeft w:val="0"/>
      <w:marRight w:val="0"/>
      <w:marTop w:val="0"/>
      <w:marBottom w:val="0"/>
      <w:divBdr>
        <w:top w:val="none" w:sz="0" w:space="0" w:color="auto"/>
        <w:left w:val="none" w:sz="0" w:space="0" w:color="auto"/>
        <w:bottom w:val="none" w:sz="0" w:space="0" w:color="auto"/>
        <w:right w:val="none" w:sz="0" w:space="0" w:color="auto"/>
      </w:divBdr>
    </w:div>
    <w:div w:id="1380596028">
      <w:bodyDiv w:val="1"/>
      <w:marLeft w:val="0"/>
      <w:marRight w:val="0"/>
      <w:marTop w:val="0"/>
      <w:marBottom w:val="0"/>
      <w:divBdr>
        <w:top w:val="none" w:sz="0" w:space="0" w:color="auto"/>
        <w:left w:val="none" w:sz="0" w:space="0" w:color="auto"/>
        <w:bottom w:val="none" w:sz="0" w:space="0" w:color="auto"/>
        <w:right w:val="none" w:sz="0" w:space="0" w:color="auto"/>
      </w:divBdr>
    </w:div>
    <w:div w:id="1382557205">
      <w:bodyDiv w:val="1"/>
      <w:marLeft w:val="0"/>
      <w:marRight w:val="0"/>
      <w:marTop w:val="0"/>
      <w:marBottom w:val="0"/>
      <w:divBdr>
        <w:top w:val="none" w:sz="0" w:space="0" w:color="auto"/>
        <w:left w:val="none" w:sz="0" w:space="0" w:color="auto"/>
        <w:bottom w:val="none" w:sz="0" w:space="0" w:color="auto"/>
        <w:right w:val="none" w:sz="0" w:space="0" w:color="auto"/>
      </w:divBdr>
    </w:div>
    <w:div w:id="1382558238">
      <w:bodyDiv w:val="1"/>
      <w:marLeft w:val="0"/>
      <w:marRight w:val="0"/>
      <w:marTop w:val="0"/>
      <w:marBottom w:val="0"/>
      <w:divBdr>
        <w:top w:val="none" w:sz="0" w:space="0" w:color="auto"/>
        <w:left w:val="none" w:sz="0" w:space="0" w:color="auto"/>
        <w:bottom w:val="none" w:sz="0" w:space="0" w:color="auto"/>
        <w:right w:val="none" w:sz="0" w:space="0" w:color="auto"/>
      </w:divBdr>
    </w:div>
    <w:div w:id="1382749855">
      <w:bodyDiv w:val="1"/>
      <w:marLeft w:val="0"/>
      <w:marRight w:val="0"/>
      <w:marTop w:val="0"/>
      <w:marBottom w:val="0"/>
      <w:divBdr>
        <w:top w:val="none" w:sz="0" w:space="0" w:color="auto"/>
        <w:left w:val="none" w:sz="0" w:space="0" w:color="auto"/>
        <w:bottom w:val="none" w:sz="0" w:space="0" w:color="auto"/>
        <w:right w:val="none" w:sz="0" w:space="0" w:color="auto"/>
      </w:divBdr>
    </w:div>
    <w:div w:id="1384016059">
      <w:bodyDiv w:val="1"/>
      <w:marLeft w:val="0"/>
      <w:marRight w:val="0"/>
      <w:marTop w:val="0"/>
      <w:marBottom w:val="0"/>
      <w:divBdr>
        <w:top w:val="none" w:sz="0" w:space="0" w:color="auto"/>
        <w:left w:val="none" w:sz="0" w:space="0" w:color="auto"/>
        <w:bottom w:val="none" w:sz="0" w:space="0" w:color="auto"/>
        <w:right w:val="none" w:sz="0" w:space="0" w:color="auto"/>
      </w:divBdr>
    </w:div>
    <w:div w:id="1386761235">
      <w:bodyDiv w:val="1"/>
      <w:marLeft w:val="0"/>
      <w:marRight w:val="0"/>
      <w:marTop w:val="0"/>
      <w:marBottom w:val="0"/>
      <w:divBdr>
        <w:top w:val="none" w:sz="0" w:space="0" w:color="auto"/>
        <w:left w:val="none" w:sz="0" w:space="0" w:color="auto"/>
        <w:bottom w:val="none" w:sz="0" w:space="0" w:color="auto"/>
        <w:right w:val="none" w:sz="0" w:space="0" w:color="auto"/>
      </w:divBdr>
    </w:div>
    <w:div w:id="1387726189">
      <w:bodyDiv w:val="1"/>
      <w:marLeft w:val="0"/>
      <w:marRight w:val="0"/>
      <w:marTop w:val="0"/>
      <w:marBottom w:val="0"/>
      <w:divBdr>
        <w:top w:val="none" w:sz="0" w:space="0" w:color="auto"/>
        <w:left w:val="none" w:sz="0" w:space="0" w:color="auto"/>
        <w:bottom w:val="none" w:sz="0" w:space="0" w:color="auto"/>
        <w:right w:val="none" w:sz="0" w:space="0" w:color="auto"/>
      </w:divBdr>
    </w:div>
    <w:div w:id="1387727744">
      <w:bodyDiv w:val="1"/>
      <w:marLeft w:val="0"/>
      <w:marRight w:val="0"/>
      <w:marTop w:val="0"/>
      <w:marBottom w:val="0"/>
      <w:divBdr>
        <w:top w:val="none" w:sz="0" w:space="0" w:color="auto"/>
        <w:left w:val="none" w:sz="0" w:space="0" w:color="auto"/>
        <w:bottom w:val="none" w:sz="0" w:space="0" w:color="auto"/>
        <w:right w:val="none" w:sz="0" w:space="0" w:color="auto"/>
      </w:divBdr>
    </w:div>
    <w:div w:id="1391153277">
      <w:bodyDiv w:val="1"/>
      <w:marLeft w:val="0"/>
      <w:marRight w:val="0"/>
      <w:marTop w:val="0"/>
      <w:marBottom w:val="0"/>
      <w:divBdr>
        <w:top w:val="none" w:sz="0" w:space="0" w:color="auto"/>
        <w:left w:val="none" w:sz="0" w:space="0" w:color="auto"/>
        <w:bottom w:val="none" w:sz="0" w:space="0" w:color="auto"/>
        <w:right w:val="none" w:sz="0" w:space="0" w:color="auto"/>
      </w:divBdr>
    </w:div>
    <w:div w:id="1393040941">
      <w:bodyDiv w:val="1"/>
      <w:marLeft w:val="0"/>
      <w:marRight w:val="0"/>
      <w:marTop w:val="0"/>
      <w:marBottom w:val="0"/>
      <w:divBdr>
        <w:top w:val="none" w:sz="0" w:space="0" w:color="auto"/>
        <w:left w:val="none" w:sz="0" w:space="0" w:color="auto"/>
        <w:bottom w:val="none" w:sz="0" w:space="0" w:color="auto"/>
        <w:right w:val="none" w:sz="0" w:space="0" w:color="auto"/>
      </w:divBdr>
    </w:div>
    <w:div w:id="1393698070">
      <w:bodyDiv w:val="1"/>
      <w:marLeft w:val="0"/>
      <w:marRight w:val="0"/>
      <w:marTop w:val="0"/>
      <w:marBottom w:val="0"/>
      <w:divBdr>
        <w:top w:val="none" w:sz="0" w:space="0" w:color="auto"/>
        <w:left w:val="none" w:sz="0" w:space="0" w:color="auto"/>
        <w:bottom w:val="none" w:sz="0" w:space="0" w:color="auto"/>
        <w:right w:val="none" w:sz="0" w:space="0" w:color="auto"/>
      </w:divBdr>
    </w:div>
    <w:div w:id="1394935262">
      <w:bodyDiv w:val="1"/>
      <w:marLeft w:val="0"/>
      <w:marRight w:val="0"/>
      <w:marTop w:val="0"/>
      <w:marBottom w:val="0"/>
      <w:divBdr>
        <w:top w:val="none" w:sz="0" w:space="0" w:color="auto"/>
        <w:left w:val="none" w:sz="0" w:space="0" w:color="auto"/>
        <w:bottom w:val="none" w:sz="0" w:space="0" w:color="auto"/>
        <w:right w:val="none" w:sz="0" w:space="0" w:color="auto"/>
      </w:divBdr>
    </w:div>
    <w:div w:id="1395086112">
      <w:bodyDiv w:val="1"/>
      <w:marLeft w:val="0"/>
      <w:marRight w:val="0"/>
      <w:marTop w:val="0"/>
      <w:marBottom w:val="0"/>
      <w:divBdr>
        <w:top w:val="none" w:sz="0" w:space="0" w:color="auto"/>
        <w:left w:val="none" w:sz="0" w:space="0" w:color="auto"/>
        <w:bottom w:val="none" w:sz="0" w:space="0" w:color="auto"/>
        <w:right w:val="none" w:sz="0" w:space="0" w:color="auto"/>
      </w:divBdr>
    </w:div>
    <w:div w:id="1399748016">
      <w:bodyDiv w:val="1"/>
      <w:marLeft w:val="0"/>
      <w:marRight w:val="0"/>
      <w:marTop w:val="0"/>
      <w:marBottom w:val="0"/>
      <w:divBdr>
        <w:top w:val="none" w:sz="0" w:space="0" w:color="auto"/>
        <w:left w:val="none" w:sz="0" w:space="0" w:color="auto"/>
        <w:bottom w:val="none" w:sz="0" w:space="0" w:color="auto"/>
        <w:right w:val="none" w:sz="0" w:space="0" w:color="auto"/>
      </w:divBdr>
    </w:div>
    <w:div w:id="1400789980">
      <w:bodyDiv w:val="1"/>
      <w:marLeft w:val="0"/>
      <w:marRight w:val="0"/>
      <w:marTop w:val="0"/>
      <w:marBottom w:val="0"/>
      <w:divBdr>
        <w:top w:val="none" w:sz="0" w:space="0" w:color="auto"/>
        <w:left w:val="none" w:sz="0" w:space="0" w:color="auto"/>
        <w:bottom w:val="none" w:sz="0" w:space="0" w:color="auto"/>
        <w:right w:val="none" w:sz="0" w:space="0" w:color="auto"/>
      </w:divBdr>
    </w:div>
    <w:div w:id="1403327968">
      <w:bodyDiv w:val="1"/>
      <w:marLeft w:val="0"/>
      <w:marRight w:val="0"/>
      <w:marTop w:val="0"/>
      <w:marBottom w:val="0"/>
      <w:divBdr>
        <w:top w:val="none" w:sz="0" w:space="0" w:color="auto"/>
        <w:left w:val="none" w:sz="0" w:space="0" w:color="auto"/>
        <w:bottom w:val="none" w:sz="0" w:space="0" w:color="auto"/>
        <w:right w:val="none" w:sz="0" w:space="0" w:color="auto"/>
      </w:divBdr>
    </w:div>
    <w:div w:id="1405756880">
      <w:bodyDiv w:val="1"/>
      <w:marLeft w:val="0"/>
      <w:marRight w:val="0"/>
      <w:marTop w:val="0"/>
      <w:marBottom w:val="0"/>
      <w:divBdr>
        <w:top w:val="none" w:sz="0" w:space="0" w:color="auto"/>
        <w:left w:val="none" w:sz="0" w:space="0" w:color="auto"/>
        <w:bottom w:val="none" w:sz="0" w:space="0" w:color="auto"/>
        <w:right w:val="none" w:sz="0" w:space="0" w:color="auto"/>
      </w:divBdr>
    </w:div>
    <w:div w:id="1408724130">
      <w:bodyDiv w:val="1"/>
      <w:marLeft w:val="0"/>
      <w:marRight w:val="0"/>
      <w:marTop w:val="0"/>
      <w:marBottom w:val="0"/>
      <w:divBdr>
        <w:top w:val="none" w:sz="0" w:space="0" w:color="auto"/>
        <w:left w:val="none" w:sz="0" w:space="0" w:color="auto"/>
        <w:bottom w:val="none" w:sz="0" w:space="0" w:color="auto"/>
        <w:right w:val="none" w:sz="0" w:space="0" w:color="auto"/>
      </w:divBdr>
    </w:div>
    <w:div w:id="1409421169">
      <w:bodyDiv w:val="1"/>
      <w:marLeft w:val="0"/>
      <w:marRight w:val="0"/>
      <w:marTop w:val="0"/>
      <w:marBottom w:val="0"/>
      <w:divBdr>
        <w:top w:val="none" w:sz="0" w:space="0" w:color="auto"/>
        <w:left w:val="none" w:sz="0" w:space="0" w:color="auto"/>
        <w:bottom w:val="none" w:sz="0" w:space="0" w:color="auto"/>
        <w:right w:val="none" w:sz="0" w:space="0" w:color="auto"/>
      </w:divBdr>
    </w:div>
    <w:div w:id="1409888586">
      <w:bodyDiv w:val="1"/>
      <w:marLeft w:val="0"/>
      <w:marRight w:val="0"/>
      <w:marTop w:val="0"/>
      <w:marBottom w:val="0"/>
      <w:divBdr>
        <w:top w:val="none" w:sz="0" w:space="0" w:color="auto"/>
        <w:left w:val="none" w:sz="0" w:space="0" w:color="auto"/>
        <w:bottom w:val="none" w:sz="0" w:space="0" w:color="auto"/>
        <w:right w:val="none" w:sz="0" w:space="0" w:color="auto"/>
      </w:divBdr>
    </w:div>
    <w:div w:id="1410225304">
      <w:bodyDiv w:val="1"/>
      <w:marLeft w:val="0"/>
      <w:marRight w:val="0"/>
      <w:marTop w:val="0"/>
      <w:marBottom w:val="0"/>
      <w:divBdr>
        <w:top w:val="none" w:sz="0" w:space="0" w:color="auto"/>
        <w:left w:val="none" w:sz="0" w:space="0" w:color="auto"/>
        <w:bottom w:val="none" w:sz="0" w:space="0" w:color="auto"/>
        <w:right w:val="none" w:sz="0" w:space="0" w:color="auto"/>
      </w:divBdr>
    </w:div>
    <w:div w:id="1413043442">
      <w:bodyDiv w:val="1"/>
      <w:marLeft w:val="0"/>
      <w:marRight w:val="0"/>
      <w:marTop w:val="0"/>
      <w:marBottom w:val="0"/>
      <w:divBdr>
        <w:top w:val="none" w:sz="0" w:space="0" w:color="auto"/>
        <w:left w:val="none" w:sz="0" w:space="0" w:color="auto"/>
        <w:bottom w:val="none" w:sz="0" w:space="0" w:color="auto"/>
        <w:right w:val="none" w:sz="0" w:space="0" w:color="auto"/>
      </w:divBdr>
    </w:div>
    <w:div w:id="1413549994">
      <w:bodyDiv w:val="1"/>
      <w:marLeft w:val="0"/>
      <w:marRight w:val="0"/>
      <w:marTop w:val="0"/>
      <w:marBottom w:val="0"/>
      <w:divBdr>
        <w:top w:val="none" w:sz="0" w:space="0" w:color="auto"/>
        <w:left w:val="none" w:sz="0" w:space="0" w:color="auto"/>
        <w:bottom w:val="none" w:sz="0" w:space="0" w:color="auto"/>
        <w:right w:val="none" w:sz="0" w:space="0" w:color="auto"/>
      </w:divBdr>
    </w:div>
    <w:div w:id="1414666915">
      <w:bodyDiv w:val="1"/>
      <w:marLeft w:val="0"/>
      <w:marRight w:val="0"/>
      <w:marTop w:val="0"/>
      <w:marBottom w:val="0"/>
      <w:divBdr>
        <w:top w:val="none" w:sz="0" w:space="0" w:color="auto"/>
        <w:left w:val="none" w:sz="0" w:space="0" w:color="auto"/>
        <w:bottom w:val="none" w:sz="0" w:space="0" w:color="auto"/>
        <w:right w:val="none" w:sz="0" w:space="0" w:color="auto"/>
      </w:divBdr>
    </w:div>
    <w:div w:id="1416900289">
      <w:bodyDiv w:val="1"/>
      <w:marLeft w:val="0"/>
      <w:marRight w:val="0"/>
      <w:marTop w:val="0"/>
      <w:marBottom w:val="0"/>
      <w:divBdr>
        <w:top w:val="none" w:sz="0" w:space="0" w:color="auto"/>
        <w:left w:val="none" w:sz="0" w:space="0" w:color="auto"/>
        <w:bottom w:val="none" w:sz="0" w:space="0" w:color="auto"/>
        <w:right w:val="none" w:sz="0" w:space="0" w:color="auto"/>
      </w:divBdr>
    </w:div>
    <w:div w:id="1417674864">
      <w:bodyDiv w:val="1"/>
      <w:marLeft w:val="0"/>
      <w:marRight w:val="0"/>
      <w:marTop w:val="0"/>
      <w:marBottom w:val="0"/>
      <w:divBdr>
        <w:top w:val="none" w:sz="0" w:space="0" w:color="auto"/>
        <w:left w:val="none" w:sz="0" w:space="0" w:color="auto"/>
        <w:bottom w:val="none" w:sz="0" w:space="0" w:color="auto"/>
        <w:right w:val="none" w:sz="0" w:space="0" w:color="auto"/>
      </w:divBdr>
    </w:div>
    <w:div w:id="1423183171">
      <w:bodyDiv w:val="1"/>
      <w:marLeft w:val="0"/>
      <w:marRight w:val="0"/>
      <w:marTop w:val="0"/>
      <w:marBottom w:val="0"/>
      <w:divBdr>
        <w:top w:val="none" w:sz="0" w:space="0" w:color="auto"/>
        <w:left w:val="none" w:sz="0" w:space="0" w:color="auto"/>
        <w:bottom w:val="none" w:sz="0" w:space="0" w:color="auto"/>
        <w:right w:val="none" w:sz="0" w:space="0" w:color="auto"/>
      </w:divBdr>
    </w:div>
    <w:div w:id="1425029388">
      <w:bodyDiv w:val="1"/>
      <w:marLeft w:val="0"/>
      <w:marRight w:val="0"/>
      <w:marTop w:val="0"/>
      <w:marBottom w:val="0"/>
      <w:divBdr>
        <w:top w:val="none" w:sz="0" w:space="0" w:color="auto"/>
        <w:left w:val="none" w:sz="0" w:space="0" w:color="auto"/>
        <w:bottom w:val="none" w:sz="0" w:space="0" w:color="auto"/>
        <w:right w:val="none" w:sz="0" w:space="0" w:color="auto"/>
      </w:divBdr>
    </w:div>
    <w:div w:id="1427455263">
      <w:bodyDiv w:val="1"/>
      <w:marLeft w:val="0"/>
      <w:marRight w:val="0"/>
      <w:marTop w:val="0"/>
      <w:marBottom w:val="0"/>
      <w:divBdr>
        <w:top w:val="none" w:sz="0" w:space="0" w:color="auto"/>
        <w:left w:val="none" w:sz="0" w:space="0" w:color="auto"/>
        <w:bottom w:val="none" w:sz="0" w:space="0" w:color="auto"/>
        <w:right w:val="none" w:sz="0" w:space="0" w:color="auto"/>
      </w:divBdr>
    </w:div>
    <w:div w:id="1428381623">
      <w:bodyDiv w:val="1"/>
      <w:marLeft w:val="0"/>
      <w:marRight w:val="0"/>
      <w:marTop w:val="0"/>
      <w:marBottom w:val="0"/>
      <w:divBdr>
        <w:top w:val="none" w:sz="0" w:space="0" w:color="auto"/>
        <w:left w:val="none" w:sz="0" w:space="0" w:color="auto"/>
        <w:bottom w:val="none" w:sz="0" w:space="0" w:color="auto"/>
        <w:right w:val="none" w:sz="0" w:space="0" w:color="auto"/>
      </w:divBdr>
    </w:div>
    <w:div w:id="1435899466">
      <w:bodyDiv w:val="1"/>
      <w:marLeft w:val="0"/>
      <w:marRight w:val="0"/>
      <w:marTop w:val="0"/>
      <w:marBottom w:val="0"/>
      <w:divBdr>
        <w:top w:val="none" w:sz="0" w:space="0" w:color="auto"/>
        <w:left w:val="none" w:sz="0" w:space="0" w:color="auto"/>
        <w:bottom w:val="none" w:sz="0" w:space="0" w:color="auto"/>
        <w:right w:val="none" w:sz="0" w:space="0" w:color="auto"/>
      </w:divBdr>
    </w:div>
    <w:div w:id="1436484598">
      <w:bodyDiv w:val="1"/>
      <w:marLeft w:val="0"/>
      <w:marRight w:val="0"/>
      <w:marTop w:val="0"/>
      <w:marBottom w:val="0"/>
      <w:divBdr>
        <w:top w:val="none" w:sz="0" w:space="0" w:color="auto"/>
        <w:left w:val="none" w:sz="0" w:space="0" w:color="auto"/>
        <w:bottom w:val="none" w:sz="0" w:space="0" w:color="auto"/>
        <w:right w:val="none" w:sz="0" w:space="0" w:color="auto"/>
      </w:divBdr>
    </w:div>
    <w:div w:id="1437945032">
      <w:bodyDiv w:val="1"/>
      <w:marLeft w:val="0"/>
      <w:marRight w:val="0"/>
      <w:marTop w:val="0"/>
      <w:marBottom w:val="0"/>
      <w:divBdr>
        <w:top w:val="none" w:sz="0" w:space="0" w:color="auto"/>
        <w:left w:val="none" w:sz="0" w:space="0" w:color="auto"/>
        <w:bottom w:val="none" w:sz="0" w:space="0" w:color="auto"/>
        <w:right w:val="none" w:sz="0" w:space="0" w:color="auto"/>
      </w:divBdr>
    </w:div>
    <w:div w:id="1440300228">
      <w:bodyDiv w:val="1"/>
      <w:marLeft w:val="0"/>
      <w:marRight w:val="0"/>
      <w:marTop w:val="0"/>
      <w:marBottom w:val="0"/>
      <w:divBdr>
        <w:top w:val="none" w:sz="0" w:space="0" w:color="auto"/>
        <w:left w:val="none" w:sz="0" w:space="0" w:color="auto"/>
        <w:bottom w:val="none" w:sz="0" w:space="0" w:color="auto"/>
        <w:right w:val="none" w:sz="0" w:space="0" w:color="auto"/>
      </w:divBdr>
    </w:div>
    <w:div w:id="1440486086">
      <w:bodyDiv w:val="1"/>
      <w:marLeft w:val="0"/>
      <w:marRight w:val="0"/>
      <w:marTop w:val="0"/>
      <w:marBottom w:val="0"/>
      <w:divBdr>
        <w:top w:val="none" w:sz="0" w:space="0" w:color="auto"/>
        <w:left w:val="none" w:sz="0" w:space="0" w:color="auto"/>
        <w:bottom w:val="none" w:sz="0" w:space="0" w:color="auto"/>
        <w:right w:val="none" w:sz="0" w:space="0" w:color="auto"/>
      </w:divBdr>
    </w:div>
    <w:div w:id="1441603424">
      <w:bodyDiv w:val="1"/>
      <w:marLeft w:val="0"/>
      <w:marRight w:val="0"/>
      <w:marTop w:val="0"/>
      <w:marBottom w:val="0"/>
      <w:divBdr>
        <w:top w:val="none" w:sz="0" w:space="0" w:color="auto"/>
        <w:left w:val="none" w:sz="0" w:space="0" w:color="auto"/>
        <w:bottom w:val="none" w:sz="0" w:space="0" w:color="auto"/>
        <w:right w:val="none" w:sz="0" w:space="0" w:color="auto"/>
      </w:divBdr>
    </w:div>
    <w:div w:id="1443644596">
      <w:bodyDiv w:val="1"/>
      <w:marLeft w:val="0"/>
      <w:marRight w:val="0"/>
      <w:marTop w:val="0"/>
      <w:marBottom w:val="0"/>
      <w:divBdr>
        <w:top w:val="none" w:sz="0" w:space="0" w:color="auto"/>
        <w:left w:val="none" w:sz="0" w:space="0" w:color="auto"/>
        <w:bottom w:val="none" w:sz="0" w:space="0" w:color="auto"/>
        <w:right w:val="none" w:sz="0" w:space="0" w:color="auto"/>
      </w:divBdr>
    </w:div>
    <w:div w:id="1444036384">
      <w:bodyDiv w:val="1"/>
      <w:marLeft w:val="0"/>
      <w:marRight w:val="0"/>
      <w:marTop w:val="0"/>
      <w:marBottom w:val="0"/>
      <w:divBdr>
        <w:top w:val="none" w:sz="0" w:space="0" w:color="auto"/>
        <w:left w:val="none" w:sz="0" w:space="0" w:color="auto"/>
        <w:bottom w:val="none" w:sz="0" w:space="0" w:color="auto"/>
        <w:right w:val="none" w:sz="0" w:space="0" w:color="auto"/>
      </w:divBdr>
    </w:div>
    <w:div w:id="1445345341">
      <w:bodyDiv w:val="1"/>
      <w:marLeft w:val="0"/>
      <w:marRight w:val="0"/>
      <w:marTop w:val="0"/>
      <w:marBottom w:val="0"/>
      <w:divBdr>
        <w:top w:val="none" w:sz="0" w:space="0" w:color="auto"/>
        <w:left w:val="none" w:sz="0" w:space="0" w:color="auto"/>
        <w:bottom w:val="none" w:sz="0" w:space="0" w:color="auto"/>
        <w:right w:val="none" w:sz="0" w:space="0" w:color="auto"/>
      </w:divBdr>
    </w:div>
    <w:div w:id="1446656712">
      <w:bodyDiv w:val="1"/>
      <w:marLeft w:val="0"/>
      <w:marRight w:val="0"/>
      <w:marTop w:val="0"/>
      <w:marBottom w:val="0"/>
      <w:divBdr>
        <w:top w:val="none" w:sz="0" w:space="0" w:color="auto"/>
        <w:left w:val="none" w:sz="0" w:space="0" w:color="auto"/>
        <w:bottom w:val="none" w:sz="0" w:space="0" w:color="auto"/>
        <w:right w:val="none" w:sz="0" w:space="0" w:color="auto"/>
      </w:divBdr>
    </w:div>
    <w:div w:id="1448694936">
      <w:bodyDiv w:val="1"/>
      <w:marLeft w:val="0"/>
      <w:marRight w:val="0"/>
      <w:marTop w:val="0"/>
      <w:marBottom w:val="0"/>
      <w:divBdr>
        <w:top w:val="none" w:sz="0" w:space="0" w:color="auto"/>
        <w:left w:val="none" w:sz="0" w:space="0" w:color="auto"/>
        <w:bottom w:val="none" w:sz="0" w:space="0" w:color="auto"/>
        <w:right w:val="none" w:sz="0" w:space="0" w:color="auto"/>
      </w:divBdr>
    </w:div>
    <w:div w:id="1457069340">
      <w:bodyDiv w:val="1"/>
      <w:marLeft w:val="0"/>
      <w:marRight w:val="0"/>
      <w:marTop w:val="0"/>
      <w:marBottom w:val="0"/>
      <w:divBdr>
        <w:top w:val="none" w:sz="0" w:space="0" w:color="auto"/>
        <w:left w:val="none" w:sz="0" w:space="0" w:color="auto"/>
        <w:bottom w:val="none" w:sz="0" w:space="0" w:color="auto"/>
        <w:right w:val="none" w:sz="0" w:space="0" w:color="auto"/>
      </w:divBdr>
    </w:div>
    <w:div w:id="1459106177">
      <w:bodyDiv w:val="1"/>
      <w:marLeft w:val="0"/>
      <w:marRight w:val="0"/>
      <w:marTop w:val="0"/>
      <w:marBottom w:val="0"/>
      <w:divBdr>
        <w:top w:val="none" w:sz="0" w:space="0" w:color="auto"/>
        <w:left w:val="none" w:sz="0" w:space="0" w:color="auto"/>
        <w:bottom w:val="none" w:sz="0" w:space="0" w:color="auto"/>
        <w:right w:val="none" w:sz="0" w:space="0" w:color="auto"/>
      </w:divBdr>
    </w:div>
    <w:div w:id="1460535458">
      <w:bodyDiv w:val="1"/>
      <w:marLeft w:val="0"/>
      <w:marRight w:val="0"/>
      <w:marTop w:val="0"/>
      <w:marBottom w:val="0"/>
      <w:divBdr>
        <w:top w:val="none" w:sz="0" w:space="0" w:color="auto"/>
        <w:left w:val="none" w:sz="0" w:space="0" w:color="auto"/>
        <w:bottom w:val="none" w:sz="0" w:space="0" w:color="auto"/>
        <w:right w:val="none" w:sz="0" w:space="0" w:color="auto"/>
      </w:divBdr>
    </w:div>
    <w:div w:id="1463033083">
      <w:bodyDiv w:val="1"/>
      <w:marLeft w:val="0"/>
      <w:marRight w:val="0"/>
      <w:marTop w:val="0"/>
      <w:marBottom w:val="0"/>
      <w:divBdr>
        <w:top w:val="none" w:sz="0" w:space="0" w:color="auto"/>
        <w:left w:val="none" w:sz="0" w:space="0" w:color="auto"/>
        <w:bottom w:val="none" w:sz="0" w:space="0" w:color="auto"/>
        <w:right w:val="none" w:sz="0" w:space="0" w:color="auto"/>
      </w:divBdr>
    </w:div>
    <w:div w:id="1464886711">
      <w:bodyDiv w:val="1"/>
      <w:marLeft w:val="0"/>
      <w:marRight w:val="0"/>
      <w:marTop w:val="0"/>
      <w:marBottom w:val="0"/>
      <w:divBdr>
        <w:top w:val="none" w:sz="0" w:space="0" w:color="auto"/>
        <w:left w:val="none" w:sz="0" w:space="0" w:color="auto"/>
        <w:bottom w:val="none" w:sz="0" w:space="0" w:color="auto"/>
        <w:right w:val="none" w:sz="0" w:space="0" w:color="auto"/>
      </w:divBdr>
    </w:div>
    <w:div w:id="1466000822">
      <w:bodyDiv w:val="1"/>
      <w:marLeft w:val="0"/>
      <w:marRight w:val="0"/>
      <w:marTop w:val="0"/>
      <w:marBottom w:val="0"/>
      <w:divBdr>
        <w:top w:val="none" w:sz="0" w:space="0" w:color="auto"/>
        <w:left w:val="none" w:sz="0" w:space="0" w:color="auto"/>
        <w:bottom w:val="none" w:sz="0" w:space="0" w:color="auto"/>
        <w:right w:val="none" w:sz="0" w:space="0" w:color="auto"/>
      </w:divBdr>
    </w:div>
    <w:div w:id="1467971093">
      <w:bodyDiv w:val="1"/>
      <w:marLeft w:val="0"/>
      <w:marRight w:val="0"/>
      <w:marTop w:val="0"/>
      <w:marBottom w:val="0"/>
      <w:divBdr>
        <w:top w:val="none" w:sz="0" w:space="0" w:color="auto"/>
        <w:left w:val="none" w:sz="0" w:space="0" w:color="auto"/>
        <w:bottom w:val="none" w:sz="0" w:space="0" w:color="auto"/>
        <w:right w:val="none" w:sz="0" w:space="0" w:color="auto"/>
      </w:divBdr>
    </w:div>
    <w:div w:id="1469082610">
      <w:bodyDiv w:val="1"/>
      <w:marLeft w:val="0"/>
      <w:marRight w:val="0"/>
      <w:marTop w:val="0"/>
      <w:marBottom w:val="0"/>
      <w:divBdr>
        <w:top w:val="none" w:sz="0" w:space="0" w:color="auto"/>
        <w:left w:val="none" w:sz="0" w:space="0" w:color="auto"/>
        <w:bottom w:val="none" w:sz="0" w:space="0" w:color="auto"/>
        <w:right w:val="none" w:sz="0" w:space="0" w:color="auto"/>
      </w:divBdr>
    </w:div>
    <w:div w:id="1470706989">
      <w:bodyDiv w:val="1"/>
      <w:marLeft w:val="0"/>
      <w:marRight w:val="0"/>
      <w:marTop w:val="0"/>
      <w:marBottom w:val="0"/>
      <w:divBdr>
        <w:top w:val="none" w:sz="0" w:space="0" w:color="auto"/>
        <w:left w:val="none" w:sz="0" w:space="0" w:color="auto"/>
        <w:bottom w:val="none" w:sz="0" w:space="0" w:color="auto"/>
        <w:right w:val="none" w:sz="0" w:space="0" w:color="auto"/>
      </w:divBdr>
    </w:div>
    <w:div w:id="1470977369">
      <w:bodyDiv w:val="1"/>
      <w:marLeft w:val="0"/>
      <w:marRight w:val="0"/>
      <w:marTop w:val="0"/>
      <w:marBottom w:val="0"/>
      <w:divBdr>
        <w:top w:val="none" w:sz="0" w:space="0" w:color="auto"/>
        <w:left w:val="none" w:sz="0" w:space="0" w:color="auto"/>
        <w:bottom w:val="none" w:sz="0" w:space="0" w:color="auto"/>
        <w:right w:val="none" w:sz="0" w:space="0" w:color="auto"/>
      </w:divBdr>
    </w:div>
    <w:div w:id="1472358845">
      <w:bodyDiv w:val="1"/>
      <w:marLeft w:val="0"/>
      <w:marRight w:val="0"/>
      <w:marTop w:val="0"/>
      <w:marBottom w:val="0"/>
      <w:divBdr>
        <w:top w:val="none" w:sz="0" w:space="0" w:color="auto"/>
        <w:left w:val="none" w:sz="0" w:space="0" w:color="auto"/>
        <w:bottom w:val="none" w:sz="0" w:space="0" w:color="auto"/>
        <w:right w:val="none" w:sz="0" w:space="0" w:color="auto"/>
      </w:divBdr>
    </w:div>
    <w:div w:id="1473055674">
      <w:bodyDiv w:val="1"/>
      <w:marLeft w:val="0"/>
      <w:marRight w:val="0"/>
      <w:marTop w:val="0"/>
      <w:marBottom w:val="0"/>
      <w:divBdr>
        <w:top w:val="none" w:sz="0" w:space="0" w:color="auto"/>
        <w:left w:val="none" w:sz="0" w:space="0" w:color="auto"/>
        <w:bottom w:val="none" w:sz="0" w:space="0" w:color="auto"/>
        <w:right w:val="none" w:sz="0" w:space="0" w:color="auto"/>
      </w:divBdr>
    </w:div>
    <w:div w:id="1473056288">
      <w:bodyDiv w:val="1"/>
      <w:marLeft w:val="0"/>
      <w:marRight w:val="0"/>
      <w:marTop w:val="0"/>
      <w:marBottom w:val="0"/>
      <w:divBdr>
        <w:top w:val="none" w:sz="0" w:space="0" w:color="auto"/>
        <w:left w:val="none" w:sz="0" w:space="0" w:color="auto"/>
        <w:bottom w:val="none" w:sz="0" w:space="0" w:color="auto"/>
        <w:right w:val="none" w:sz="0" w:space="0" w:color="auto"/>
      </w:divBdr>
    </w:div>
    <w:div w:id="1478647578">
      <w:bodyDiv w:val="1"/>
      <w:marLeft w:val="0"/>
      <w:marRight w:val="0"/>
      <w:marTop w:val="0"/>
      <w:marBottom w:val="0"/>
      <w:divBdr>
        <w:top w:val="none" w:sz="0" w:space="0" w:color="auto"/>
        <w:left w:val="none" w:sz="0" w:space="0" w:color="auto"/>
        <w:bottom w:val="none" w:sz="0" w:space="0" w:color="auto"/>
        <w:right w:val="none" w:sz="0" w:space="0" w:color="auto"/>
      </w:divBdr>
    </w:div>
    <w:div w:id="1480920754">
      <w:bodyDiv w:val="1"/>
      <w:marLeft w:val="0"/>
      <w:marRight w:val="0"/>
      <w:marTop w:val="0"/>
      <w:marBottom w:val="0"/>
      <w:divBdr>
        <w:top w:val="none" w:sz="0" w:space="0" w:color="auto"/>
        <w:left w:val="none" w:sz="0" w:space="0" w:color="auto"/>
        <w:bottom w:val="none" w:sz="0" w:space="0" w:color="auto"/>
        <w:right w:val="none" w:sz="0" w:space="0" w:color="auto"/>
      </w:divBdr>
    </w:div>
    <w:div w:id="1483157562">
      <w:bodyDiv w:val="1"/>
      <w:marLeft w:val="0"/>
      <w:marRight w:val="0"/>
      <w:marTop w:val="0"/>
      <w:marBottom w:val="0"/>
      <w:divBdr>
        <w:top w:val="none" w:sz="0" w:space="0" w:color="auto"/>
        <w:left w:val="none" w:sz="0" w:space="0" w:color="auto"/>
        <w:bottom w:val="none" w:sz="0" w:space="0" w:color="auto"/>
        <w:right w:val="none" w:sz="0" w:space="0" w:color="auto"/>
      </w:divBdr>
    </w:div>
    <w:div w:id="1485245718">
      <w:bodyDiv w:val="1"/>
      <w:marLeft w:val="0"/>
      <w:marRight w:val="0"/>
      <w:marTop w:val="0"/>
      <w:marBottom w:val="0"/>
      <w:divBdr>
        <w:top w:val="none" w:sz="0" w:space="0" w:color="auto"/>
        <w:left w:val="none" w:sz="0" w:space="0" w:color="auto"/>
        <w:bottom w:val="none" w:sz="0" w:space="0" w:color="auto"/>
        <w:right w:val="none" w:sz="0" w:space="0" w:color="auto"/>
      </w:divBdr>
    </w:div>
    <w:div w:id="1486630892">
      <w:bodyDiv w:val="1"/>
      <w:marLeft w:val="0"/>
      <w:marRight w:val="0"/>
      <w:marTop w:val="0"/>
      <w:marBottom w:val="0"/>
      <w:divBdr>
        <w:top w:val="none" w:sz="0" w:space="0" w:color="auto"/>
        <w:left w:val="none" w:sz="0" w:space="0" w:color="auto"/>
        <w:bottom w:val="none" w:sz="0" w:space="0" w:color="auto"/>
        <w:right w:val="none" w:sz="0" w:space="0" w:color="auto"/>
      </w:divBdr>
    </w:div>
    <w:div w:id="1486775133">
      <w:bodyDiv w:val="1"/>
      <w:marLeft w:val="0"/>
      <w:marRight w:val="0"/>
      <w:marTop w:val="0"/>
      <w:marBottom w:val="0"/>
      <w:divBdr>
        <w:top w:val="none" w:sz="0" w:space="0" w:color="auto"/>
        <w:left w:val="none" w:sz="0" w:space="0" w:color="auto"/>
        <w:bottom w:val="none" w:sz="0" w:space="0" w:color="auto"/>
        <w:right w:val="none" w:sz="0" w:space="0" w:color="auto"/>
      </w:divBdr>
    </w:div>
    <w:div w:id="1486817503">
      <w:bodyDiv w:val="1"/>
      <w:marLeft w:val="0"/>
      <w:marRight w:val="0"/>
      <w:marTop w:val="0"/>
      <w:marBottom w:val="0"/>
      <w:divBdr>
        <w:top w:val="none" w:sz="0" w:space="0" w:color="auto"/>
        <w:left w:val="none" w:sz="0" w:space="0" w:color="auto"/>
        <w:bottom w:val="none" w:sz="0" w:space="0" w:color="auto"/>
        <w:right w:val="none" w:sz="0" w:space="0" w:color="auto"/>
      </w:divBdr>
    </w:div>
    <w:div w:id="1487477377">
      <w:bodyDiv w:val="1"/>
      <w:marLeft w:val="0"/>
      <w:marRight w:val="0"/>
      <w:marTop w:val="0"/>
      <w:marBottom w:val="0"/>
      <w:divBdr>
        <w:top w:val="none" w:sz="0" w:space="0" w:color="auto"/>
        <w:left w:val="none" w:sz="0" w:space="0" w:color="auto"/>
        <w:bottom w:val="none" w:sz="0" w:space="0" w:color="auto"/>
        <w:right w:val="none" w:sz="0" w:space="0" w:color="auto"/>
      </w:divBdr>
    </w:div>
    <w:div w:id="1488277989">
      <w:bodyDiv w:val="1"/>
      <w:marLeft w:val="0"/>
      <w:marRight w:val="0"/>
      <w:marTop w:val="0"/>
      <w:marBottom w:val="0"/>
      <w:divBdr>
        <w:top w:val="none" w:sz="0" w:space="0" w:color="auto"/>
        <w:left w:val="none" w:sz="0" w:space="0" w:color="auto"/>
        <w:bottom w:val="none" w:sz="0" w:space="0" w:color="auto"/>
        <w:right w:val="none" w:sz="0" w:space="0" w:color="auto"/>
      </w:divBdr>
    </w:div>
    <w:div w:id="1489789980">
      <w:bodyDiv w:val="1"/>
      <w:marLeft w:val="0"/>
      <w:marRight w:val="0"/>
      <w:marTop w:val="0"/>
      <w:marBottom w:val="0"/>
      <w:divBdr>
        <w:top w:val="none" w:sz="0" w:space="0" w:color="auto"/>
        <w:left w:val="none" w:sz="0" w:space="0" w:color="auto"/>
        <w:bottom w:val="none" w:sz="0" w:space="0" w:color="auto"/>
        <w:right w:val="none" w:sz="0" w:space="0" w:color="auto"/>
      </w:divBdr>
    </w:div>
    <w:div w:id="1490900256">
      <w:bodyDiv w:val="1"/>
      <w:marLeft w:val="0"/>
      <w:marRight w:val="0"/>
      <w:marTop w:val="0"/>
      <w:marBottom w:val="0"/>
      <w:divBdr>
        <w:top w:val="none" w:sz="0" w:space="0" w:color="auto"/>
        <w:left w:val="none" w:sz="0" w:space="0" w:color="auto"/>
        <w:bottom w:val="none" w:sz="0" w:space="0" w:color="auto"/>
        <w:right w:val="none" w:sz="0" w:space="0" w:color="auto"/>
      </w:divBdr>
    </w:div>
    <w:div w:id="1491480706">
      <w:bodyDiv w:val="1"/>
      <w:marLeft w:val="0"/>
      <w:marRight w:val="0"/>
      <w:marTop w:val="0"/>
      <w:marBottom w:val="0"/>
      <w:divBdr>
        <w:top w:val="none" w:sz="0" w:space="0" w:color="auto"/>
        <w:left w:val="none" w:sz="0" w:space="0" w:color="auto"/>
        <w:bottom w:val="none" w:sz="0" w:space="0" w:color="auto"/>
        <w:right w:val="none" w:sz="0" w:space="0" w:color="auto"/>
      </w:divBdr>
    </w:div>
    <w:div w:id="1492134652">
      <w:bodyDiv w:val="1"/>
      <w:marLeft w:val="0"/>
      <w:marRight w:val="0"/>
      <w:marTop w:val="0"/>
      <w:marBottom w:val="0"/>
      <w:divBdr>
        <w:top w:val="none" w:sz="0" w:space="0" w:color="auto"/>
        <w:left w:val="none" w:sz="0" w:space="0" w:color="auto"/>
        <w:bottom w:val="none" w:sz="0" w:space="0" w:color="auto"/>
        <w:right w:val="none" w:sz="0" w:space="0" w:color="auto"/>
      </w:divBdr>
    </w:div>
    <w:div w:id="1493637110">
      <w:bodyDiv w:val="1"/>
      <w:marLeft w:val="0"/>
      <w:marRight w:val="0"/>
      <w:marTop w:val="0"/>
      <w:marBottom w:val="0"/>
      <w:divBdr>
        <w:top w:val="none" w:sz="0" w:space="0" w:color="auto"/>
        <w:left w:val="none" w:sz="0" w:space="0" w:color="auto"/>
        <w:bottom w:val="none" w:sz="0" w:space="0" w:color="auto"/>
        <w:right w:val="none" w:sz="0" w:space="0" w:color="auto"/>
      </w:divBdr>
    </w:div>
    <w:div w:id="1495998168">
      <w:bodyDiv w:val="1"/>
      <w:marLeft w:val="0"/>
      <w:marRight w:val="0"/>
      <w:marTop w:val="0"/>
      <w:marBottom w:val="0"/>
      <w:divBdr>
        <w:top w:val="none" w:sz="0" w:space="0" w:color="auto"/>
        <w:left w:val="none" w:sz="0" w:space="0" w:color="auto"/>
        <w:bottom w:val="none" w:sz="0" w:space="0" w:color="auto"/>
        <w:right w:val="none" w:sz="0" w:space="0" w:color="auto"/>
      </w:divBdr>
    </w:div>
    <w:div w:id="1498809311">
      <w:bodyDiv w:val="1"/>
      <w:marLeft w:val="0"/>
      <w:marRight w:val="0"/>
      <w:marTop w:val="0"/>
      <w:marBottom w:val="0"/>
      <w:divBdr>
        <w:top w:val="none" w:sz="0" w:space="0" w:color="auto"/>
        <w:left w:val="none" w:sz="0" w:space="0" w:color="auto"/>
        <w:bottom w:val="none" w:sz="0" w:space="0" w:color="auto"/>
        <w:right w:val="none" w:sz="0" w:space="0" w:color="auto"/>
      </w:divBdr>
    </w:div>
    <w:div w:id="1499148256">
      <w:bodyDiv w:val="1"/>
      <w:marLeft w:val="0"/>
      <w:marRight w:val="0"/>
      <w:marTop w:val="0"/>
      <w:marBottom w:val="0"/>
      <w:divBdr>
        <w:top w:val="none" w:sz="0" w:space="0" w:color="auto"/>
        <w:left w:val="none" w:sz="0" w:space="0" w:color="auto"/>
        <w:bottom w:val="none" w:sz="0" w:space="0" w:color="auto"/>
        <w:right w:val="none" w:sz="0" w:space="0" w:color="auto"/>
      </w:divBdr>
    </w:div>
    <w:div w:id="1500658463">
      <w:bodyDiv w:val="1"/>
      <w:marLeft w:val="0"/>
      <w:marRight w:val="0"/>
      <w:marTop w:val="0"/>
      <w:marBottom w:val="0"/>
      <w:divBdr>
        <w:top w:val="none" w:sz="0" w:space="0" w:color="auto"/>
        <w:left w:val="none" w:sz="0" w:space="0" w:color="auto"/>
        <w:bottom w:val="none" w:sz="0" w:space="0" w:color="auto"/>
        <w:right w:val="none" w:sz="0" w:space="0" w:color="auto"/>
      </w:divBdr>
    </w:div>
    <w:div w:id="1502888396">
      <w:bodyDiv w:val="1"/>
      <w:marLeft w:val="0"/>
      <w:marRight w:val="0"/>
      <w:marTop w:val="0"/>
      <w:marBottom w:val="0"/>
      <w:divBdr>
        <w:top w:val="none" w:sz="0" w:space="0" w:color="auto"/>
        <w:left w:val="none" w:sz="0" w:space="0" w:color="auto"/>
        <w:bottom w:val="none" w:sz="0" w:space="0" w:color="auto"/>
        <w:right w:val="none" w:sz="0" w:space="0" w:color="auto"/>
      </w:divBdr>
    </w:div>
    <w:div w:id="1502969626">
      <w:bodyDiv w:val="1"/>
      <w:marLeft w:val="0"/>
      <w:marRight w:val="0"/>
      <w:marTop w:val="0"/>
      <w:marBottom w:val="0"/>
      <w:divBdr>
        <w:top w:val="none" w:sz="0" w:space="0" w:color="auto"/>
        <w:left w:val="none" w:sz="0" w:space="0" w:color="auto"/>
        <w:bottom w:val="none" w:sz="0" w:space="0" w:color="auto"/>
        <w:right w:val="none" w:sz="0" w:space="0" w:color="auto"/>
      </w:divBdr>
    </w:div>
    <w:div w:id="1503618613">
      <w:bodyDiv w:val="1"/>
      <w:marLeft w:val="0"/>
      <w:marRight w:val="0"/>
      <w:marTop w:val="0"/>
      <w:marBottom w:val="0"/>
      <w:divBdr>
        <w:top w:val="none" w:sz="0" w:space="0" w:color="auto"/>
        <w:left w:val="none" w:sz="0" w:space="0" w:color="auto"/>
        <w:bottom w:val="none" w:sz="0" w:space="0" w:color="auto"/>
        <w:right w:val="none" w:sz="0" w:space="0" w:color="auto"/>
      </w:divBdr>
    </w:div>
    <w:div w:id="1504736606">
      <w:bodyDiv w:val="1"/>
      <w:marLeft w:val="0"/>
      <w:marRight w:val="0"/>
      <w:marTop w:val="0"/>
      <w:marBottom w:val="0"/>
      <w:divBdr>
        <w:top w:val="none" w:sz="0" w:space="0" w:color="auto"/>
        <w:left w:val="none" w:sz="0" w:space="0" w:color="auto"/>
        <w:bottom w:val="none" w:sz="0" w:space="0" w:color="auto"/>
        <w:right w:val="none" w:sz="0" w:space="0" w:color="auto"/>
      </w:divBdr>
    </w:div>
    <w:div w:id="1506281834">
      <w:bodyDiv w:val="1"/>
      <w:marLeft w:val="0"/>
      <w:marRight w:val="0"/>
      <w:marTop w:val="0"/>
      <w:marBottom w:val="0"/>
      <w:divBdr>
        <w:top w:val="none" w:sz="0" w:space="0" w:color="auto"/>
        <w:left w:val="none" w:sz="0" w:space="0" w:color="auto"/>
        <w:bottom w:val="none" w:sz="0" w:space="0" w:color="auto"/>
        <w:right w:val="none" w:sz="0" w:space="0" w:color="auto"/>
      </w:divBdr>
    </w:div>
    <w:div w:id="1507094011">
      <w:bodyDiv w:val="1"/>
      <w:marLeft w:val="0"/>
      <w:marRight w:val="0"/>
      <w:marTop w:val="0"/>
      <w:marBottom w:val="0"/>
      <w:divBdr>
        <w:top w:val="none" w:sz="0" w:space="0" w:color="auto"/>
        <w:left w:val="none" w:sz="0" w:space="0" w:color="auto"/>
        <w:bottom w:val="none" w:sz="0" w:space="0" w:color="auto"/>
        <w:right w:val="none" w:sz="0" w:space="0" w:color="auto"/>
      </w:divBdr>
    </w:div>
    <w:div w:id="1508517944">
      <w:bodyDiv w:val="1"/>
      <w:marLeft w:val="0"/>
      <w:marRight w:val="0"/>
      <w:marTop w:val="0"/>
      <w:marBottom w:val="0"/>
      <w:divBdr>
        <w:top w:val="none" w:sz="0" w:space="0" w:color="auto"/>
        <w:left w:val="none" w:sz="0" w:space="0" w:color="auto"/>
        <w:bottom w:val="none" w:sz="0" w:space="0" w:color="auto"/>
        <w:right w:val="none" w:sz="0" w:space="0" w:color="auto"/>
      </w:divBdr>
    </w:div>
    <w:div w:id="1512142249">
      <w:bodyDiv w:val="1"/>
      <w:marLeft w:val="0"/>
      <w:marRight w:val="0"/>
      <w:marTop w:val="0"/>
      <w:marBottom w:val="0"/>
      <w:divBdr>
        <w:top w:val="none" w:sz="0" w:space="0" w:color="auto"/>
        <w:left w:val="none" w:sz="0" w:space="0" w:color="auto"/>
        <w:bottom w:val="none" w:sz="0" w:space="0" w:color="auto"/>
        <w:right w:val="none" w:sz="0" w:space="0" w:color="auto"/>
      </w:divBdr>
    </w:div>
    <w:div w:id="1513377679">
      <w:bodyDiv w:val="1"/>
      <w:marLeft w:val="0"/>
      <w:marRight w:val="0"/>
      <w:marTop w:val="0"/>
      <w:marBottom w:val="0"/>
      <w:divBdr>
        <w:top w:val="none" w:sz="0" w:space="0" w:color="auto"/>
        <w:left w:val="none" w:sz="0" w:space="0" w:color="auto"/>
        <w:bottom w:val="none" w:sz="0" w:space="0" w:color="auto"/>
        <w:right w:val="none" w:sz="0" w:space="0" w:color="auto"/>
      </w:divBdr>
    </w:div>
    <w:div w:id="1513762823">
      <w:bodyDiv w:val="1"/>
      <w:marLeft w:val="0"/>
      <w:marRight w:val="0"/>
      <w:marTop w:val="0"/>
      <w:marBottom w:val="0"/>
      <w:divBdr>
        <w:top w:val="none" w:sz="0" w:space="0" w:color="auto"/>
        <w:left w:val="none" w:sz="0" w:space="0" w:color="auto"/>
        <w:bottom w:val="none" w:sz="0" w:space="0" w:color="auto"/>
        <w:right w:val="none" w:sz="0" w:space="0" w:color="auto"/>
      </w:divBdr>
    </w:div>
    <w:div w:id="1514346421">
      <w:bodyDiv w:val="1"/>
      <w:marLeft w:val="0"/>
      <w:marRight w:val="0"/>
      <w:marTop w:val="0"/>
      <w:marBottom w:val="0"/>
      <w:divBdr>
        <w:top w:val="none" w:sz="0" w:space="0" w:color="auto"/>
        <w:left w:val="none" w:sz="0" w:space="0" w:color="auto"/>
        <w:bottom w:val="none" w:sz="0" w:space="0" w:color="auto"/>
        <w:right w:val="none" w:sz="0" w:space="0" w:color="auto"/>
      </w:divBdr>
    </w:div>
    <w:div w:id="1514417085">
      <w:bodyDiv w:val="1"/>
      <w:marLeft w:val="0"/>
      <w:marRight w:val="0"/>
      <w:marTop w:val="0"/>
      <w:marBottom w:val="0"/>
      <w:divBdr>
        <w:top w:val="none" w:sz="0" w:space="0" w:color="auto"/>
        <w:left w:val="none" w:sz="0" w:space="0" w:color="auto"/>
        <w:bottom w:val="none" w:sz="0" w:space="0" w:color="auto"/>
        <w:right w:val="none" w:sz="0" w:space="0" w:color="auto"/>
      </w:divBdr>
    </w:div>
    <w:div w:id="1515848153">
      <w:bodyDiv w:val="1"/>
      <w:marLeft w:val="0"/>
      <w:marRight w:val="0"/>
      <w:marTop w:val="0"/>
      <w:marBottom w:val="0"/>
      <w:divBdr>
        <w:top w:val="none" w:sz="0" w:space="0" w:color="auto"/>
        <w:left w:val="none" w:sz="0" w:space="0" w:color="auto"/>
        <w:bottom w:val="none" w:sz="0" w:space="0" w:color="auto"/>
        <w:right w:val="none" w:sz="0" w:space="0" w:color="auto"/>
      </w:divBdr>
    </w:div>
    <w:div w:id="1517306956">
      <w:bodyDiv w:val="1"/>
      <w:marLeft w:val="0"/>
      <w:marRight w:val="0"/>
      <w:marTop w:val="0"/>
      <w:marBottom w:val="0"/>
      <w:divBdr>
        <w:top w:val="none" w:sz="0" w:space="0" w:color="auto"/>
        <w:left w:val="none" w:sz="0" w:space="0" w:color="auto"/>
        <w:bottom w:val="none" w:sz="0" w:space="0" w:color="auto"/>
        <w:right w:val="none" w:sz="0" w:space="0" w:color="auto"/>
      </w:divBdr>
    </w:div>
    <w:div w:id="1518807028">
      <w:bodyDiv w:val="1"/>
      <w:marLeft w:val="0"/>
      <w:marRight w:val="0"/>
      <w:marTop w:val="0"/>
      <w:marBottom w:val="0"/>
      <w:divBdr>
        <w:top w:val="none" w:sz="0" w:space="0" w:color="auto"/>
        <w:left w:val="none" w:sz="0" w:space="0" w:color="auto"/>
        <w:bottom w:val="none" w:sz="0" w:space="0" w:color="auto"/>
        <w:right w:val="none" w:sz="0" w:space="0" w:color="auto"/>
      </w:divBdr>
    </w:div>
    <w:div w:id="1519268051">
      <w:bodyDiv w:val="1"/>
      <w:marLeft w:val="0"/>
      <w:marRight w:val="0"/>
      <w:marTop w:val="0"/>
      <w:marBottom w:val="0"/>
      <w:divBdr>
        <w:top w:val="none" w:sz="0" w:space="0" w:color="auto"/>
        <w:left w:val="none" w:sz="0" w:space="0" w:color="auto"/>
        <w:bottom w:val="none" w:sz="0" w:space="0" w:color="auto"/>
        <w:right w:val="none" w:sz="0" w:space="0" w:color="auto"/>
      </w:divBdr>
    </w:div>
    <w:div w:id="1519394652">
      <w:bodyDiv w:val="1"/>
      <w:marLeft w:val="0"/>
      <w:marRight w:val="0"/>
      <w:marTop w:val="0"/>
      <w:marBottom w:val="0"/>
      <w:divBdr>
        <w:top w:val="none" w:sz="0" w:space="0" w:color="auto"/>
        <w:left w:val="none" w:sz="0" w:space="0" w:color="auto"/>
        <w:bottom w:val="none" w:sz="0" w:space="0" w:color="auto"/>
        <w:right w:val="none" w:sz="0" w:space="0" w:color="auto"/>
      </w:divBdr>
    </w:div>
    <w:div w:id="1520006386">
      <w:bodyDiv w:val="1"/>
      <w:marLeft w:val="0"/>
      <w:marRight w:val="0"/>
      <w:marTop w:val="0"/>
      <w:marBottom w:val="0"/>
      <w:divBdr>
        <w:top w:val="none" w:sz="0" w:space="0" w:color="auto"/>
        <w:left w:val="none" w:sz="0" w:space="0" w:color="auto"/>
        <w:bottom w:val="none" w:sz="0" w:space="0" w:color="auto"/>
        <w:right w:val="none" w:sz="0" w:space="0" w:color="auto"/>
      </w:divBdr>
    </w:div>
    <w:div w:id="1525746845">
      <w:bodyDiv w:val="1"/>
      <w:marLeft w:val="0"/>
      <w:marRight w:val="0"/>
      <w:marTop w:val="0"/>
      <w:marBottom w:val="0"/>
      <w:divBdr>
        <w:top w:val="none" w:sz="0" w:space="0" w:color="auto"/>
        <w:left w:val="none" w:sz="0" w:space="0" w:color="auto"/>
        <w:bottom w:val="none" w:sz="0" w:space="0" w:color="auto"/>
        <w:right w:val="none" w:sz="0" w:space="0" w:color="auto"/>
      </w:divBdr>
    </w:div>
    <w:div w:id="1526748928">
      <w:bodyDiv w:val="1"/>
      <w:marLeft w:val="0"/>
      <w:marRight w:val="0"/>
      <w:marTop w:val="0"/>
      <w:marBottom w:val="0"/>
      <w:divBdr>
        <w:top w:val="none" w:sz="0" w:space="0" w:color="auto"/>
        <w:left w:val="none" w:sz="0" w:space="0" w:color="auto"/>
        <w:bottom w:val="none" w:sz="0" w:space="0" w:color="auto"/>
        <w:right w:val="none" w:sz="0" w:space="0" w:color="auto"/>
      </w:divBdr>
    </w:div>
    <w:div w:id="1527332490">
      <w:bodyDiv w:val="1"/>
      <w:marLeft w:val="0"/>
      <w:marRight w:val="0"/>
      <w:marTop w:val="0"/>
      <w:marBottom w:val="0"/>
      <w:divBdr>
        <w:top w:val="none" w:sz="0" w:space="0" w:color="auto"/>
        <w:left w:val="none" w:sz="0" w:space="0" w:color="auto"/>
        <w:bottom w:val="none" w:sz="0" w:space="0" w:color="auto"/>
        <w:right w:val="none" w:sz="0" w:space="0" w:color="auto"/>
      </w:divBdr>
    </w:div>
    <w:div w:id="1527985151">
      <w:bodyDiv w:val="1"/>
      <w:marLeft w:val="0"/>
      <w:marRight w:val="0"/>
      <w:marTop w:val="0"/>
      <w:marBottom w:val="0"/>
      <w:divBdr>
        <w:top w:val="none" w:sz="0" w:space="0" w:color="auto"/>
        <w:left w:val="none" w:sz="0" w:space="0" w:color="auto"/>
        <w:bottom w:val="none" w:sz="0" w:space="0" w:color="auto"/>
        <w:right w:val="none" w:sz="0" w:space="0" w:color="auto"/>
      </w:divBdr>
    </w:div>
    <w:div w:id="1528132018">
      <w:bodyDiv w:val="1"/>
      <w:marLeft w:val="0"/>
      <w:marRight w:val="0"/>
      <w:marTop w:val="0"/>
      <w:marBottom w:val="0"/>
      <w:divBdr>
        <w:top w:val="none" w:sz="0" w:space="0" w:color="auto"/>
        <w:left w:val="none" w:sz="0" w:space="0" w:color="auto"/>
        <w:bottom w:val="none" w:sz="0" w:space="0" w:color="auto"/>
        <w:right w:val="none" w:sz="0" w:space="0" w:color="auto"/>
      </w:divBdr>
    </w:div>
    <w:div w:id="1528180515">
      <w:bodyDiv w:val="1"/>
      <w:marLeft w:val="0"/>
      <w:marRight w:val="0"/>
      <w:marTop w:val="0"/>
      <w:marBottom w:val="0"/>
      <w:divBdr>
        <w:top w:val="none" w:sz="0" w:space="0" w:color="auto"/>
        <w:left w:val="none" w:sz="0" w:space="0" w:color="auto"/>
        <w:bottom w:val="none" w:sz="0" w:space="0" w:color="auto"/>
        <w:right w:val="none" w:sz="0" w:space="0" w:color="auto"/>
      </w:divBdr>
    </w:div>
    <w:div w:id="1528519930">
      <w:bodyDiv w:val="1"/>
      <w:marLeft w:val="0"/>
      <w:marRight w:val="0"/>
      <w:marTop w:val="0"/>
      <w:marBottom w:val="0"/>
      <w:divBdr>
        <w:top w:val="none" w:sz="0" w:space="0" w:color="auto"/>
        <w:left w:val="none" w:sz="0" w:space="0" w:color="auto"/>
        <w:bottom w:val="none" w:sz="0" w:space="0" w:color="auto"/>
        <w:right w:val="none" w:sz="0" w:space="0" w:color="auto"/>
      </w:divBdr>
    </w:div>
    <w:div w:id="1529369796">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2648181">
      <w:bodyDiv w:val="1"/>
      <w:marLeft w:val="0"/>
      <w:marRight w:val="0"/>
      <w:marTop w:val="0"/>
      <w:marBottom w:val="0"/>
      <w:divBdr>
        <w:top w:val="none" w:sz="0" w:space="0" w:color="auto"/>
        <w:left w:val="none" w:sz="0" w:space="0" w:color="auto"/>
        <w:bottom w:val="none" w:sz="0" w:space="0" w:color="auto"/>
        <w:right w:val="none" w:sz="0" w:space="0" w:color="auto"/>
      </w:divBdr>
    </w:div>
    <w:div w:id="1533492970">
      <w:bodyDiv w:val="1"/>
      <w:marLeft w:val="0"/>
      <w:marRight w:val="0"/>
      <w:marTop w:val="0"/>
      <w:marBottom w:val="0"/>
      <w:divBdr>
        <w:top w:val="none" w:sz="0" w:space="0" w:color="auto"/>
        <w:left w:val="none" w:sz="0" w:space="0" w:color="auto"/>
        <w:bottom w:val="none" w:sz="0" w:space="0" w:color="auto"/>
        <w:right w:val="none" w:sz="0" w:space="0" w:color="auto"/>
      </w:divBdr>
    </w:div>
    <w:div w:id="1534003528">
      <w:bodyDiv w:val="1"/>
      <w:marLeft w:val="0"/>
      <w:marRight w:val="0"/>
      <w:marTop w:val="0"/>
      <w:marBottom w:val="0"/>
      <w:divBdr>
        <w:top w:val="none" w:sz="0" w:space="0" w:color="auto"/>
        <w:left w:val="none" w:sz="0" w:space="0" w:color="auto"/>
        <w:bottom w:val="none" w:sz="0" w:space="0" w:color="auto"/>
        <w:right w:val="none" w:sz="0" w:space="0" w:color="auto"/>
      </w:divBdr>
    </w:div>
    <w:div w:id="1534997029">
      <w:bodyDiv w:val="1"/>
      <w:marLeft w:val="0"/>
      <w:marRight w:val="0"/>
      <w:marTop w:val="0"/>
      <w:marBottom w:val="0"/>
      <w:divBdr>
        <w:top w:val="none" w:sz="0" w:space="0" w:color="auto"/>
        <w:left w:val="none" w:sz="0" w:space="0" w:color="auto"/>
        <w:bottom w:val="none" w:sz="0" w:space="0" w:color="auto"/>
        <w:right w:val="none" w:sz="0" w:space="0" w:color="auto"/>
      </w:divBdr>
    </w:div>
    <w:div w:id="1536697583">
      <w:bodyDiv w:val="1"/>
      <w:marLeft w:val="0"/>
      <w:marRight w:val="0"/>
      <w:marTop w:val="0"/>
      <w:marBottom w:val="0"/>
      <w:divBdr>
        <w:top w:val="none" w:sz="0" w:space="0" w:color="auto"/>
        <w:left w:val="none" w:sz="0" w:space="0" w:color="auto"/>
        <w:bottom w:val="none" w:sz="0" w:space="0" w:color="auto"/>
        <w:right w:val="none" w:sz="0" w:space="0" w:color="auto"/>
      </w:divBdr>
    </w:div>
    <w:div w:id="1537961156">
      <w:bodyDiv w:val="1"/>
      <w:marLeft w:val="0"/>
      <w:marRight w:val="0"/>
      <w:marTop w:val="0"/>
      <w:marBottom w:val="0"/>
      <w:divBdr>
        <w:top w:val="none" w:sz="0" w:space="0" w:color="auto"/>
        <w:left w:val="none" w:sz="0" w:space="0" w:color="auto"/>
        <w:bottom w:val="none" w:sz="0" w:space="0" w:color="auto"/>
        <w:right w:val="none" w:sz="0" w:space="0" w:color="auto"/>
      </w:divBdr>
    </w:div>
    <w:div w:id="1539969389">
      <w:bodyDiv w:val="1"/>
      <w:marLeft w:val="0"/>
      <w:marRight w:val="0"/>
      <w:marTop w:val="0"/>
      <w:marBottom w:val="0"/>
      <w:divBdr>
        <w:top w:val="none" w:sz="0" w:space="0" w:color="auto"/>
        <w:left w:val="none" w:sz="0" w:space="0" w:color="auto"/>
        <w:bottom w:val="none" w:sz="0" w:space="0" w:color="auto"/>
        <w:right w:val="none" w:sz="0" w:space="0" w:color="auto"/>
      </w:divBdr>
    </w:div>
    <w:div w:id="1542129105">
      <w:bodyDiv w:val="1"/>
      <w:marLeft w:val="0"/>
      <w:marRight w:val="0"/>
      <w:marTop w:val="0"/>
      <w:marBottom w:val="0"/>
      <w:divBdr>
        <w:top w:val="none" w:sz="0" w:space="0" w:color="auto"/>
        <w:left w:val="none" w:sz="0" w:space="0" w:color="auto"/>
        <w:bottom w:val="none" w:sz="0" w:space="0" w:color="auto"/>
        <w:right w:val="none" w:sz="0" w:space="0" w:color="auto"/>
      </w:divBdr>
    </w:div>
    <w:div w:id="1544637433">
      <w:bodyDiv w:val="1"/>
      <w:marLeft w:val="0"/>
      <w:marRight w:val="0"/>
      <w:marTop w:val="0"/>
      <w:marBottom w:val="0"/>
      <w:divBdr>
        <w:top w:val="none" w:sz="0" w:space="0" w:color="auto"/>
        <w:left w:val="none" w:sz="0" w:space="0" w:color="auto"/>
        <w:bottom w:val="none" w:sz="0" w:space="0" w:color="auto"/>
        <w:right w:val="none" w:sz="0" w:space="0" w:color="auto"/>
      </w:divBdr>
    </w:div>
    <w:div w:id="1545364042">
      <w:bodyDiv w:val="1"/>
      <w:marLeft w:val="0"/>
      <w:marRight w:val="0"/>
      <w:marTop w:val="0"/>
      <w:marBottom w:val="0"/>
      <w:divBdr>
        <w:top w:val="none" w:sz="0" w:space="0" w:color="auto"/>
        <w:left w:val="none" w:sz="0" w:space="0" w:color="auto"/>
        <w:bottom w:val="none" w:sz="0" w:space="0" w:color="auto"/>
        <w:right w:val="none" w:sz="0" w:space="0" w:color="auto"/>
      </w:divBdr>
    </w:div>
    <w:div w:id="1545481448">
      <w:bodyDiv w:val="1"/>
      <w:marLeft w:val="0"/>
      <w:marRight w:val="0"/>
      <w:marTop w:val="0"/>
      <w:marBottom w:val="0"/>
      <w:divBdr>
        <w:top w:val="none" w:sz="0" w:space="0" w:color="auto"/>
        <w:left w:val="none" w:sz="0" w:space="0" w:color="auto"/>
        <w:bottom w:val="none" w:sz="0" w:space="0" w:color="auto"/>
        <w:right w:val="none" w:sz="0" w:space="0" w:color="auto"/>
      </w:divBdr>
    </w:div>
    <w:div w:id="1553342305">
      <w:bodyDiv w:val="1"/>
      <w:marLeft w:val="0"/>
      <w:marRight w:val="0"/>
      <w:marTop w:val="0"/>
      <w:marBottom w:val="0"/>
      <w:divBdr>
        <w:top w:val="none" w:sz="0" w:space="0" w:color="auto"/>
        <w:left w:val="none" w:sz="0" w:space="0" w:color="auto"/>
        <w:bottom w:val="none" w:sz="0" w:space="0" w:color="auto"/>
        <w:right w:val="none" w:sz="0" w:space="0" w:color="auto"/>
      </w:divBdr>
    </w:div>
    <w:div w:id="1560677286">
      <w:bodyDiv w:val="1"/>
      <w:marLeft w:val="0"/>
      <w:marRight w:val="0"/>
      <w:marTop w:val="0"/>
      <w:marBottom w:val="0"/>
      <w:divBdr>
        <w:top w:val="none" w:sz="0" w:space="0" w:color="auto"/>
        <w:left w:val="none" w:sz="0" w:space="0" w:color="auto"/>
        <w:bottom w:val="none" w:sz="0" w:space="0" w:color="auto"/>
        <w:right w:val="none" w:sz="0" w:space="0" w:color="auto"/>
      </w:divBdr>
    </w:div>
    <w:div w:id="1562905889">
      <w:bodyDiv w:val="1"/>
      <w:marLeft w:val="0"/>
      <w:marRight w:val="0"/>
      <w:marTop w:val="0"/>
      <w:marBottom w:val="0"/>
      <w:divBdr>
        <w:top w:val="none" w:sz="0" w:space="0" w:color="auto"/>
        <w:left w:val="none" w:sz="0" w:space="0" w:color="auto"/>
        <w:bottom w:val="none" w:sz="0" w:space="0" w:color="auto"/>
        <w:right w:val="none" w:sz="0" w:space="0" w:color="auto"/>
      </w:divBdr>
    </w:div>
    <w:div w:id="1563057879">
      <w:bodyDiv w:val="1"/>
      <w:marLeft w:val="0"/>
      <w:marRight w:val="0"/>
      <w:marTop w:val="0"/>
      <w:marBottom w:val="0"/>
      <w:divBdr>
        <w:top w:val="none" w:sz="0" w:space="0" w:color="auto"/>
        <w:left w:val="none" w:sz="0" w:space="0" w:color="auto"/>
        <w:bottom w:val="none" w:sz="0" w:space="0" w:color="auto"/>
        <w:right w:val="none" w:sz="0" w:space="0" w:color="auto"/>
      </w:divBdr>
    </w:div>
    <w:div w:id="1564371521">
      <w:bodyDiv w:val="1"/>
      <w:marLeft w:val="0"/>
      <w:marRight w:val="0"/>
      <w:marTop w:val="0"/>
      <w:marBottom w:val="0"/>
      <w:divBdr>
        <w:top w:val="none" w:sz="0" w:space="0" w:color="auto"/>
        <w:left w:val="none" w:sz="0" w:space="0" w:color="auto"/>
        <w:bottom w:val="none" w:sz="0" w:space="0" w:color="auto"/>
        <w:right w:val="none" w:sz="0" w:space="0" w:color="auto"/>
      </w:divBdr>
    </w:div>
    <w:div w:id="1565218054">
      <w:bodyDiv w:val="1"/>
      <w:marLeft w:val="0"/>
      <w:marRight w:val="0"/>
      <w:marTop w:val="0"/>
      <w:marBottom w:val="0"/>
      <w:divBdr>
        <w:top w:val="none" w:sz="0" w:space="0" w:color="auto"/>
        <w:left w:val="none" w:sz="0" w:space="0" w:color="auto"/>
        <w:bottom w:val="none" w:sz="0" w:space="0" w:color="auto"/>
        <w:right w:val="none" w:sz="0" w:space="0" w:color="auto"/>
      </w:divBdr>
    </w:div>
    <w:div w:id="1565675387">
      <w:bodyDiv w:val="1"/>
      <w:marLeft w:val="0"/>
      <w:marRight w:val="0"/>
      <w:marTop w:val="0"/>
      <w:marBottom w:val="0"/>
      <w:divBdr>
        <w:top w:val="none" w:sz="0" w:space="0" w:color="auto"/>
        <w:left w:val="none" w:sz="0" w:space="0" w:color="auto"/>
        <w:bottom w:val="none" w:sz="0" w:space="0" w:color="auto"/>
        <w:right w:val="none" w:sz="0" w:space="0" w:color="auto"/>
      </w:divBdr>
    </w:div>
    <w:div w:id="1565722306">
      <w:bodyDiv w:val="1"/>
      <w:marLeft w:val="0"/>
      <w:marRight w:val="0"/>
      <w:marTop w:val="0"/>
      <w:marBottom w:val="0"/>
      <w:divBdr>
        <w:top w:val="none" w:sz="0" w:space="0" w:color="auto"/>
        <w:left w:val="none" w:sz="0" w:space="0" w:color="auto"/>
        <w:bottom w:val="none" w:sz="0" w:space="0" w:color="auto"/>
        <w:right w:val="none" w:sz="0" w:space="0" w:color="auto"/>
      </w:divBdr>
    </w:div>
    <w:div w:id="1569997795">
      <w:bodyDiv w:val="1"/>
      <w:marLeft w:val="0"/>
      <w:marRight w:val="0"/>
      <w:marTop w:val="0"/>
      <w:marBottom w:val="0"/>
      <w:divBdr>
        <w:top w:val="none" w:sz="0" w:space="0" w:color="auto"/>
        <w:left w:val="none" w:sz="0" w:space="0" w:color="auto"/>
        <w:bottom w:val="none" w:sz="0" w:space="0" w:color="auto"/>
        <w:right w:val="none" w:sz="0" w:space="0" w:color="auto"/>
      </w:divBdr>
    </w:div>
    <w:div w:id="1571576115">
      <w:bodyDiv w:val="1"/>
      <w:marLeft w:val="0"/>
      <w:marRight w:val="0"/>
      <w:marTop w:val="0"/>
      <w:marBottom w:val="0"/>
      <w:divBdr>
        <w:top w:val="none" w:sz="0" w:space="0" w:color="auto"/>
        <w:left w:val="none" w:sz="0" w:space="0" w:color="auto"/>
        <w:bottom w:val="none" w:sz="0" w:space="0" w:color="auto"/>
        <w:right w:val="none" w:sz="0" w:space="0" w:color="auto"/>
      </w:divBdr>
    </w:div>
    <w:div w:id="1571621330">
      <w:bodyDiv w:val="1"/>
      <w:marLeft w:val="0"/>
      <w:marRight w:val="0"/>
      <w:marTop w:val="0"/>
      <w:marBottom w:val="0"/>
      <w:divBdr>
        <w:top w:val="none" w:sz="0" w:space="0" w:color="auto"/>
        <w:left w:val="none" w:sz="0" w:space="0" w:color="auto"/>
        <w:bottom w:val="none" w:sz="0" w:space="0" w:color="auto"/>
        <w:right w:val="none" w:sz="0" w:space="0" w:color="auto"/>
      </w:divBdr>
    </w:div>
    <w:div w:id="1571767243">
      <w:bodyDiv w:val="1"/>
      <w:marLeft w:val="0"/>
      <w:marRight w:val="0"/>
      <w:marTop w:val="0"/>
      <w:marBottom w:val="0"/>
      <w:divBdr>
        <w:top w:val="none" w:sz="0" w:space="0" w:color="auto"/>
        <w:left w:val="none" w:sz="0" w:space="0" w:color="auto"/>
        <w:bottom w:val="none" w:sz="0" w:space="0" w:color="auto"/>
        <w:right w:val="none" w:sz="0" w:space="0" w:color="auto"/>
      </w:divBdr>
    </w:div>
    <w:div w:id="1575168156">
      <w:bodyDiv w:val="1"/>
      <w:marLeft w:val="0"/>
      <w:marRight w:val="0"/>
      <w:marTop w:val="0"/>
      <w:marBottom w:val="0"/>
      <w:divBdr>
        <w:top w:val="none" w:sz="0" w:space="0" w:color="auto"/>
        <w:left w:val="none" w:sz="0" w:space="0" w:color="auto"/>
        <w:bottom w:val="none" w:sz="0" w:space="0" w:color="auto"/>
        <w:right w:val="none" w:sz="0" w:space="0" w:color="auto"/>
      </w:divBdr>
    </w:div>
    <w:div w:id="1576697813">
      <w:bodyDiv w:val="1"/>
      <w:marLeft w:val="0"/>
      <w:marRight w:val="0"/>
      <w:marTop w:val="0"/>
      <w:marBottom w:val="0"/>
      <w:divBdr>
        <w:top w:val="none" w:sz="0" w:space="0" w:color="auto"/>
        <w:left w:val="none" w:sz="0" w:space="0" w:color="auto"/>
        <w:bottom w:val="none" w:sz="0" w:space="0" w:color="auto"/>
        <w:right w:val="none" w:sz="0" w:space="0" w:color="auto"/>
      </w:divBdr>
    </w:div>
    <w:div w:id="1580795715">
      <w:bodyDiv w:val="1"/>
      <w:marLeft w:val="0"/>
      <w:marRight w:val="0"/>
      <w:marTop w:val="0"/>
      <w:marBottom w:val="0"/>
      <w:divBdr>
        <w:top w:val="none" w:sz="0" w:space="0" w:color="auto"/>
        <w:left w:val="none" w:sz="0" w:space="0" w:color="auto"/>
        <w:bottom w:val="none" w:sz="0" w:space="0" w:color="auto"/>
        <w:right w:val="none" w:sz="0" w:space="0" w:color="auto"/>
      </w:divBdr>
    </w:div>
    <w:div w:id="1580867993">
      <w:bodyDiv w:val="1"/>
      <w:marLeft w:val="0"/>
      <w:marRight w:val="0"/>
      <w:marTop w:val="0"/>
      <w:marBottom w:val="0"/>
      <w:divBdr>
        <w:top w:val="none" w:sz="0" w:space="0" w:color="auto"/>
        <w:left w:val="none" w:sz="0" w:space="0" w:color="auto"/>
        <w:bottom w:val="none" w:sz="0" w:space="0" w:color="auto"/>
        <w:right w:val="none" w:sz="0" w:space="0" w:color="auto"/>
      </w:divBdr>
    </w:div>
    <w:div w:id="1582180629">
      <w:bodyDiv w:val="1"/>
      <w:marLeft w:val="0"/>
      <w:marRight w:val="0"/>
      <w:marTop w:val="0"/>
      <w:marBottom w:val="0"/>
      <w:divBdr>
        <w:top w:val="none" w:sz="0" w:space="0" w:color="auto"/>
        <w:left w:val="none" w:sz="0" w:space="0" w:color="auto"/>
        <w:bottom w:val="none" w:sz="0" w:space="0" w:color="auto"/>
        <w:right w:val="none" w:sz="0" w:space="0" w:color="auto"/>
      </w:divBdr>
    </w:div>
    <w:div w:id="1584534614">
      <w:bodyDiv w:val="1"/>
      <w:marLeft w:val="0"/>
      <w:marRight w:val="0"/>
      <w:marTop w:val="0"/>
      <w:marBottom w:val="0"/>
      <w:divBdr>
        <w:top w:val="none" w:sz="0" w:space="0" w:color="auto"/>
        <w:left w:val="none" w:sz="0" w:space="0" w:color="auto"/>
        <w:bottom w:val="none" w:sz="0" w:space="0" w:color="auto"/>
        <w:right w:val="none" w:sz="0" w:space="0" w:color="auto"/>
      </w:divBdr>
    </w:div>
    <w:div w:id="1585262944">
      <w:bodyDiv w:val="1"/>
      <w:marLeft w:val="0"/>
      <w:marRight w:val="0"/>
      <w:marTop w:val="0"/>
      <w:marBottom w:val="0"/>
      <w:divBdr>
        <w:top w:val="none" w:sz="0" w:space="0" w:color="auto"/>
        <w:left w:val="none" w:sz="0" w:space="0" w:color="auto"/>
        <w:bottom w:val="none" w:sz="0" w:space="0" w:color="auto"/>
        <w:right w:val="none" w:sz="0" w:space="0" w:color="auto"/>
      </w:divBdr>
    </w:div>
    <w:div w:id="1585412942">
      <w:bodyDiv w:val="1"/>
      <w:marLeft w:val="0"/>
      <w:marRight w:val="0"/>
      <w:marTop w:val="0"/>
      <w:marBottom w:val="0"/>
      <w:divBdr>
        <w:top w:val="none" w:sz="0" w:space="0" w:color="auto"/>
        <w:left w:val="none" w:sz="0" w:space="0" w:color="auto"/>
        <w:bottom w:val="none" w:sz="0" w:space="0" w:color="auto"/>
        <w:right w:val="none" w:sz="0" w:space="0" w:color="auto"/>
      </w:divBdr>
    </w:div>
    <w:div w:id="1588808947">
      <w:bodyDiv w:val="1"/>
      <w:marLeft w:val="0"/>
      <w:marRight w:val="0"/>
      <w:marTop w:val="0"/>
      <w:marBottom w:val="0"/>
      <w:divBdr>
        <w:top w:val="none" w:sz="0" w:space="0" w:color="auto"/>
        <w:left w:val="none" w:sz="0" w:space="0" w:color="auto"/>
        <w:bottom w:val="none" w:sz="0" w:space="0" w:color="auto"/>
        <w:right w:val="none" w:sz="0" w:space="0" w:color="auto"/>
      </w:divBdr>
    </w:div>
    <w:div w:id="1592884518">
      <w:bodyDiv w:val="1"/>
      <w:marLeft w:val="0"/>
      <w:marRight w:val="0"/>
      <w:marTop w:val="0"/>
      <w:marBottom w:val="0"/>
      <w:divBdr>
        <w:top w:val="none" w:sz="0" w:space="0" w:color="auto"/>
        <w:left w:val="none" w:sz="0" w:space="0" w:color="auto"/>
        <w:bottom w:val="none" w:sz="0" w:space="0" w:color="auto"/>
        <w:right w:val="none" w:sz="0" w:space="0" w:color="auto"/>
      </w:divBdr>
    </w:div>
    <w:div w:id="1593473054">
      <w:bodyDiv w:val="1"/>
      <w:marLeft w:val="0"/>
      <w:marRight w:val="0"/>
      <w:marTop w:val="0"/>
      <w:marBottom w:val="0"/>
      <w:divBdr>
        <w:top w:val="none" w:sz="0" w:space="0" w:color="auto"/>
        <w:left w:val="none" w:sz="0" w:space="0" w:color="auto"/>
        <w:bottom w:val="none" w:sz="0" w:space="0" w:color="auto"/>
        <w:right w:val="none" w:sz="0" w:space="0" w:color="auto"/>
      </w:divBdr>
    </w:div>
    <w:div w:id="1594052490">
      <w:bodyDiv w:val="1"/>
      <w:marLeft w:val="0"/>
      <w:marRight w:val="0"/>
      <w:marTop w:val="0"/>
      <w:marBottom w:val="0"/>
      <w:divBdr>
        <w:top w:val="none" w:sz="0" w:space="0" w:color="auto"/>
        <w:left w:val="none" w:sz="0" w:space="0" w:color="auto"/>
        <w:bottom w:val="none" w:sz="0" w:space="0" w:color="auto"/>
        <w:right w:val="none" w:sz="0" w:space="0" w:color="auto"/>
      </w:divBdr>
    </w:div>
    <w:div w:id="1596206682">
      <w:bodyDiv w:val="1"/>
      <w:marLeft w:val="0"/>
      <w:marRight w:val="0"/>
      <w:marTop w:val="0"/>
      <w:marBottom w:val="0"/>
      <w:divBdr>
        <w:top w:val="none" w:sz="0" w:space="0" w:color="auto"/>
        <w:left w:val="none" w:sz="0" w:space="0" w:color="auto"/>
        <w:bottom w:val="none" w:sz="0" w:space="0" w:color="auto"/>
        <w:right w:val="none" w:sz="0" w:space="0" w:color="auto"/>
      </w:divBdr>
    </w:div>
    <w:div w:id="1596983478">
      <w:bodyDiv w:val="1"/>
      <w:marLeft w:val="0"/>
      <w:marRight w:val="0"/>
      <w:marTop w:val="0"/>
      <w:marBottom w:val="0"/>
      <w:divBdr>
        <w:top w:val="none" w:sz="0" w:space="0" w:color="auto"/>
        <w:left w:val="none" w:sz="0" w:space="0" w:color="auto"/>
        <w:bottom w:val="none" w:sz="0" w:space="0" w:color="auto"/>
        <w:right w:val="none" w:sz="0" w:space="0" w:color="auto"/>
      </w:divBdr>
    </w:div>
    <w:div w:id="1597252818">
      <w:bodyDiv w:val="1"/>
      <w:marLeft w:val="0"/>
      <w:marRight w:val="0"/>
      <w:marTop w:val="0"/>
      <w:marBottom w:val="0"/>
      <w:divBdr>
        <w:top w:val="none" w:sz="0" w:space="0" w:color="auto"/>
        <w:left w:val="none" w:sz="0" w:space="0" w:color="auto"/>
        <w:bottom w:val="none" w:sz="0" w:space="0" w:color="auto"/>
        <w:right w:val="none" w:sz="0" w:space="0" w:color="auto"/>
      </w:divBdr>
    </w:div>
    <w:div w:id="1602491508">
      <w:bodyDiv w:val="1"/>
      <w:marLeft w:val="0"/>
      <w:marRight w:val="0"/>
      <w:marTop w:val="0"/>
      <w:marBottom w:val="0"/>
      <w:divBdr>
        <w:top w:val="none" w:sz="0" w:space="0" w:color="auto"/>
        <w:left w:val="none" w:sz="0" w:space="0" w:color="auto"/>
        <w:bottom w:val="none" w:sz="0" w:space="0" w:color="auto"/>
        <w:right w:val="none" w:sz="0" w:space="0" w:color="auto"/>
      </w:divBdr>
    </w:div>
    <w:div w:id="1603994841">
      <w:bodyDiv w:val="1"/>
      <w:marLeft w:val="0"/>
      <w:marRight w:val="0"/>
      <w:marTop w:val="0"/>
      <w:marBottom w:val="0"/>
      <w:divBdr>
        <w:top w:val="none" w:sz="0" w:space="0" w:color="auto"/>
        <w:left w:val="none" w:sz="0" w:space="0" w:color="auto"/>
        <w:bottom w:val="none" w:sz="0" w:space="0" w:color="auto"/>
        <w:right w:val="none" w:sz="0" w:space="0" w:color="auto"/>
      </w:divBdr>
    </w:div>
    <w:div w:id="1605267315">
      <w:bodyDiv w:val="1"/>
      <w:marLeft w:val="0"/>
      <w:marRight w:val="0"/>
      <w:marTop w:val="0"/>
      <w:marBottom w:val="0"/>
      <w:divBdr>
        <w:top w:val="none" w:sz="0" w:space="0" w:color="auto"/>
        <w:left w:val="none" w:sz="0" w:space="0" w:color="auto"/>
        <w:bottom w:val="none" w:sz="0" w:space="0" w:color="auto"/>
        <w:right w:val="none" w:sz="0" w:space="0" w:color="auto"/>
      </w:divBdr>
    </w:div>
    <w:div w:id="1607611403">
      <w:bodyDiv w:val="1"/>
      <w:marLeft w:val="0"/>
      <w:marRight w:val="0"/>
      <w:marTop w:val="0"/>
      <w:marBottom w:val="0"/>
      <w:divBdr>
        <w:top w:val="none" w:sz="0" w:space="0" w:color="auto"/>
        <w:left w:val="none" w:sz="0" w:space="0" w:color="auto"/>
        <w:bottom w:val="none" w:sz="0" w:space="0" w:color="auto"/>
        <w:right w:val="none" w:sz="0" w:space="0" w:color="auto"/>
      </w:divBdr>
    </w:div>
    <w:div w:id="1610158012">
      <w:bodyDiv w:val="1"/>
      <w:marLeft w:val="0"/>
      <w:marRight w:val="0"/>
      <w:marTop w:val="0"/>
      <w:marBottom w:val="0"/>
      <w:divBdr>
        <w:top w:val="none" w:sz="0" w:space="0" w:color="auto"/>
        <w:left w:val="none" w:sz="0" w:space="0" w:color="auto"/>
        <w:bottom w:val="none" w:sz="0" w:space="0" w:color="auto"/>
        <w:right w:val="none" w:sz="0" w:space="0" w:color="auto"/>
      </w:divBdr>
    </w:div>
    <w:div w:id="1612086174">
      <w:bodyDiv w:val="1"/>
      <w:marLeft w:val="0"/>
      <w:marRight w:val="0"/>
      <w:marTop w:val="0"/>
      <w:marBottom w:val="0"/>
      <w:divBdr>
        <w:top w:val="none" w:sz="0" w:space="0" w:color="auto"/>
        <w:left w:val="none" w:sz="0" w:space="0" w:color="auto"/>
        <w:bottom w:val="none" w:sz="0" w:space="0" w:color="auto"/>
        <w:right w:val="none" w:sz="0" w:space="0" w:color="auto"/>
      </w:divBdr>
    </w:div>
    <w:div w:id="1612324074">
      <w:bodyDiv w:val="1"/>
      <w:marLeft w:val="0"/>
      <w:marRight w:val="0"/>
      <w:marTop w:val="0"/>
      <w:marBottom w:val="0"/>
      <w:divBdr>
        <w:top w:val="none" w:sz="0" w:space="0" w:color="auto"/>
        <w:left w:val="none" w:sz="0" w:space="0" w:color="auto"/>
        <w:bottom w:val="none" w:sz="0" w:space="0" w:color="auto"/>
        <w:right w:val="none" w:sz="0" w:space="0" w:color="auto"/>
      </w:divBdr>
    </w:div>
    <w:div w:id="1620408294">
      <w:bodyDiv w:val="1"/>
      <w:marLeft w:val="0"/>
      <w:marRight w:val="0"/>
      <w:marTop w:val="0"/>
      <w:marBottom w:val="0"/>
      <w:divBdr>
        <w:top w:val="none" w:sz="0" w:space="0" w:color="auto"/>
        <w:left w:val="none" w:sz="0" w:space="0" w:color="auto"/>
        <w:bottom w:val="none" w:sz="0" w:space="0" w:color="auto"/>
        <w:right w:val="none" w:sz="0" w:space="0" w:color="auto"/>
      </w:divBdr>
    </w:div>
    <w:div w:id="1620601097">
      <w:bodyDiv w:val="1"/>
      <w:marLeft w:val="0"/>
      <w:marRight w:val="0"/>
      <w:marTop w:val="0"/>
      <w:marBottom w:val="0"/>
      <w:divBdr>
        <w:top w:val="none" w:sz="0" w:space="0" w:color="auto"/>
        <w:left w:val="none" w:sz="0" w:space="0" w:color="auto"/>
        <w:bottom w:val="none" w:sz="0" w:space="0" w:color="auto"/>
        <w:right w:val="none" w:sz="0" w:space="0" w:color="auto"/>
      </w:divBdr>
    </w:div>
    <w:div w:id="1621373191">
      <w:bodyDiv w:val="1"/>
      <w:marLeft w:val="0"/>
      <w:marRight w:val="0"/>
      <w:marTop w:val="0"/>
      <w:marBottom w:val="0"/>
      <w:divBdr>
        <w:top w:val="none" w:sz="0" w:space="0" w:color="auto"/>
        <w:left w:val="none" w:sz="0" w:space="0" w:color="auto"/>
        <w:bottom w:val="none" w:sz="0" w:space="0" w:color="auto"/>
        <w:right w:val="none" w:sz="0" w:space="0" w:color="auto"/>
      </w:divBdr>
    </w:div>
    <w:div w:id="1624191243">
      <w:bodyDiv w:val="1"/>
      <w:marLeft w:val="0"/>
      <w:marRight w:val="0"/>
      <w:marTop w:val="0"/>
      <w:marBottom w:val="0"/>
      <w:divBdr>
        <w:top w:val="none" w:sz="0" w:space="0" w:color="auto"/>
        <w:left w:val="none" w:sz="0" w:space="0" w:color="auto"/>
        <w:bottom w:val="none" w:sz="0" w:space="0" w:color="auto"/>
        <w:right w:val="none" w:sz="0" w:space="0" w:color="auto"/>
      </w:divBdr>
    </w:div>
    <w:div w:id="1624464189">
      <w:bodyDiv w:val="1"/>
      <w:marLeft w:val="0"/>
      <w:marRight w:val="0"/>
      <w:marTop w:val="0"/>
      <w:marBottom w:val="0"/>
      <w:divBdr>
        <w:top w:val="none" w:sz="0" w:space="0" w:color="auto"/>
        <w:left w:val="none" w:sz="0" w:space="0" w:color="auto"/>
        <w:bottom w:val="none" w:sz="0" w:space="0" w:color="auto"/>
        <w:right w:val="none" w:sz="0" w:space="0" w:color="auto"/>
      </w:divBdr>
    </w:div>
    <w:div w:id="1627394718">
      <w:bodyDiv w:val="1"/>
      <w:marLeft w:val="0"/>
      <w:marRight w:val="0"/>
      <w:marTop w:val="0"/>
      <w:marBottom w:val="0"/>
      <w:divBdr>
        <w:top w:val="none" w:sz="0" w:space="0" w:color="auto"/>
        <w:left w:val="none" w:sz="0" w:space="0" w:color="auto"/>
        <w:bottom w:val="none" w:sz="0" w:space="0" w:color="auto"/>
        <w:right w:val="none" w:sz="0" w:space="0" w:color="auto"/>
      </w:divBdr>
    </w:div>
    <w:div w:id="1638954075">
      <w:bodyDiv w:val="1"/>
      <w:marLeft w:val="0"/>
      <w:marRight w:val="0"/>
      <w:marTop w:val="0"/>
      <w:marBottom w:val="0"/>
      <w:divBdr>
        <w:top w:val="none" w:sz="0" w:space="0" w:color="auto"/>
        <w:left w:val="none" w:sz="0" w:space="0" w:color="auto"/>
        <w:bottom w:val="none" w:sz="0" w:space="0" w:color="auto"/>
        <w:right w:val="none" w:sz="0" w:space="0" w:color="auto"/>
      </w:divBdr>
    </w:div>
    <w:div w:id="1641231470">
      <w:bodyDiv w:val="1"/>
      <w:marLeft w:val="0"/>
      <w:marRight w:val="0"/>
      <w:marTop w:val="0"/>
      <w:marBottom w:val="0"/>
      <w:divBdr>
        <w:top w:val="none" w:sz="0" w:space="0" w:color="auto"/>
        <w:left w:val="none" w:sz="0" w:space="0" w:color="auto"/>
        <w:bottom w:val="none" w:sz="0" w:space="0" w:color="auto"/>
        <w:right w:val="none" w:sz="0" w:space="0" w:color="auto"/>
      </w:divBdr>
    </w:div>
    <w:div w:id="1641761761">
      <w:bodyDiv w:val="1"/>
      <w:marLeft w:val="0"/>
      <w:marRight w:val="0"/>
      <w:marTop w:val="0"/>
      <w:marBottom w:val="0"/>
      <w:divBdr>
        <w:top w:val="none" w:sz="0" w:space="0" w:color="auto"/>
        <w:left w:val="none" w:sz="0" w:space="0" w:color="auto"/>
        <w:bottom w:val="none" w:sz="0" w:space="0" w:color="auto"/>
        <w:right w:val="none" w:sz="0" w:space="0" w:color="auto"/>
      </w:divBdr>
    </w:div>
    <w:div w:id="1647079069">
      <w:bodyDiv w:val="1"/>
      <w:marLeft w:val="0"/>
      <w:marRight w:val="0"/>
      <w:marTop w:val="0"/>
      <w:marBottom w:val="0"/>
      <w:divBdr>
        <w:top w:val="none" w:sz="0" w:space="0" w:color="auto"/>
        <w:left w:val="none" w:sz="0" w:space="0" w:color="auto"/>
        <w:bottom w:val="none" w:sz="0" w:space="0" w:color="auto"/>
        <w:right w:val="none" w:sz="0" w:space="0" w:color="auto"/>
      </w:divBdr>
    </w:div>
    <w:div w:id="1650481434">
      <w:bodyDiv w:val="1"/>
      <w:marLeft w:val="0"/>
      <w:marRight w:val="0"/>
      <w:marTop w:val="0"/>
      <w:marBottom w:val="0"/>
      <w:divBdr>
        <w:top w:val="none" w:sz="0" w:space="0" w:color="auto"/>
        <w:left w:val="none" w:sz="0" w:space="0" w:color="auto"/>
        <w:bottom w:val="none" w:sz="0" w:space="0" w:color="auto"/>
        <w:right w:val="none" w:sz="0" w:space="0" w:color="auto"/>
      </w:divBdr>
    </w:div>
    <w:div w:id="1651715109">
      <w:bodyDiv w:val="1"/>
      <w:marLeft w:val="0"/>
      <w:marRight w:val="0"/>
      <w:marTop w:val="0"/>
      <w:marBottom w:val="0"/>
      <w:divBdr>
        <w:top w:val="none" w:sz="0" w:space="0" w:color="auto"/>
        <w:left w:val="none" w:sz="0" w:space="0" w:color="auto"/>
        <w:bottom w:val="none" w:sz="0" w:space="0" w:color="auto"/>
        <w:right w:val="none" w:sz="0" w:space="0" w:color="auto"/>
      </w:divBdr>
    </w:div>
    <w:div w:id="1651977364">
      <w:bodyDiv w:val="1"/>
      <w:marLeft w:val="0"/>
      <w:marRight w:val="0"/>
      <w:marTop w:val="0"/>
      <w:marBottom w:val="0"/>
      <w:divBdr>
        <w:top w:val="none" w:sz="0" w:space="0" w:color="auto"/>
        <w:left w:val="none" w:sz="0" w:space="0" w:color="auto"/>
        <w:bottom w:val="none" w:sz="0" w:space="0" w:color="auto"/>
        <w:right w:val="none" w:sz="0" w:space="0" w:color="auto"/>
      </w:divBdr>
    </w:div>
    <w:div w:id="1652438662">
      <w:bodyDiv w:val="1"/>
      <w:marLeft w:val="0"/>
      <w:marRight w:val="0"/>
      <w:marTop w:val="0"/>
      <w:marBottom w:val="0"/>
      <w:divBdr>
        <w:top w:val="none" w:sz="0" w:space="0" w:color="auto"/>
        <w:left w:val="none" w:sz="0" w:space="0" w:color="auto"/>
        <w:bottom w:val="none" w:sz="0" w:space="0" w:color="auto"/>
        <w:right w:val="none" w:sz="0" w:space="0" w:color="auto"/>
      </w:divBdr>
    </w:div>
    <w:div w:id="1652559904">
      <w:bodyDiv w:val="1"/>
      <w:marLeft w:val="0"/>
      <w:marRight w:val="0"/>
      <w:marTop w:val="0"/>
      <w:marBottom w:val="0"/>
      <w:divBdr>
        <w:top w:val="none" w:sz="0" w:space="0" w:color="auto"/>
        <w:left w:val="none" w:sz="0" w:space="0" w:color="auto"/>
        <w:bottom w:val="none" w:sz="0" w:space="0" w:color="auto"/>
        <w:right w:val="none" w:sz="0" w:space="0" w:color="auto"/>
      </w:divBdr>
    </w:div>
    <w:div w:id="1652826782">
      <w:bodyDiv w:val="1"/>
      <w:marLeft w:val="0"/>
      <w:marRight w:val="0"/>
      <w:marTop w:val="0"/>
      <w:marBottom w:val="0"/>
      <w:divBdr>
        <w:top w:val="none" w:sz="0" w:space="0" w:color="auto"/>
        <w:left w:val="none" w:sz="0" w:space="0" w:color="auto"/>
        <w:bottom w:val="none" w:sz="0" w:space="0" w:color="auto"/>
        <w:right w:val="none" w:sz="0" w:space="0" w:color="auto"/>
      </w:divBdr>
    </w:div>
    <w:div w:id="1654292074">
      <w:bodyDiv w:val="1"/>
      <w:marLeft w:val="0"/>
      <w:marRight w:val="0"/>
      <w:marTop w:val="0"/>
      <w:marBottom w:val="0"/>
      <w:divBdr>
        <w:top w:val="none" w:sz="0" w:space="0" w:color="auto"/>
        <w:left w:val="none" w:sz="0" w:space="0" w:color="auto"/>
        <w:bottom w:val="none" w:sz="0" w:space="0" w:color="auto"/>
        <w:right w:val="none" w:sz="0" w:space="0" w:color="auto"/>
      </w:divBdr>
    </w:div>
    <w:div w:id="1655990968">
      <w:bodyDiv w:val="1"/>
      <w:marLeft w:val="0"/>
      <w:marRight w:val="0"/>
      <w:marTop w:val="0"/>
      <w:marBottom w:val="0"/>
      <w:divBdr>
        <w:top w:val="none" w:sz="0" w:space="0" w:color="auto"/>
        <w:left w:val="none" w:sz="0" w:space="0" w:color="auto"/>
        <w:bottom w:val="none" w:sz="0" w:space="0" w:color="auto"/>
        <w:right w:val="none" w:sz="0" w:space="0" w:color="auto"/>
      </w:divBdr>
    </w:div>
    <w:div w:id="1656836940">
      <w:bodyDiv w:val="1"/>
      <w:marLeft w:val="0"/>
      <w:marRight w:val="0"/>
      <w:marTop w:val="0"/>
      <w:marBottom w:val="0"/>
      <w:divBdr>
        <w:top w:val="none" w:sz="0" w:space="0" w:color="auto"/>
        <w:left w:val="none" w:sz="0" w:space="0" w:color="auto"/>
        <w:bottom w:val="none" w:sz="0" w:space="0" w:color="auto"/>
        <w:right w:val="none" w:sz="0" w:space="0" w:color="auto"/>
      </w:divBdr>
    </w:div>
    <w:div w:id="1659335208">
      <w:bodyDiv w:val="1"/>
      <w:marLeft w:val="0"/>
      <w:marRight w:val="0"/>
      <w:marTop w:val="0"/>
      <w:marBottom w:val="0"/>
      <w:divBdr>
        <w:top w:val="none" w:sz="0" w:space="0" w:color="auto"/>
        <w:left w:val="none" w:sz="0" w:space="0" w:color="auto"/>
        <w:bottom w:val="none" w:sz="0" w:space="0" w:color="auto"/>
        <w:right w:val="none" w:sz="0" w:space="0" w:color="auto"/>
      </w:divBdr>
    </w:div>
    <w:div w:id="1659459075">
      <w:bodyDiv w:val="1"/>
      <w:marLeft w:val="0"/>
      <w:marRight w:val="0"/>
      <w:marTop w:val="0"/>
      <w:marBottom w:val="0"/>
      <w:divBdr>
        <w:top w:val="none" w:sz="0" w:space="0" w:color="auto"/>
        <w:left w:val="none" w:sz="0" w:space="0" w:color="auto"/>
        <w:bottom w:val="none" w:sz="0" w:space="0" w:color="auto"/>
        <w:right w:val="none" w:sz="0" w:space="0" w:color="auto"/>
      </w:divBdr>
    </w:div>
    <w:div w:id="1661422693">
      <w:bodyDiv w:val="1"/>
      <w:marLeft w:val="0"/>
      <w:marRight w:val="0"/>
      <w:marTop w:val="0"/>
      <w:marBottom w:val="0"/>
      <w:divBdr>
        <w:top w:val="none" w:sz="0" w:space="0" w:color="auto"/>
        <w:left w:val="none" w:sz="0" w:space="0" w:color="auto"/>
        <w:bottom w:val="none" w:sz="0" w:space="0" w:color="auto"/>
        <w:right w:val="none" w:sz="0" w:space="0" w:color="auto"/>
      </w:divBdr>
    </w:div>
    <w:div w:id="1662924914">
      <w:bodyDiv w:val="1"/>
      <w:marLeft w:val="0"/>
      <w:marRight w:val="0"/>
      <w:marTop w:val="0"/>
      <w:marBottom w:val="0"/>
      <w:divBdr>
        <w:top w:val="none" w:sz="0" w:space="0" w:color="auto"/>
        <w:left w:val="none" w:sz="0" w:space="0" w:color="auto"/>
        <w:bottom w:val="none" w:sz="0" w:space="0" w:color="auto"/>
        <w:right w:val="none" w:sz="0" w:space="0" w:color="auto"/>
      </w:divBdr>
    </w:div>
    <w:div w:id="1674720041">
      <w:bodyDiv w:val="1"/>
      <w:marLeft w:val="0"/>
      <w:marRight w:val="0"/>
      <w:marTop w:val="0"/>
      <w:marBottom w:val="0"/>
      <w:divBdr>
        <w:top w:val="none" w:sz="0" w:space="0" w:color="auto"/>
        <w:left w:val="none" w:sz="0" w:space="0" w:color="auto"/>
        <w:bottom w:val="none" w:sz="0" w:space="0" w:color="auto"/>
        <w:right w:val="none" w:sz="0" w:space="0" w:color="auto"/>
      </w:divBdr>
    </w:div>
    <w:div w:id="1683360957">
      <w:bodyDiv w:val="1"/>
      <w:marLeft w:val="0"/>
      <w:marRight w:val="0"/>
      <w:marTop w:val="0"/>
      <w:marBottom w:val="0"/>
      <w:divBdr>
        <w:top w:val="none" w:sz="0" w:space="0" w:color="auto"/>
        <w:left w:val="none" w:sz="0" w:space="0" w:color="auto"/>
        <w:bottom w:val="none" w:sz="0" w:space="0" w:color="auto"/>
        <w:right w:val="none" w:sz="0" w:space="0" w:color="auto"/>
      </w:divBdr>
    </w:div>
    <w:div w:id="1684697369">
      <w:bodyDiv w:val="1"/>
      <w:marLeft w:val="0"/>
      <w:marRight w:val="0"/>
      <w:marTop w:val="0"/>
      <w:marBottom w:val="0"/>
      <w:divBdr>
        <w:top w:val="none" w:sz="0" w:space="0" w:color="auto"/>
        <w:left w:val="none" w:sz="0" w:space="0" w:color="auto"/>
        <w:bottom w:val="none" w:sz="0" w:space="0" w:color="auto"/>
        <w:right w:val="none" w:sz="0" w:space="0" w:color="auto"/>
      </w:divBdr>
    </w:div>
    <w:div w:id="1687707369">
      <w:bodyDiv w:val="1"/>
      <w:marLeft w:val="0"/>
      <w:marRight w:val="0"/>
      <w:marTop w:val="0"/>
      <w:marBottom w:val="0"/>
      <w:divBdr>
        <w:top w:val="none" w:sz="0" w:space="0" w:color="auto"/>
        <w:left w:val="none" w:sz="0" w:space="0" w:color="auto"/>
        <w:bottom w:val="none" w:sz="0" w:space="0" w:color="auto"/>
        <w:right w:val="none" w:sz="0" w:space="0" w:color="auto"/>
      </w:divBdr>
    </w:div>
    <w:div w:id="1689720016">
      <w:bodyDiv w:val="1"/>
      <w:marLeft w:val="0"/>
      <w:marRight w:val="0"/>
      <w:marTop w:val="0"/>
      <w:marBottom w:val="0"/>
      <w:divBdr>
        <w:top w:val="none" w:sz="0" w:space="0" w:color="auto"/>
        <w:left w:val="none" w:sz="0" w:space="0" w:color="auto"/>
        <w:bottom w:val="none" w:sz="0" w:space="0" w:color="auto"/>
        <w:right w:val="none" w:sz="0" w:space="0" w:color="auto"/>
      </w:divBdr>
    </w:div>
    <w:div w:id="1690450675">
      <w:bodyDiv w:val="1"/>
      <w:marLeft w:val="0"/>
      <w:marRight w:val="0"/>
      <w:marTop w:val="0"/>
      <w:marBottom w:val="0"/>
      <w:divBdr>
        <w:top w:val="none" w:sz="0" w:space="0" w:color="auto"/>
        <w:left w:val="none" w:sz="0" w:space="0" w:color="auto"/>
        <w:bottom w:val="none" w:sz="0" w:space="0" w:color="auto"/>
        <w:right w:val="none" w:sz="0" w:space="0" w:color="auto"/>
      </w:divBdr>
    </w:div>
    <w:div w:id="1690525494">
      <w:bodyDiv w:val="1"/>
      <w:marLeft w:val="0"/>
      <w:marRight w:val="0"/>
      <w:marTop w:val="0"/>
      <w:marBottom w:val="0"/>
      <w:divBdr>
        <w:top w:val="none" w:sz="0" w:space="0" w:color="auto"/>
        <w:left w:val="none" w:sz="0" w:space="0" w:color="auto"/>
        <w:bottom w:val="none" w:sz="0" w:space="0" w:color="auto"/>
        <w:right w:val="none" w:sz="0" w:space="0" w:color="auto"/>
      </w:divBdr>
    </w:div>
    <w:div w:id="1695186008">
      <w:bodyDiv w:val="1"/>
      <w:marLeft w:val="0"/>
      <w:marRight w:val="0"/>
      <w:marTop w:val="0"/>
      <w:marBottom w:val="0"/>
      <w:divBdr>
        <w:top w:val="none" w:sz="0" w:space="0" w:color="auto"/>
        <w:left w:val="none" w:sz="0" w:space="0" w:color="auto"/>
        <w:bottom w:val="none" w:sz="0" w:space="0" w:color="auto"/>
        <w:right w:val="none" w:sz="0" w:space="0" w:color="auto"/>
      </w:divBdr>
    </w:div>
    <w:div w:id="1695305709">
      <w:bodyDiv w:val="1"/>
      <w:marLeft w:val="0"/>
      <w:marRight w:val="0"/>
      <w:marTop w:val="0"/>
      <w:marBottom w:val="0"/>
      <w:divBdr>
        <w:top w:val="none" w:sz="0" w:space="0" w:color="auto"/>
        <w:left w:val="none" w:sz="0" w:space="0" w:color="auto"/>
        <w:bottom w:val="none" w:sz="0" w:space="0" w:color="auto"/>
        <w:right w:val="none" w:sz="0" w:space="0" w:color="auto"/>
      </w:divBdr>
    </w:div>
    <w:div w:id="1695840135">
      <w:bodyDiv w:val="1"/>
      <w:marLeft w:val="0"/>
      <w:marRight w:val="0"/>
      <w:marTop w:val="0"/>
      <w:marBottom w:val="0"/>
      <w:divBdr>
        <w:top w:val="none" w:sz="0" w:space="0" w:color="auto"/>
        <w:left w:val="none" w:sz="0" w:space="0" w:color="auto"/>
        <w:bottom w:val="none" w:sz="0" w:space="0" w:color="auto"/>
        <w:right w:val="none" w:sz="0" w:space="0" w:color="auto"/>
      </w:divBdr>
    </w:div>
    <w:div w:id="1698458735">
      <w:bodyDiv w:val="1"/>
      <w:marLeft w:val="0"/>
      <w:marRight w:val="0"/>
      <w:marTop w:val="0"/>
      <w:marBottom w:val="0"/>
      <w:divBdr>
        <w:top w:val="none" w:sz="0" w:space="0" w:color="auto"/>
        <w:left w:val="none" w:sz="0" w:space="0" w:color="auto"/>
        <w:bottom w:val="none" w:sz="0" w:space="0" w:color="auto"/>
        <w:right w:val="none" w:sz="0" w:space="0" w:color="auto"/>
      </w:divBdr>
    </w:div>
    <w:div w:id="1698581352">
      <w:bodyDiv w:val="1"/>
      <w:marLeft w:val="0"/>
      <w:marRight w:val="0"/>
      <w:marTop w:val="0"/>
      <w:marBottom w:val="0"/>
      <w:divBdr>
        <w:top w:val="none" w:sz="0" w:space="0" w:color="auto"/>
        <w:left w:val="none" w:sz="0" w:space="0" w:color="auto"/>
        <w:bottom w:val="none" w:sz="0" w:space="0" w:color="auto"/>
        <w:right w:val="none" w:sz="0" w:space="0" w:color="auto"/>
      </w:divBdr>
    </w:div>
    <w:div w:id="1699963826">
      <w:bodyDiv w:val="1"/>
      <w:marLeft w:val="0"/>
      <w:marRight w:val="0"/>
      <w:marTop w:val="0"/>
      <w:marBottom w:val="0"/>
      <w:divBdr>
        <w:top w:val="none" w:sz="0" w:space="0" w:color="auto"/>
        <w:left w:val="none" w:sz="0" w:space="0" w:color="auto"/>
        <w:bottom w:val="none" w:sz="0" w:space="0" w:color="auto"/>
        <w:right w:val="none" w:sz="0" w:space="0" w:color="auto"/>
      </w:divBdr>
    </w:div>
    <w:div w:id="1702706799">
      <w:bodyDiv w:val="1"/>
      <w:marLeft w:val="0"/>
      <w:marRight w:val="0"/>
      <w:marTop w:val="0"/>
      <w:marBottom w:val="0"/>
      <w:divBdr>
        <w:top w:val="none" w:sz="0" w:space="0" w:color="auto"/>
        <w:left w:val="none" w:sz="0" w:space="0" w:color="auto"/>
        <w:bottom w:val="none" w:sz="0" w:space="0" w:color="auto"/>
        <w:right w:val="none" w:sz="0" w:space="0" w:color="auto"/>
      </w:divBdr>
    </w:div>
    <w:div w:id="1709258207">
      <w:bodyDiv w:val="1"/>
      <w:marLeft w:val="0"/>
      <w:marRight w:val="0"/>
      <w:marTop w:val="0"/>
      <w:marBottom w:val="0"/>
      <w:divBdr>
        <w:top w:val="none" w:sz="0" w:space="0" w:color="auto"/>
        <w:left w:val="none" w:sz="0" w:space="0" w:color="auto"/>
        <w:bottom w:val="none" w:sz="0" w:space="0" w:color="auto"/>
        <w:right w:val="none" w:sz="0" w:space="0" w:color="auto"/>
      </w:divBdr>
    </w:div>
    <w:div w:id="1711952383">
      <w:bodyDiv w:val="1"/>
      <w:marLeft w:val="0"/>
      <w:marRight w:val="0"/>
      <w:marTop w:val="0"/>
      <w:marBottom w:val="0"/>
      <w:divBdr>
        <w:top w:val="none" w:sz="0" w:space="0" w:color="auto"/>
        <w:left w:val="none" w:sz="0" w:space="0" w:color="auto"/>
        <w:bottom w:val="none" w:sz="0" w:space="0" w:color="auto"/>
        <w:right w:val="none" w:sz="0" w:space="0" w:color="auto"/>
      </w:divBdr>
    </w:div>
    <w:div w:id="1712075009">
      <w:bodyDiv w:val="1"/>
      <w:marLeft w:val="0"/>
      <w:marRight w:val="0"/>
      <w:marTop w:val="0"/>
      <w:marBottom w:val="0"/>
      <w:divBdr>
        <w:top w:val="none" w:sz="0" w:space="0" w:color="auto"/>
        <w:left w:val="none" w:sz="0" w:space="0" w:color="auto"/>
        <w:bottom w:val="none" w:sz="0" w:space="0" w:color="auto"/>
        <w:right w:val="none" w:sz="0" w:space="0" w:color="auto"/>
      </w:divBdr>
    </w:div>
    <w:div w:id="1715349242">
      <w:bodyDiv w:val="1"/>
      <w:marLeft w:val="0"/>
      <w:marRight w:val="0"/>
      <w:marTop w:val="0"/>
      <w:marBottom w:val="0"/>
      <w:divBdr>
        <w:top w:val="none" w:sz="0" w:space="0" w:color="auto"/>
        <w:left w:val="none" w:sz="0" w:space="0" w:color="auto"/>
        <w:bottom w:val="none" w:sz="0" w:space="0" w:color="auto"/>
        <w:right w:val="none" w:sz="0" w:space="0" w:color="auto"/>
      </w:divBdr>
    </w:div>
    <w:div w:id="1718816226">
      <w:bodyDiv w:val="1"/>
      <w:marLeft w:val="0"/>
      <w:marRight w:val="0"/>
      <w:marTop w:val="0"/>
      <w:marBottom w:val="0"/>
      <w:divBdr>
        <w:top w:val="none" w:sz="0" w:space="0" w:color="auto"/>
        <w:left w:val="none" w:sz="0" w:space="0" w:color="auto"/>
        <w:bottom w:val="none" w:sz="0" w:space="0" w:color="auto"/>
        <w:right w:val="none" w:sz="0" w:space="0" w:color="auto"/>
      </w:divBdr>
    </w:div>
    <w:div w:id="1719818622">
      <w:bodyDiv w:val="1"/>
      <w:marLeft w:val="0"/>
      <w:marRight w:val="0"/>
      <w:marTop w:val="0"/>
      <w:marBottom w:val="0"/>
      <w:divBdr>
        <w:top w:val="none" w:sz="0" w:space="0" w:color="auto"/>
        <w:left w:val="none" w:sz="0" w:space="0" w:color="auto"/>
        <w:bottom w:val="none" w:sz="0" w:space="0" w:color="auto"/>
        <w:right w:val="none" w:sz="0" w:space="0" w:color="auto"/>
      </w:divBdr>
    </w:div>
    <w:div w:id="1720395249">
      <w:bodyDiv w:val="1"/>
      <w:marLeft w:val="0"/>
      <w:marRight w:val="0"/>
      <w:marTop w:val="0"/>
      <w:marBottom w:val="0"/>
      <w:divBdr>
        <w:top w:val="none" w:sz="0" w:space="0" w:color="auto"/>
        <w:left w:val="none" w:sz="0" w:space="0" w:color="auto"/>
        <w:bottom w:val="none" w:sz="0" w:space="0" w:color="auto"/>
        <w:right w:val="none" w:sz="0" w:space="0" w:color="auto"/>
      </w:divBdr>
    </w:div>
    <w:div w:id="1722245145">
      <w:bodyDiv w:val="1"/>
      <w:marLeft w:val="0"/>
      <w:marRight w:val="0"/>
      <w:marTop w:val="0"/>
      <w:marBottom w:val="0"/>
      <w:divBdr>
        <w:top w:val="none" w:sz="0" w:space="0" w:color="auto"/>
        <w:left w:val="none" w:sz="0" w:space="0" w:color="auto"/>
        <w:bottom w:val="none" w:sz="0" w:space="0" w:color="auto"/>
        <w:right w:val="none" w:sz="0" w:space="0" w:color="auto"/>
      </w:divBdr>
    </w:div>
    <w:div w:id="1722440977">
      <w:bodyDiv w:val="1"/>
      <w:marLeft w:val="0"/>
      <w:marRight w:val="0"/>
      <w:marTop w:val="0"/>
      <w:marBottom w:val="0"/>
      <w:divBdr>
        <w:top w:val="none" w:sz="0" w:space="0" w:color="auto"/>
        <w:left w:val="none" w:sz="0" w:space="0" w:color="auto"/>
        <w:bottom w:val="none" w:sz="0" w:space="0" w:color="auto"/>
        <w:right w:val="none" w:sz="0" w:space="0" w:color="auto"/>
      </w:divBdr>
    </w:div>
    <w:div w:id="1723014846">
      <w:bodyDiv w:val="1"/>
      <w:marLeft w:val="0"/>
      <w:marRight w:val="0"/>
      <w:marTop w:val="0"/>
      <w:marBottom w:val="0"/>
      <w:divBdr>
        <w:top w:val="none" w:sz="0" w:space="0" w:color="auto"/>
        <w:left w:val="none" w:sz="0" w:space="0" w:color="auto"/>
        <w:bottom w:val="none" w:sz="0" w:space="0" w:color="auto"/>
        <w:right w:val="none" w:sz="0" w:space="0" w:color="auto"/>
      </w:divBdr>
    </w:div>
    <w:div w:id="1726638394">
      <w:bodyDiv w:val="1"/>
      <w:marLeft w:val="0"/>
      <w:marRight w:val="0"/>
      <w:marTop w:val="0"/>
      <w:marBottom w:val="0"/>
      <w:divBdr>
        <w:top w:val="none" w:sz="0" w:space="0" w:color="auto"/>
        <w:left w:val="none" w:sz="0" w:space="0" w:color="auto"/>
        <w:bottom w:val="none" w:sz="0" w:space="0" w:color="auto"/>
        <w:right w:val="none" w:sz="0" w:space="0" w:color="auto"/>
      </w:divBdr>
    </w:div>
    <w:div w:id="1728339997">
      <w:bodyDiv w:val="1"/>
      <w:marLeft w:val="0"/>
      <w:marRight w:val="0"/>
      <w:marTop w:val="0"/>
      <w:marBottom w:val="0"/>
      <w:divBdr>
        <w:top w:val="none" w:sz="0" w:space="0" w:color="auto"/>
        <w:left w:val="none" w:sz="0" w:space="0" w:color="auto"/>
        <w:bottom w:val="none" w:sz="0" w:space="0" w:color="auto"/>
        <w:right w:val="none" w:sz="0" w:space="0" w:color="auto"/>
      </w:divBdr>
    </w:div>
    <w:div w:id="1729258278">
      <w:bodyDiv w:val="1"/>
      <w:marLeft w:val="0"/>
      <w:marRight w:val="0"/>
      <w:marTop w:val="0"/>
      <w:marBottom w:val="0"/>
      <w:divBdr>
        <w:top w:val="none" w:sz="0" w:space="0" w:color="auto"/>
        <w:left w:val="none" w:sz="0" w:space="0" w:color="auto"/>
        <w:bottom w:val="none" w:sz="0" w:space="0" w:color="auto"/>
        <w:right w:val="none" w:sz="0" w:space="0" w:color="auto"/>
      </w:divBdr>
    </w:div>
    <w:div w:id="1730037315">
      <w:bodyDiv w:val="1"/>
      <w:marLeft w:val="0"/>
      <w:marRight w:val="0"/>
      <w:marTop w:val="0"/>
      <w:marBottom w:val="0"/>
      <w:divBdr>
        <w:top w:val="none" w:sz="0" w:space="0" w:color="auto"/>
        <w:left w:val="none" w:sz="0" w:space="0" w:color="auto"/>
        <w:bottom w:val="none" w:sz="0" w:space="0" w:color="auto"/>
        <w:right w:val="none" w:sz="0" w:space="0" w:color="auto"/>
      </w:divBdr>
    </w:div>
    <w:div w:id="1733698094">
      <w:bodyDiv w:val="1"/>
      <w:marLeft w:val="0"/>
      <w:marRight w:val="0"/>
      <w:marTop w:val="0"/>
      <w:marBottom w:val="0"/>
      <w:divBdr>
        <w:top w:val="none" w:sz="0" w:space="0" w:color="auto"/>
        <w:left w:val="none" w:sz="0" w:space="0" w:color="auto"/>
        <w:bottom w:val="none" w:sz="0" w:space="0" w:color="auto"/>
        <w:right w:val="none" w:sz="0" w:space="0" w:color="auto"/>
      </w:divBdr>
    </w:div>
    <w:div w:id="1734084008">
      <w:bodyDiv w:val="1"/>
      <w:marLeft w:val="0"/>
      <w:marRight w:val="0"/>
      <w:marTop w:val="0"/>
      <w:marBottom w:val="0"/>
      <w:divBdr>
        <w:top w:val="none" w:sz="0" w:space="0" w:color="auto"/>
        <w:left w:val="none" w:sz="0" w:space="0" w:color="auto"/>
        <w:bottom w:val="none" w:sz="0" w:space="0" w:color="auto"/>
        <w:right w:val="none" w:sz="0" w:space="0" w:color="auto"/>
      </w:divBdr>
    </w:div>
    <w:div w:id="1734305993">
      <w:bodyDiv w:val="1"/>
      <w:marLeft w:val="0"/>
      <w:marRight w:val="0"/>
      <w:marTop w:val="0"/>
      <w:marBottom w:val="0"/>
      <w:divBdr>
        <w:top w:val="none" w:sz="0" w:space="0" w:color="auto"/>
        <w:left w:val="none" w:sz="0" w:space="0" w:color="auto"/>
        <w:bottom w:val="none" w:sz="0" w:space="0" w:color="auto"/>
        <w:right w:val="none" w:sz="0" w:space="0" w:color="auto"/>
      </w:divBdr>
    </w:div>
    <w:div w:id="1734767084">
      <w:bodyDiv w:val="1"/>
      <w:marLeft w:val="0"/>
      <w:marRight w:val="0"/>
      <w:marTop w:val="0"/>
      <w:marBottom w:val="0"/>
      <w:divBdr>
        <w:top w:val="none" w:sz="0" w:space="0" w:color="auto"/>
        <w:left w:val="none" w:sz="0" w:space="0" w:color="auto"/>
        <w:bottom w:val="none" w:sz="0" w:space="0" w:color="auto"/>
        <w:right w:val="none" w:sz="0" w:space="0" w:color="auto"/>
      </w:divBdr>
    </w:div>
    <w:div w:id="1735472889">
      <w:bodyDiv w:val="1"/>
      <w:marLeft w:val="0"/>
      <w:marRight w:val="0"/>
      <w:marTop w:val="0"/>
      <w:marBottom w:val="0"/>
      <w:divBdr>
        <w:top w:val="none" w:sz="0" w:space="0" w:color="auto"/>
        <w:left w:val="none" w:sz="0" w:space="0" w:color="auto"/>
        <w:bottom w:val="none" w:sz="0" w:space="0" w:color="auto"/>
        <w:right w:val="none" w:sz="0" w:space="0" w:color="auto"/>
      </w:divBdr>
    </w:div>
    <w:div w:id="1738477456">
      <w:bodyDiv w:val="1"/>
      <w:marLeft w:val="0"/>
      <w:marRight w:val="0"/>
      <w:marTop w:val="0"/>
      <w:marBottom w:val="0"/>
      <w:divBdr>
        <w:top w:val="none" w:sz="0" w:space="0" w:color="auto"/>
        <w:left w:val="none" w:sz="0" w:space="0" w:color="auto"/>
        <w:bottom w:val="none" w:sz="0" w:space="0" w:color="auto"/>
        <w:right w:val="none" w:sz="0" w:space="0" w:color="auto"/>
      </w:divBdr>
    </w:div>
    <w:div w:id="1739815433">
      <w:bodyDiv w:val="1"/>
      <w:marLeft w:val="0"/>
      <w:marRight w:val="0"/>
      <w:marTop w:val="0"/>
      <w:marBottom w:val="0"/>
      <w:divBdr>
        <w:top w:val="none" w:sz="0" w:space="0" w:color="auto"/>
        <w:left w:val="none" w:sz="0" w:space="0" w:color="auto"/>
        <w:bottom w:val="none" w:sz="0" w:space="0" w:color="auto"/>
        <w:right w:val="none" w:sz="0" w:space="0" w:color="auto"/>
      </w:divBdr>
    </w:div>
    <w:div w:id="1740009843">
      <w:bodyDiv w:val="1"/>
      <w:marLeft w:val="0"/>
      <w:marRight w:val="0"/>
      <w:marTop w:val="0"/>
      <w:marBottom w:val="0"/>
      <w:divBdr>
        <w:top w:val="none" w:sz="0" w:space="0" w:color="auto"/>
        <w:left w:val="none" w:sz="0" w:space="0" w:color="auto"/>
        <w:bottom w:val="none" w:sz="0" w:space="0" w:color="auto"/>
        <w:right w:val="none" w:sz="0" w:space="0" w:color="auto"/>
      </w:divBdr>
    </w:div>
    <w:div w:id="1740206745">
      <w:bodyDiv w:val="1"/>
      <w:marLeft w:val="0"/>
      <w:marRight w:val="0"/>
      <w:marTop w:val="0"/>
      <w:marBottom w:val="0"/>
      <w:divBdr>
        <w:top w:val="none" w:sz="0" w:space="0" w:color="auto"/>
        <w:left w:val="none" w:sz="0" w:space="0" w:color="auto"/>
        <w:bottom w:val="none" w:sz="0" w:space="0" w:color="auto"/>
        <w:right w:val="none" w:sz="0" w:space="0" w:color="auto"/>
      </w:divBdr>
    </w:div>
    <w:div w:id="1741293073">
      <w:bodyDiv w:val="1"/>
      <w:marLeft w:val="0"/>
      <w:marRight w:val="0"/>
      <w:marTop w:val="0"/>
      <w:marBottom w:val="0"/>
      <w:divBdr>
        <w:top w:val="none" w:sz="0" w:space="0" w:color="auto"/>
        <w:left w:val="none" w:sz="0" w:space="0" w:color="auto"/>
        <w:bottom w:val="none" w:sz="0" w:space="0" w:color="auto"/>
        <w:right w:val="none" w:sz="0" w:space="0" w:color="auto"/>
      </w:divBdr>
    </w:div>
    <w:div w:id="1743137392">
      <w:bodyDiv w:val="1"/>
      <w:marLeft w:val="0"/>
      <w:marRight w:val="0"/>
      <w:marTop w:val="0"/>
      <w:marBottom w:val="0"/>
      <w:divBdr>
        <w:top w:val="none" w:sz="0" w:space="0" w:color="auto"/>
        <w:left w:val="none" w:sz="0" w:space="0" w:color="auto"/>
        <w:bottom w:val="none" w:sz="0" w:space="0" w:color="auto"/>
        <w:right w:val="none" w:sz="0" w:space="0" w:color="auto"/>
      </w:divBdr>
    </w:div>
    <w:div w:id="1745569418">
      <w:bodyDiv w:val="1"/>
      <w:marLeft w:val="0"/>
      <w:marRight w:val="0"/>
      <w:marTop w:val="0"/>
      <w:marBottom w:val="0"/>
      <w:divBdr>
        <w:top w:val="none" w:sz="0" w:space="0" w:color="auto"/>
        <w:left w:val="none" w:sz="0" w:space="0" w:color="auto"/>
        <w:bottom w:val="none" w:sz="0" w:space="0" w:color="auto"/>
        <w:right w:val="none" w:sz="0" w:space="0" w:color="auto"/>
      </w:divBdr>
    </w:div>
    <w:div w:id="1756586465">
      <w:bodyDiv w:val="1"/>
      <w:marLeft w:val="0"/>
      <w:marRight w:val="0"/>
      <w:marTop w:val="0"/>
      <w:marBottom w:val="0"/>
      <w:divBdr>
        <w:top w:val="none" w:sz="0" w:space="0" w:color="auto"/>
        <w:left w:val="none" w:sz="0" w:space="0" w:color="auto"/>
        <w:bottom w:val="none" w:sz="0" w:space="0" w:color="auto"/>
        <w:right w:val="none" w:sz="0" w:space="0" w:color="auto"/>
      </w:divBdr>
    </w:div>
    <w:div w:id="1757052790">
      <w:bodyDiv w:val="1"/>
      <w:marLeft w:val="0"/>
      <w:marRight w:val="0"/>
      <w:marTop w:val="0"/>
      <w:marBottom w:val="0"/>
      <w:divBdr>
        <w:top w:val="none" w:sz="0" w:space="0" w:color="auto"/>
        <w:left w:val="none" w:sz="0" w:space="0" w:color="auto"/>
        <w:bottom w:val="none" w:sz="0" w:space="0" w:color="auto"/>
        <w:right w:val="none" w:sz="0" w:space="0" w:color="auto"/>
      </w:divBdr>
    </w:div>
    <w:div w:id="1757550894">
      <w:bodyDiv w:val="1"/>
      <w:marLeft w:val="0"/>
      <w:marRight w:val="0"/>
      <w:marTop w:val="0"/>
      <w:marBottom w:val="0"/>
      <w:divBdr>
        <w:top w:val="none" w:sz="0" w:space="0" w:color="auto"/>
        <w:left w:val="none" w:sz="0" w:space="0" w:color="auto"/>
        <w:bottom w:val="none" w:sz="0" w:space="0" w:color="auto"/>
        <w:right w:val="none" w:sz="0" w:space="0" w:color="auto"/>
      </w:divBdr>
    </w:div>
    <w:div w:id="1757556407">
      <w:bodyDiv w:val="1"/>
      <w:marLeft w:val="0"/>
      <w:marRight w:val="0"/>
      <w:marTop w:val="0"/>
      <w:marBottom w:val="0"/>
      <w:divBdr>
        <w:top w:val="none" w:sz="0" w:space="0" w:color="auto"/>
        <w:left w:val="none" w:sz="0" w:space="0" w:color="auto"/>
        <w:bottom w:val="none" w:sz="0" w:space="0" w:color="auto"/>
        <w:right w:val="none" w:sz="0" w:space="0" w:color="auto"/>
      </w:divBdr>
    </w:div>
    <w:div w:id="1757939504">
      <w:bodyDiv w:val="1"/>
      <w:marLeft w:val="0"/>
      <w:marRight w:val="0"/>
      <w:marTop w:val="0"/>
      <w:marBottom w:val="0"/>
      <w:divBdr>
        <w:top w:val="none" w:sz="0" w:space="0" w:color="auto"/>
        <w:left w:val="none" w:sz="0" w:space="0" w:color="auto"/>
        <w:bottom w:val="none" w:sz="0" w:space="0" w:color="auto"/>
        <w:right w:val="none" w:sz="0" w:space="0" w:color="auto"/>
      </w:divBdr>
    </w:div>
    <w:div w:id="1758673928">
      <w:bodyDiv w:val="1"/>
      <w:marLeft w:val="0"/>
      <w:marRight w:val="0"/>
      <w:marTop w:val="0"/>
      <w:marBottom w:val="0"/>
      <w:divBdr>
        <w:top w:val="none" w:sz="0" w:space="0" w:color="auto"/>
        <w:left w:val="none" w:sz="0" w:space="0" w:color="auto"/>
        <w:bottom w:val="none" w:sz="0" w:space="0" w:color="auto"/>
        <w:right w:val="none" w:sz="0" w:space="0" w:color="auto"/>
      </w:divBdr>
    </w:div>
    <w:div w:id="1761755638">
      <w:bodyDiv w:val="1"/>
      <w:marLeft w:val="0"/>
      <w:marRight w:val="0"/>
      <w:marTop w:val="0"/>
      <w:marBottom w:val="0"/>
      <w:divBdr>
        <w:top w:val="none" w:sz="0" w:space="0" w:color="auto"/>
        <w:left w:val="none" w:sz="0" w:space="0" w:color="auto"/>
        <w:bottom w:val="none" w:sz="0" w:space="0" w:color="auto"/>
        <w:right w:val="none" w:sz="0" w:space="0" w:color="auto"/>
      </w:divBdr>
    </w:div>
    <w:div w:id="1765304286">
      <w:bodyDiv w:val="1"/>
      <w:marLeft w:val="0"/>
      <w:marRight w:val="0"/>
      <w:marTop w:val="0"/>
      <w:marBottom w:val="0"/>
      <w:divBdr>
        <w:top w:val="none" w:sz="0" w:space="0" w:color="auto"/>
        <w:left w:val="none" w:sz="0" w:space="0" w:color="auto"/>
        <w:bottom w:val="none" w:sz="0" w:space="0" w:color="auto"/>
        <w:right w:val="none" w:sz="0" w:space="0" w:color="auto"/>
      </w:divBdr>
    </w:div>
    <w:div w:id="1768386162">
      <w:bodyDiv w:val="1"/>
      <w:marLeft w:val="0"/>
      <w:marRight w:val="0"/>
      <w:marTop w:val="0"/>
      <w:marBottom w:val="0"/>
      <w:divBdr>
        <w:top w:val="none" w:sz="0" w:space="0" w:color="auto"/>
        <w:left w:val="none" w:sz="0" w:space="0" w:color="auto"/>
        <w:bottom w:val="none" w:sz="0" w:space="0" w:color="auto"/>
        <w:right w:val="none" w:sz="0" w:space="0" w:color="auto"/>
      </w:divBdr>
    </w:div>
    <w:div w:id="1771703571">
      <w:bodyDiv w:val="1"/>
      <w:marLeft w:val="0"/>
      <w:marRight w:val="0"/>
      <w:marTop w:val="0"/>
      <w:marBottom w:val="0"/>
      <w:divBdr>
        <w:top w:val="none" w:sz="0" w:space="0" w:color="auto"/>
        <w:left w:val="none" w:sz="0" w:space="0" w:color="auto"/>
        <w:bottom w:val="none" w:sz="0" w:space="0" w:color="auto"/>
        <w:right w:val="none" w:sz="0" w:space="0" w:color="auto"/>
      </w:divBdr>
    </w:div>
    <w:div w:id="1777210746">
      <w:bodyDiv w:val="1"/>
      <w:marLeft w:val="0"/>
      <w:marRight w:val="0"/>
      <w:marTop w:val="0"/>
      <w:marBottom w:val="0"/>
      <w:divBdr>
        <w:top w:val="none" w:sz="0" w:space="0" w:color="auto"/>
        <w:left w:val="none" w:sz="0" w:space="0" w:color="auto"/>
        <w:bottom w:val="none" w:sz="0" w:space="0" w:color="auto"/>
        <w:right w:val="none" w:sz="0" w:space="0" w:color="auto"/>
      </w:divBdr>
    </w:div>
    <w:div w:id="1779057259">
      <w:bodyDiv w:val="1"/>
      <w:marLeft w:val="0"/>
      <w:marRight w:val="0"/>
      <w:marTop w:val="0"/>
      <w:marBottom w:val="0"/>
      <w:divBdr>
        <w:top w:val="none" w:sz="0" w:space="0" w:color="auto"/>
        <w:left w:val="none" w:sz="0" w:space="0" w:color="auto"/>
        <w:bottom w:val="none" w:sz="0" w:space="0" w:color="auto"/>
        <w:right w:val="none" w:sz="0" w:space="0" w:color="auto"/>
      </w:divBdr>
    </w:div>
    <w:div w:id="1779449238">
      <w:bodyDiv w:val="1"/>
      <w:marLeft w:val="0"/>
      <w:marRight w:val="0"/>
      <w:marTop w:val="0"/>
      <w:marBottom w:val="0"/>
      <w:divBdr>
        <w:top w:val="none" w:sz="0" w:space="0" w:color="auto"/>
        <w:left w:val="none" w:sz="0" w:space="0" w:color="auto"/>
        <w:bottom w:val="none" w:sz="0" w:space="0" w:color="auto"/>
        <w:right w:val="none" w:sz="0" w:space="0" w:color="auto"/>
      </w:divBdr>
    </w:div>
    <w:div w:id="1784306443">
      <w:bodyDiv w:val="1"/>
      <w:marLeft w:val="0"/>
      <w:marRight w:val="0"/>
      <w:marTop w:val="0"/>
      <w:marBottom w:val="0"/>
      <w:divBdr>
        <w:top w:val="none" w:sz="0" w:space="0" w:color="auto"/>
        <w:left w:val="none" w:sz="0" w:space="0" w:color="auto"/>
        <w:bottom w:val="none" w:sz="0" w:space="0" w:color="auto"/>
        <w:right w:val="none" w:sz="0" w:space="0" w:color="auto"/>
      </w:divBdr>
    </w:div>
    <w:div w:id="1784374579">
      <w:bodyDiv w:val="1"/>
      <w:marLeft w:val="0"/>
      <w:marRight w:val="0"/>
      <w:marTop w:val="0"/>
      <w:marBottom w:val="0"/>
      <w:divBdr>
        <w:top w:val="none" w:sz="0" w:space="0" w:color="auto"/>
        <w:left w:val="none" w:sz="0" w:space="0" w:color="auto"/>
        <w:bottom w:val="none" w:sz="0" w:space="0" w:color="auto"/>
        <w:right w:val="none" w:sz="0" w:space="0" w:color="auto"/>
      </w:divBdr>
    </w:div>
    <w:div w:id="1785690385">
      <w:bodyDiv w:val="1"/>
      <w:marLeft w:val="0"/>
      <w:marRight w:val="0"/>
      <w:marTop w:val="0"/>
      <w:marBottom w:val="0"/>
      <w:divBdr>
        <w:top w:val="none" w:sz="0" w:space="0" w:color="auto"/>
        <w:left w:val="none" w:sz="0" w:space="0" w:color="auto"/>
        <w:bottom w:val="none" w:sz="0" w:space="0" w:color="auto"/>
        <w:right w:val="none" w:sz="0" w:space="0" w:color="auto"/>
      </w:divBdr>
    </w:div>
    <w:div w:id="1791166456">
      <w:bodyDiv w:val="1"/>
      <w:marLeft w:val="0"/>
      <w:marRight w:val="0"/>
      <w:marTop w:val="0"/>
      <w:marBottom w:val="0"/>
      <w:divBdr>
        <w:top w:val="none" w:sz="0" w:space="0" w:color="auto"/>
        <w:left w:val="none" w:sz="0" w:space="0" w:color="auto"/>
        <w:bottom w:val="none" w:sz="0" w:space="0" w:color="auto"/>
        <w:right w:val="none" w:sz="0" w:space="0" w:color="auto"/>
      </w:divBdr>
    </w:div>
    <w:div w:id="1791820816">
      <w:bodyDiv w:val="1"/>
      <w:marLeft w:val="0"/>
      <w:marRight w:val="0"/>
      <w:marTop w:val="0"/>
      <w:marBottom w:val="0"/>
      <w:divBdr>
        <w:top w:val="none" w:sz="0" w:space="0" w:color="auto"/>
        <w:left w:val="none" w:sz="0" w:space="0" w:color="auto"/>
        <w:bottom w:val="none" w:sz="0" w:space="0" w:color="auto"/>
        <w:right w:val="none" w:sz="0" w:space="0" w:color="auto"/>
      </w:divBdr>
    </w:div>
    <w:div w:id="1792942261">
      <w:bodyDiv w:val="1"/>
      <w:marLeft w:val="0"/>
      <w:marRight w:val="0"/>
      <w:marTop w:val="0"/>
      <w:marBottom w:val="0"/>
      <w:divBdr>
        <w:top w:val="none" w:sz="0" w:space="0" w:color="auto"/>
        <w:left w:val="none" w:sz="0" w:space="0" w:color="auto"/>
        <w:bottom w:val="none" w:sz="0" w:space="0" w:color="auto"/>
        <w:right w:val="none" w:sz="0" w:space="0" w:color="auto"/>
      </w:divBdr>
    </w:div>
    <w:div w:id="1793554962">
      <w:bodyDiv w:val="1"/>
      <w:marLeft w:val="0"/>
      <w:marRight w:val="0"/>
      <w:marTop w:val="0"/>
      <w:marBottom w:val="0"/>
      <w:divBdr>
        <w:top w:val="none" w:sz="0" w:space="0" w:color="auto"/>
        <w:left w:val="none" w:sz="0" w:space="0" w:color="auto"/>
        <w:bottom w:val="none" w:sz="0" w:space="0" w:color="auto"/>
        <w:right w:val="none" w:sz="0" w:space="0" w:color="auto"/>
      </w:divBdr>
    </w:div>
    <w:div w:id="1796947253">
      <w:bodyDiv w:val="1"/>
      <w:marLeft w:val="0"/>
      <w:marRight w:val="0"/>
      <w:marTop w:val="0"/>
      <w:marBottom w:val="0"/>
      <w:divBdr>
        <w:top w:val="none" w:sz="0" w:space="0" w:color="auto"/>
        <w:left w:val="none" w:sz="0" w:space="0" w:color="auto"/>
        <w:bottom w:val="none" w:sz="0" w:space="0" w:color="auto"/>
        <w:right w:val="none" w:sz="0" w:space="0" w:color="auto"/>
      </w:divBdr>
    </w:div>
    <w:div w:id="1799958547">
      <w:bodyDiv w:val="1"/>
      <w:marLeft w:val="0"/>
      <w:marRight w:val="0"/>
      <w:marTop w:val="0"/>
      <w:marBottom w:val="0"/>
      <w:divBdr>
        <w:top w:val="none" w:sz="0" w:space="0" w:color="auto"/>
        <w:left w:val="none" w:sz="0" w:space="0" w:color="auto"/>
        <w:bottom w:val="none" w:sz="0" w:space="0" w:color="auto"/>
        <w:right w:val="none" w:sz="0" w:space="0" w:color="auto"/>
      </w:divBdr>
    </w:div>
    <w:div w:id="1800490015">
      <w:bodyDiv w:val="1"/>
      <w:marLeft w:val="0"/>
      <w:marRight w:val="0"/>
      <w:marTop w:val="0"/>
      <w:marBottom w:val="0"/>
      <w:divBdr>
        <w:top w:val="none" w:sz="0" w:space="0" w:color="auto"/>
        <w:left w:val="none" w:sz="0" w:space="0" w:color="auto"/>
        <w:bottom w:val="none" w:sz="0" w:space="0" w:color="auto"/>
        <w:right w:val="none" w:sz="0" w:space="0" w:color="auto"/>
      </w:divBdr>
    </w:div>
    <w:div w:id="1805536292">
      <w:bodyDiv w:val="1"/>
      <w:marLeft w:val="0"/>
      <w:marRight w:val="0"/>
      <w:marTop w:val="0"/>
      <w:marBottom w:val="0"/>
      <w:divBdr>
        <w:top w:val="none" w:sz="0" w:space="0" w:color="auto"/>
        <w:left w:val="none" w:sz="0" w:space="0" w:color="auto"/>
        <w:bottom w:val="none" w:sz="0" w:space="0" w:color="auto"/>
        <w:right w:val="none" w:sz="0" w:space="0" w:color="auto"/>
      </w:divBdr>
    </w:div>
    <w:div w:id="1809125235">
      <w:bodyDiv w:val="1"/>
      <w:marLeft w:val="0"/>
      <w:marRight w:val="0"/>
      <w:marTop w:val="0"/>
      <w:marBottom w:val="0"/>
      <w:divBdr>
        <w:top w:val="none" w:sz="0" w:space="0" w:color="auto"/>
        <w:left w:val="none" w:sz="0" w:space="0" w:color="auto"/>
        <w:bottom w:val="none" w:sz="0" w:space="0" w:color="auto"/>
        <w:right w:val="none" w:sz="0" w:space="0" w:color="auto"/>
      </w:divBdr>
    </w:div>
    <w:div w:id="1809273526">
      <w:bodyDiv w:val="1"/>
      <w:marLeft w:val="0"/>
      <w:marRight w:val="0"/>
      <w:marTop w:val="0"/>
      <w:marBottom w:val="0"/>
      <w:divBdr>
        <w:top w:val="none" w:sz="0" w:space="0" w:color="auto"/>
        <w:left w:val="none" w:sz="0" w:space="0" w:color="auto"/>
        <w:bottom w:val="none" w:sz="0" w:space="0" w:color="auto"/>
        <w:right w:val="none" w:sz="0" w:space="0" w:color="auto"/>
      </w:divBdr>
    </w:div>
    <w:div w:id="1809324034">
      <w:bodyDiv w:val="1"/>
      <w:marLeft w:val="0"/>
      <w:marRight w:val="0"/>
      <w:marTop w:val="0"/>
      <w:marBottom w:val="0"/>
      <w:divBdr>
        <w:top w:val="none" w:sz="0" w:space="0" w:color="auto"/>
        <w:left w:val="none" w:sz="0" w:space="0" w:color="auto"/>
        <w:bottom w:val="none" w:sz="0" w:space="0" w:color="auto"/>
        <w:right w:val="none" w:sz="0" w:space="0" w:color="auto"/>
      </w:divBdr>
    </w:div>
    <w:div w:id="1810781499">
      <w:bodyDiv w:val="1"/>
      <w:marLeft w:val="0"/>
      <w:marRight w:val="0"/>
      <w:marTop w:val="0"/>
      <w:marBottom w:val="0"/>
      <w:divBdr>
        <w:top w:val="none" w:sz="0" w:space="0" w:color="auto"/>
        <w:left w:val="none" w:sz="0" w:space="0" w:color="auto"/>
        <w:bottom w:val="none" w:sz="0" w:space="0" w:color="auto"/>
        <w:right w:val="none" w:sz="0" w:space="0" w:color="auto"/>
      </w:divBdr>
    </w:div>
    <w:div w:id="1810897836">
      <w:bodyDiv w:val="1"/>
      <w:marLeft w:val="0"/>
      <w:marRight w:val="0"/>
      <w:marTop w:val="0"/>
      <w:marBottom w:val="0"/>
      <w:divBdr>
        <w:top w:val="none" w:sz="0" w:space="0" w:color="auto"/>
        <w:left w:val="none" w:sz="0" w:space="0" w:color="auto"/>
        <w:bottom w:val="none" w:sz="0" w:space="0" w:color="auto"/>
        <w:right w:val="none" w:sz="0" w:space="0" w:color="auto"/>
      </w:divBdr>
    </w:div>
    <w:div w:id="1814173612">
      <w:bodyDiv w:val="1"/>
      <w:marLeft w:val="0"/>
      <w:marRight w:val="0"/>
      <w:marTop w:val="0"/>
      <w:marBottom w:val="0"/>
      <w:divBdr>
        <w:top w:val="none" w:sz="0" w:space="0" w:color="auto"/>
        <w:left w:val="none" w:sz="0" w:space="0" w:color="auto"/>
        <w:bottom w:val="none" w:sz="0" w:space="0" w:color="auto"/>
        <w:right w:val="none" w:sz="0" w:space="0" w:color="auto"/>
      </w:divBdr>
    </w:div>
    <w:div w:id="1814713199">
      <w:bodyDiv w:val="1"/>
      <w:marLeft w:val="0"/>
      <w:marRight w:val="0"/>
      <w:marTop w:val="0"/>
      <w:marBottom w:val="0"/>
      <w:divBdr>
        <w:top w:val="none" w:sz="0" w:space="0" w:color="auto"/>
        <w:left w:val="none" w:sz="0" w:space="0" w:color="auto"/>
        <w:bottom w:val="none" w:sz="0" w:space="0" w:color="auto"/>
        <w:right w:val="none" w:sz="0" w:space="0" w:color="auto"/>
      </w:divBdr>
    </w:div>
    <w:div w:id="1816023743">
      <w:bodyDiv w:val="1"/>
      <w:marLeft w:val="0"/>
      <w:marRight w:val="0"/>
      <w:marTop w:val="0"/>
      <w:marBottom w:val="0"/>
      <w:divBdr>
        <w:top w:val="none" w:sz="0" w:space="0" w:color="auto"/>
        <w:left w:val="none" w:sz="0" w:space="0" w:color="auto"/>
        <w:bottom w:val="none" w:sz="0" w:space="0" w:color="auto"/>
        <w:right w:val="none" w:sz="0" w:space="0" w:color="auto"/>
      </w:divBdr>
    </w:div>
    <w:div w:id="1818448605">
      <w:bodyDiv w:val="1"/>
      <w:marLeft w:val="0"/>
      <w:marRight w:val="0"/>
      <w:marTop w:val="0"/>
      <w:marBottom w:val="0"/>
      <w:divBdr>
        <w:top w:val="none" w:sz="0" w:space="0" w:color="auto"/>
        <w:left w:val="none" w:sz="0" w:space="0" w:color="auto"/>
        <w:bottom w:val="none" w:sz="0" w:space="0" w:color="auto"/>
        <w:right w:val="none" w:sz="0" w:space="0" w:color="auto"/>
      </w:divBdr>
    </w:div>
    <w:div w:id="1823043337">
      <w:bodyDiv w:val="1"/>
      <w:marLeft w:val="0"/>
      <w:marRight w:val="0"/>
      <w:marTop w:val="0"/>
      <w:marBottom w:val="0"/>
      <w:divBdr>
        <w:top w:val="none" w:sz="0" w:space="0" w:color="auto"/>
        <w:left w:val="none" w:sz="0" w:space="0" w:color="auto"/>
        <w:bottom w:val="none" w:sz="0" w:space="0" w:color="auto"/>
        <w:right w:val="none" w:sz="0" w:space="0" w:color="auto"/>
      </w:divBdr>
    </w:div>
    <w:div w:id="1823160455">
      <w:bodyDiv w:val="1"/>
      <w:marLeft w:val="0"/>
      <w:marRight w:val="0"/>
      <w:marTop w:val="0"/>
      <w:marBottom w:val="0"/>
      <w:divBdr>
        <w:top w:val="none" w:sz="0" w:space="0" w:color="auto"/>
        <w:left w:val="none" w:sz="0" w:space="0" w:color="auto"/>
        <w:bottom w:val="none" w:sz="0" w:space="0" w:color="auto"/>
        <w:right w:val="none" w:sz="0" w:space="0" w:color="auto"/>
      </w:divBdr>
    </w:div>
    <w:div w:id="1823234032">
      <w:bodyDiv w:val="1"/>
      <w:marLeft w:val="0"/>
      <w:marRight w:val="0"/>
      <w:marTop w:val="0"/>
      <w:marBottom w:val="0"/>
      <w:divBdr>
        <w:top w:val="none" w:sz="0" w:space="0" w:color="auto"/>
        <w:left w:val="none" w:sz="0" w:space="0" w:color="auto"/>
        <w:bottom w:val="none" w:sz="0" w:space="0" w:color="auto"/>
        <w:right w:val="none" w:sz="0" w:space="0" w:color="auto"/>
      </w:divBdr>
    </w:div>
    <w:div w:id="1824007270">
      <w:bodyDiv w:val="1"/>
      <w:marLeft w:val="0"/>
      <w:marRight w:val="0"/>
      <w:marTop w:val="0"/>
      <w:marBottom w:val="0"/>
      <w:divBdr>
        <w:top w:val="none" w:sz="0" w:space="0" w:color="auto"/>
        <w:left w:val="none" w:sz="0" w:space="0" w:color="auto"/>
        <w:bottom w:val="none" w:sz="0" w:space="0" w:color="auto"/>
        <w:right w:val="none" w:sz="0" w:space="0" w:color="auto"/>
      </w:divBdr>
      <w:divsChild>
        <w:div w:id="39912494">
          <w:marLeft w:val="547"/>
          <w:marRight w:val="0"/>
          <w:marTop w:val="115"/>
          <w:marBottom w:val="0"/>
          <w:divBdr>
            <w:top w:val="none" w:sz="0" w:space="0" w:color="auto"/>
            <w:left w:val="none" w:sz="0" w:space="0" w:color="auto"/>
            <w:bottom w:val="none" w:sz="0" w:space="0" w:color="auto"/>
            <w:right w:val="none" w:sz="0" w:space="0" w:color="auto"/>
          </w:divBdr>
        </w:div>
        <w:div w:id="813907904">
          <w:marLeft w:val="547"/>
          <w:marRight w:val="0"/>
          <w:marTop w:val="115"/>
          <w:marBottom w:val="0"/>
          <w:divBdr>
            <w:top w:val="none" w:sz="0" w:space="0" w:color="auto"/>
            <w:left w:val="none" w:sz="0" w:space="0" w:color="auto"/>
            <w:bottom w:val="none" w:sz="0" w:space="0" w:color="auto"/>
            <w:right w:val="none" w:sz="0" w:space="0" w:color="auto"/>
          </w:divBdr>
        </w:div>
        <w:div w:id="1374621076">
          <w:marLeft w:val="547"/>
          <w:marRight w:val="0"/>
          <w:marTop w:val="115"/>
          <w:marBottom w:val="0"/>
          <w:divBdr>
            <w:top w:val="none" w:sz="0" w:space="0" w:color="auto"/>
            <w:left w:val="none" w:sz="0" w:space="0" w:color="auto"/>
            <w:bottom w:val="none" w:sz="0" w:space="0" w:color="auto"/>
            <w:right w:val="none" w:sz="0" w:space="0" w:color="auto"/>
          </w:divBdr>
        </w:div>
        <w:div w:id="1672565152">
          <w:marLeft w:val="547"/>
          <w:marRight w:val="0"/>
          <w:marTop w:val="115"/>
          <w:marBottom w:val="0"/>
          <w:divBdr>
            <w:top w:val="none" w:sz="0" w:space="0" w:color="auto"/>
            <w:left w:val="none" w:sz="0" w:space="0" w:color="auto"/>
            <w:bottom w:val="none" w:sz="0" w:space="0" w:color="auto"/>
            <w:right w:val="none" w:sz="0" w:space="0" w:color="auto"/>
          </w:divBdr>
        </w:div>
        <w:div w:id="1760248377">
          <w:marLeft w:val="547"/>
          <w:marRight w:val="0"/>
          <w:marTop w:val="115"/>
          <w:marBottom w:val="0"/>
          <w:divBdr>
            <w:top w:val="none" w:sz="0" w:space="0" w:color="auto"/>
            <w:left w:val="none" w:sz="0" w:space="0" w:color="auto"/>
            <w:bottom w:val="none" w:sz="0" w:space="0" w:color="auto"/>
            <w:right w:val="none" w:sz="0" w:space="0" w:color="auto"/>
          </w:divBdr>
        </w:div>
      </w:divsChild>
    </w:div>
    <w:div w:id="1824157990">
      <w:bodyDiv w:val="1"/>
      <w:marLeft w:val="0"/>
      <w:marRight w:val="0"/>
      <w:marTop w:val="0"/>
      <w:marBottom w:val="0"/>
      <w:divBdr>
        <w:top w:val="none" w:sz="0" w:space="0" w:color="auto"/>
        <w:left w:val="none" w:sz="0" w:space="0" w:color="auto"/>
        <w:bottom w:val="none" w:sz="0" w:space="0" w:color="auto"/>
        <w:right w:val="none" w:sz="0" w:space="0" w:color="auto"/>
      </w:divBdr>
    </w:div>
    <w:div w:id="1826435371">
      <w:bodyDiv w:val="1"/>
      <w:marLeft w:val="0"/>
      <w:marRight w:val="0"/>
      <w:marTop w:val="0"/>
      <w:marBottom w:val="0"/>
      <w:divBdr>
        <w:top w:val="none" w:sz="0" w:space="0" w:color="auto"/>
        <w:left w:val="none" w:sz="0" w:space="0" w:color="auto"/>
        <w:bottom w:val="none" w:sz="0" w:space="0" w:color="auto"/>
        <w:right w:val="none" w:sz="0" w:space="0" w:color="auto"/>
      </w:divBdr>
    </w:div>
    <w:div w:id="1826630802">
      <w:bodyDiv w:val="1"/>
      <w:marLeft w:val="0"/>
      <w:marRight w:val="0"/>
      <w:marTop w:val="0"/>
      <w:marBottom w:val="0"/>
      <w:divBdr>
        <w:top w:val="none" w:sz="0" w:space="0" w:color="auto"/>
        <w:left w:val="none" w:sz="0" w:space="0" w:color="auto"/>
        <w:bottom w:val="none" w:sz="0" w:space="0" w:color="auto"/>
        <w:right w:val="none" w:sz="0" w:space="0" w:color="auto"/>
      </w:divBdr>
    </w:div>
    <w:div w:id="1826971919">
      <w:bodyDiv w:val="1"/>
      <w:marLeft w:val="0"/>
      <w:marRight w:val="0"/>
      <w:marTop w:val="0"/>
      <w:marBottom w:val="0"/>
      <w:divBdr>
        <w:top w:val="none" w:sz="0" w:space="0" w:color="auto"/>
        <w:left w:val="none" w:sz="0" w:space="0" w:color="auto"/>
        <w:bottom w:val="none" w:sz="0" w:space="0" w:color="auto"/>
        <w:right w:val="none" w:sz="0" w:space="0" w:color="auto"/>
      </w:divBdr>
    </w:div>
    <w:div w:id="1828665800">
      <w:bodyDiv w:val="1"/>
      <w:marLeft w:val="0"/>
      <w:marRight w:val="0"/>
      <w:marTop w:val="0"/>
      <w:marBottom w:val="0"/>
      <w:divBdr>
        <w:top w:val="none" w:sz="0" w:space="0" w:color="auto"/>
        <w:left w:val="none" w:sz="0" w:space="0" w:color="auto"/>
        <w:bottom w:val="none" w:sz="0" w:space="0" w:color="auto"/>
        <w:right w:val="none" w:sz="0" w:space="0" w:color="auto"/>
      </w:divBdr>
    </w:div>
    <w:div w:id="1832212963">
      <w:bodyDiv w:val="1"/>
      <w:marLeft w:val="0"/>
      <w:marRight w:val="0"/>
      <w:marTop w:val="0"/>
      <w:marBottom w:val="0"/>
      <w:divBdr>
        <w:top w:val="none" w:sz="0" w:space="0" w:color="auto"/>
        <w:left w:val="none" w:sz="0" w:space="0" w:color="auto"/>
        <w:bottom w:val="none" w:sz="0" w:space="0" w:color="auto"/>
        <w:right w:val="none" w:sz="0" w:space="0" w:color="auto"/>
      </w:divBdr>
    </w:div>
    <w:div w:id="1832258555">
      <w:bodyDiv w:val="1"/>
      <w:marLeft w:val="0"/>
      <w:marRight w:val="0"/>
      <w:marTop w:val="0"/>
      <w:marBottom w:val="0"/>
      <w:divBdr>
        <w:top w:val="none" w:sz="0" w:space="0" w:color="auto"/>
        <w:left w:val="none" w:sz="0" w:space="0" w:color="auto"/>
        <w:bottom w:val="none" w:sz="0" w:space="0" w:color="auto"/>
        <w:right w:val="none" w:sz="0" w:space="0" w:color="auto"/>
      </w:divBdr>
    </w:div>
    <w:div w:id="1832283551">
      <w:bodyDiv w:val="1"/>
      <w:marLeft w:val="0"/>
      <w:marRight w:val="0"/>
      <w:marTop w:val="0"/>
      <w:marBottom w:val="0"/>
      <w:divBdr>
        <w:top w:val="none" w:sz="0" w:space="0" w:color="auto"/>
        <w:left w:val="none" w:sz="0" w:space="0" w:color="auto"/>
        <w:bottom w:val="none" w:sz="0" w:space="0" w:color="auto"/>
        <w:right w:val="none" w:sz="0" w:space="0" w:color="auto"/>
      </w:divBdr>
    </w:div>
    <w:div w:id="1837379057">
      <w:bodyDiv w:val="1"/>
      <w:marLeft w:val="0"/>
      <w:marRight w:val="0"/>
      <w:marTop w:val="0"/>
      <w:marBottom w:val="0"/>
      <w:divBdr>
        <w:top w:val="none" w:sz="0" w:space="0" w:color="auto"/>
        <w:left w:val="none" w:sz="0" w:space="0" w:color="auto"/>
        <w:bottom w:val="none" w:sz="0" w:space="0" w:color="auto"/>
        <w:right w:val="none" w:sz="0" w:space="0" w:color="auto"/>
      </w:divBdr>
    </w:div>
    <w:div w:id="1842620447">
      <w:bodyDiv w:val="1"/>
      <w:marLeft w:val="0"/>
      <w:marRight w:val="0"/>
      <w:marTop w:val="0"/>
      <w:marBottom w:val="0"/>
      <w:divBdr>
        <w:top w:val="none" w:sz="0" w:space="0" w:color="auto"/>
        <w:left w:val="none" w:sz="0" w:space="0" w:color="auto"/>
        <w:bottom w:val="none" w:sz="0" w:space="0" w:color="auto"/>
        <w:right w:val="none" w:sz="0" w:space="0" w:color="auto"/>
      </w:divBdr>
    </w:div>
    <w:div w:id="1843930564">
      <w:bodyDiv w:val="1"/>
      <w:marLeft w:val="0"/>
      <w:marRight w:val="0"/>
      <w:marTop w:val="0"/>
      <w:marBottom w:val="0"/>
      <w:divBdr>
        <w:top w:val="none" w:sz="0" w:space="0" w:color="auto"/>
        <w:left w:val="none" w:sz="0" w:space="0" w:color="auto"/>
        <w:bottom w:val="none" w:sz="0" w:space="0" w:color="auto"/>
        <w:right w:val="none" w:sz="0" w:space="0" w:color="auto"/>
      </w:divBdr>
    </w:div>
    <w:div w:id="1844272782">
      <w:bodyDiv w:val="1"/>
      <w:marLeft w:val="0"/>
      <w:marRight w:val="0"/>
      <w:marTop w:val="0"/>
      <w:marBottom w:val="0"/>
      <w:divBdr>
        <w:top w:val="none" w:sz="0" w:space="0" w:color="auto"/>
        <w:left w:val="none" w:sz="0" w:space="0" w:color="auto"/>
        <w:bottom w:val="none" w:sz="0" w:space="0" w:color="auto"/>
        <w:right w:val="none" w:sz="0" w:space="0" w:color="auto"/>
      </w:divBdr>
    </w:div>
    <w:div w:id="1844514556">
      <w:bodyDiv w:val="1"/>
      <w:marLeft w:val="0"/>
      <w:marRight w:val="0"/>
      <w:marTop w:val="0"/>
      <w:marBottom w:val="0"/>
      <w:divBdr>
        <w:top w:val="none" w:sz="0" w:space="0" w:color="auto"/>
        <w:left w:val="none" w:sz="0" w:space="0" w:color="auto"/>
        <w:bottom w:val="none" w:sz="0" w:space="0" w:color="auto"/>
        <w:right w:val="none" w:sz="0" w:space="0" w:color="auto"/>
      </w:divBdr>
    </w:div>
    <w:div w:id="1848203274">
      <w:bodyDiv w:val="1"/>
      <w:marLeft w:val="0"/>
      <w:marRight w:val="0"/>
      <w:marTop w:val="0"/>
      <w:marBottom w:val="0"/>
      <w:divBdr>
        <w:top w:val="none" w:sz="0" w:space="0" w:color="auto"/>
        <w:left w:val="none" w:sz="0" w:space="0" w:color="auto"/>
        <w:bottom w:val="none" w:sz="0" w:space="0" w:color="auto"/>
        <w:right w:val="none" w:sz="0" w:space="0" w:color="auto"/>
      </w:divBdr>
    </w:div>
    <w:div w:id="1849782273">
      <w:bodyDiv w:val="1"/>
      <w:marLeft w:val="0"/>
      <w:marRight w:val="0"/>
      <w:marTop w:val="0"/>
      <w:marBottom w:val="0"/>
      <w:divBdr>
        <w:top w:val="none" w:sz="0" w:space="0" w:color="auto"/>
        <w:left w:val="none" w:sz="0" w:space="0" w:color="auto"/>
        <w:bottom w:val="none" w:sz="0" w:space="0" w:color="auto"/>
        <w:right w:val="none" w:sz="0" w:space="0" w:color="auto"/>
      </w:divBdr>
    </w:div>
    <w:div w:id="1850483318">
      <w:bodyDiv w:val="1"/>
      <w:marLeft w:val="0"/>
      <w:marRight w:val="0"/>
      <w:marTop w:val="0"/>
      <w:marBottom w:val="0"/>
      <w:divBdr>
        <w:top w:val="none" w:sz="0" w:space="0" w:color="auto"/>
        <w:left w:val="none" w:sz="0" w:space="0" w:color="auto"/>
        <w:bottom w:val="none" w:sz="0" w:space="0" w:color="auto"/>
        <w:right w:val="none" w:sz="0" w:space="0" w:color="auto"/>
      </w:divBdr>
    </w:div>
    <w:div w:id="1854689481">
      <w:bodyDiv w:val="1"/>
      <w:marLeft w:val="0"/>
      <w:marRight w:val="0"/>
      <w:marTop w:val="0"/>
      <w:marBottom w:val="0"/>
      <w:divBdr>
        <w:top w:val="none" w:sz="0" w:space="0" w:color="auto"/>
        <w:left w:val="none" w:sz="0" w:space="0" w:color="auto"/>
        <w:bottom w:val="none" w:sz="0" w:space="0" w:color="auto"/>
        <w:right w:val="none" w:sz="0" w:space="0" w:color="auto"/>
      </w:divBdr>
    </w:div>
    <w:div w:id="1857301924">
      <w:bodyDiv w:val="1"/>
      <w:marLeft w:val="0"/>
      <w:marRight w:val="0"/>
      <w:marTop w:val="0"/>
      <w:marBottom w:val="0"/>
      <w:divBdr>
        <w:top w:val="none" w:sz="0" w:space="0" w:color="auto"/>
        <w:left w:val="none" w:sz="0" w:space="0" w:color="auto"/>
        <w:bottom w:val="none" w:sz="0" w:space="0" w:color="auto"/>
        <w:right w:val="none" w:sz="0" w:space="0" w:color="auto"/>
      </w:divBdr>
    </w:div>
    <w:div w:id="1859616085">
      <w:bodyDiv w:val="1"/>
      <w:marLeft w:val="0"/>
      <w:marRight w:val="0"/>
      <w:marTop w:val="0"/>
      <w:marBottom w:val="0"/>
      <w:divBdr>
        <w:top w:val="none" w:sz="0" w:space="0" w:color="auto"/>
        <w:left w:val="none" w:sz="0" w:space="0" w:color="auto"/>
        <w:bottom w:val="none" w:sz="0" w:space="0" w:color="auto"/>
        <w:right w:val="none" w:sz="0" w:space="0" w:color="auto"/>
      </w:divBdr>
    </w:div>
    <w:div w:id="1860972473">
      <w:bodyDiv w:val="1"/>
      <w:marLeft w:val="0"/>
      <w:marRight w:val="0"/>
      <w:marTop w:val="0"/>
      <w:marBottom w:val="0"/>
      <w:divBdr>
        <w:top w:val="none" w:sz="0" w:space="0" w:color="auto"/>
        <w:left w:val="none" w:sz="0" w:space="0" w:color="auto"/>
        <w:bottom w:val="none" w:sz="0" w:space="0" w:color="auto"/>
        <w:right w:val="none" w:sz="0" w:space="0" w:color="auto"/>
      </w:divBdr>
    </w:div>
    <w:div w:id="1861434878">
      <w:bodyDiv w:val="1"/>
      <w:marLeft w:val="0"/>
      <w:marRight w:val="0"/>
      <w:marTop w:val="0"/>
      <w:marBottom w:val="0"/>
      <w:divBdr>
        <w:top w:val="none" w:sz="0" w:space="0" w:color="auto"/>
        <w:left w:val="none" w:sz="0" w:space="0" w:color="auto"/>
        <w:bottom w:val="none" w:sz="0" w:space="0" w:color="auto"/>
        <w:right w:val="none" w:sz="0" w:space="0" w:color="auto"/>
      </w:divBdr>
    </w:div>
    <w:div w:id="1861577381">
      <w:bodyDiv w:val="1"/>
      <w:marLeft w:val="0"/>
      <w:marRight w:val="0"/>
      <w:marTop w:val="0"/>
      <w:marBottom w:val="0"/>
      <w:divBdr>
        <w:top w:val="none" w:sz="0" w:space="0" w:color="auto"/>
        <w:left w:val="none" w:sz="0" w:space="0" w:color="auto"/>
        <w:bottom w:val="none" w:sz="0" w:space="0" w:color="auto"/>
        <w:right w:val="none" w:sz="0" w:space="0" w:color="auto"/>
      </w:divBdr>
    </w:div>
    <w:div w:id="1863397657">
      <w:bodyDiv w:val="1"/>
      <w:marLeft w:val="0"/>
      <w:marRight w:val="0"/>
      <w:marTop w:val="0"/>
      <w:marBottom w:val="0"/>
      <w:divBdr>
        <w:top w:val="none" w:sz="0" w:space="0" w:color="auto"/>
        <w:left w:val="none" w:sz="0" w:space="0" w:color="auto"/>
        <w:bottom w:val="none" w:sz="0" w:space="0" w:color="auto"/>
        <w:right w:val="none" w:sz="0" w:space="0" w:color="auto"/>
      </w:divBdr>
    </w:div>
    <w:div w:id="1864435656">
      <w:bodyDiv w:val="1"/>
      <w:marLeft w:val="0"/>
      <w:marRight w:val="0"/>
      <w:marTop w:val="0"/>
      <w:marBottom w:val="0"/>
      <w:divBdr>
        <w:top w:val="none" w:sz="0" w:space="0" w:color="auto"/>
        <w:left w:val="none" w:sz="0" w:space="0" w:color="auto"/>
        <w:bottom w:val="none" w:sz="0" w:space="0" w:color="auto"/>
        <w:right w:val="none" w:sz="0" w:space="0" w:color="auto"/>
      </w:divBdr>
    </w:div>
    <w:div w:id="1866863210">
      <w:bodyDiv w:val="1"/>
      <w:marLeft w:val="0"/>
      <w:marRight w:val="0"/>
      <w:marTop w:val="0"/>
      <w:marBottom w:val="0"/>
      <w:divBdr>
        <w:top w:val="none" w:sz="0" w:space="0" w:color="auto"/>
        <w:left w:val="none" w:sz="0" w:space="0" w:color="auto"/>
        <w:bottom w:val="none" w:sz="0" w:space="0" w:color="auto"/>
        <w:right w:val="none" w:sz="0" w:space="0" w:color="auto"/>
      </w:divBdr>
    </w:div>
    <w:div w:id="1870295300">
      <w:bodyDiv w:val="1"/>
      <w:marLeft w:val="0"/>
      <w:marRight w:val="0"/>
      <w:marTop w:val="0"/>
      <w:marBottom w:val="0"/>
      <w:divBdr>
        <w:top w:val="none" w:sz="0" w:space="0" w:color="auto"/>
        <w:left w:val="none" w:sz="0" w:space="0" w:color="auto"/>
        <w:bottom w:val="none" w:sz="0" w:space="0" w:color="auto"/>
        <w:right w:val="none" w:sz="0" w:space="0" w:color="auto"/>
      </w:divBdr>
    </w:div>
    <w:div w:id="1871412581">
      <w:bodyDiv w:val="1"/>
      <w:marLeft w:val="0"/>
      <w:marRight w:val="0"/>
      <w:marTop w:val="0"/>
      <w:marBottom w:val="0"/>
      <w:divBdr>
        <w:top w:val="none" w:sz="0" w:space="0" w:color="auto"/>
        <w:left w:val="none" w:sz="0" w:space="0" w:color="auto"/>
        <w:bottom w:val="none" w:sz="0" w:space="0" w:color="auto"/>
        <w:right w:val="none" w:sz="0" w:space="0" w:color="auto"/>
      </w:divBdr>
    </w:div>
    <w:div w:id="1872647046">
      <w:bodyDiv w:val="1"/>
      <w:marLeft w:val="0"/>
      <w:marRight w:val="0"/>
      <w:marTop w:val="0"/>
      <w:marBottom w:val="0"/>
      <w:divBdr>
        <w:top w:val="none" w:sz="0" w:space="0" w:color="auto"/>
        <w:left w:val="none" w:sz="0" w:space="0" w:color="auto"/>
        <w:bottom w:val="none" w:sz="0" w:space="0" w:color="auto"/>
        <w:right w:val="none" w:sz="0" w:space="0" w:color="auto"/>
      </w:divBdr>
    </w:div>
    <w:div w:id="1872760953">
      <w:bodyDiv w:val="1"/>
      <w:marLeft w:val="0"/>
      <w:marRight w:val="0"/>
      <w:marTop w:val="0"/>
      <w:marBottom w:val="0"/>
      <w:divBdr>
        <w:top w:val="none" w:sz="0" w:space="0" w:color="auto"/>
        <w:left w:val="none" w:sz="0" w:space="0" w:color="auto"/>
        <w:bottom w:val="none" w:sz="0" w:space="0" w:color="auto"/>
        <w:right w:val="none" w:sz="0" w:space="0" w:color="auto"/>
      </w:divBdr>
    </w:div>
    <w:div w:id="1873107928">
      <w:bodyDiv w:val="1"/>
      <w:marLeft w:val="0"/>
      <w:marRight w:val="0"/>
      <w:marTop w:val="0"/>
      <w:marBottom w:val="0"/>
      <w:divBdr>
        <w:top w:val="none" w:sz="0" w:space="0" w:color="auto"/>
        <w:left w:val="none" w:sz="0" w:space="0" w:color="auto"/>
        <w:bottom w:val="none" w:sz="0" w:space="0" w:color="auto"/>
        <w:right w:val="none" w:sz="0" w:space="0" w:color="auto"/>
      </w:divBdr>
    </w:div>
    <w:div w:id="1877573050">
      <w:bodyDiv w:val="1"/>
      <w:marLeft w:val="0"/>
      <w:marRight w:val="0"/>
      <w:marTop w:val="0"/>
      <w:marBottom w:val="0"/>
      <w:divBdr>
        <w:top w:val="none" w:sz="0" w:space="0" w:color="auto"/>
        <w:left w:val="none" w:sz="0" w:space="0" w:color="auto"/>
        <w:bottom w:val="none" w:sz="0" w:space="0" w:color="auto"/>
        <w:right w:val="none" w:sz="0" w:space="0" w:color="auto"/>
      </w:divBdr>
    </w:div>
    <w:div w:id="1878465531">
      <w:bodyDiv w:val="1"/>
      <w:marLeft w:val="0"/>
      <w:marRight w:val="0"/>
      <w:marTop w:val="0"/>
      <w:marBottom w:val="0"/>
      <w:divBdr>
        <w:top w:val="none" w:sz="0" w:space="0" w:color="auto"/>
        <w:left w:val="none" w:sz="0" w:space="0" w:color="auto"/>
        <w:bottom w:val="none" w:sz="0" w:space="0" w:color="auto"/>
        <w:right w:val="none" w:sz="0" w:space="0" w:color="auto"/>
      </w:divBdr>
    </w:div>
    <w:div w:id="1882280960">
      <w:bodyDiv w:val="1"/>
      <w:marLeft w:val="0"/>
      <w:marRight w:val="0"/>
      <w:marTop w:val="0"/>
      <w:marBottom w:val="0"/>
      <w:divBdr>
        <w:top w:val="none" w:sz="0" w:space="0" w:color="auto"/>
        <w:left w:val="none" w:sz="0" w:space="0" w:color="auto"/>
        <w:bottom w:val="none" w:sz="0" w:space="0" w:color="auto"/>
        <w:right w:val="none" w:sz="0" w:space="0" w:color="auto"/>
      </w:divBdr>
    </w:div>
    <w:div w:id="1885556212">
      <w:bodyDiv w:val="1"/>
      <w:marLeft w:val="0"/>
      <w:marRight w:val="0"/>
      <w:marTop w:val="0"/>
      <w:marBottom w:val="0"/>
      <w:divBdr>
        <w:top w:val="none" w:sz="0" w:space="0" w:color="auto"/>
        <w:left w:val="none" w:sz="0" w:space="0" w:color="auto"/>
        <w:bottom w:val="none" w:sz="0" w:space="0" w:color="auto"/>
        <w:right w:val="none" w:sz="0" w:space="0" w:color="auto"/>
      </w:divBdr>
    </w:div>
    <w:div w:id="1887448453">
      <w:bodyDiv w:val="1"/>
      <w:marLeft w:val="0"/>
      <w:marRight w:val="0"/>
      <w:marTop w:val="0"/>
      <w:marBottom w:val="0"/>
      <w:divBdr>
        <w:top w:val="none" w:sz="0" w:space="0" w:color="auto"/>
        <w:left w:val="none" w:sz="0" w:space="0" w:color="auto"/>
        <w:bottom w:val="none" w:sz="0" w:space="0" w:color="auto"/>
        <w:right w:val="none" w:sz="0" w:space="0" w:color="auto"/>
      </w:divBdr>
    </w:div>
    <w:div w:id="1888106777">
      <w:bodyDiv w:val="1"/>
      <w:marLeft w:val="0"/>
      <w:marRight w:val="0"/>
      <w:marTop w:val="0"/>
      <w:marBottom w:val="0"/>
      <w:divBdr>
        <w:top w:val="none" w:sz="0" w:space="0" w:color="auto"/>
        <w:left w:val="none" w:sz="0" w:space="0" w:color="auto"/>
        <w:bottom w:val="none" w:sz="0" w:space="0" w:color="auto"/>
        <w:right w:val="none" w:sz="0" w:space="0" w:color="auto"/>
      </w:divBdr>
    </w:div>
    <w:div w:id="1889954924">
      <w:bodyDiv w:val="1"/>
      <w:marLeft w:val="0"/>
      <w:marRight w:val="0"/>
      <w:marTop w:val="0"/>
      <w:marBottom w:val="0"/>
      <w:divBdr>
        <w:top w:val="none" w:sz="0" w:space="0" w:color="auto"/>
        <w:left w:val="none" w:sz="0" w:space="0" w:color="auto"/>
        <w:bottom w:val="none" w:sz="0" w:space="0" w:color="auto"/>
        <w:right w:val="none" w:sz="0" w:space="0" w:color="auto"/>
      </w:divBdr>
    </w:div>
    <w:div w:id="1891381626">
      <w:bodyDiv w:val="1"/>
      <w:marLeft w:val="0"/>
      <w:marRight w:val="0"/>
      <w:marTop w:val="0"/>
      <w:marBottom w:val="0"/>
      <w:divBdr>
        <w:top w:val="none" w:sz="0" w:space="0" w:color="auto"/>
        <w:left w:val="none" w:sz="0" w:space="0" w:color="auto"/>
        <w:bottom w:val="none" w:sz="0" w:space="0" w:color="auto"/>
        <w:right w:val="none" w:sz="0" w:space="0" w:color="auto"/>
      </w:divBdr>
    </w:div>
    <w:div w:id="1891385206">
      <w:bodyDiv w:val="1"/>
      <w:marLeft w:val="0"/>
      <w:marRight w:val="0"/>
      <w:marTop w:val="0"/>
      <w:marBottom w:val="0"/>
      <w:divBdr>
        <w:top w:val="none" w:sz="0" w:space="0" w:color="auto"/>
        <w:left w:val="none" w:sz="0" w:space="0" w:color="auto"/>
        <w:bottom w:val="none" w:sz="0" w:space="0" w:color="auto"/>
        <w:right w:val="none" w:sz="0" w:space="0" w:color="auto"/>
      </w:divBdr>
    </w:div>
    <w:div w:id="1891528404">
      <w:bodyDiv w:val="1"/>
      <w:marLeft w:val="0"/>
      <w:marRight w:val="0"/>
      <w:marTop w:val="0"/>
      <w:marBottom w:val="0"/>
      <w:divBdr>
        <w:top w:val="none" w:sz="0" w:space="0" w:color="auto"/>
        <w:left w:val="none" w:sz="0" w:space="0" w:color="auto"/>
        <w:bottom w:val="none" w:sz="0" w:space="0" w:color="auto"/>
        <w:right w:val="none" w:sz="0" w:space="0" w:color="auto"/>
      </w:divBdr>
    </w:div>
    <w:div w:id="1892110638">
      <w:bodyDiv w:val="1"/>
      <w:marLeft w:val="0"/>
      <w:marRight w:val="0"/>
      <w:marTop w:val="0"/>
      <w:marBottom w:val="0"/>
      <w:divBdr>
        <w:top w:val="none" w:sz="0" w:space="0" w:color="auto"/>
        <w:left w:val="none" w:sz="0" w:space="0" w:color="auto"/>
        <w:bottom w:val="none" w:sz="0" w:space="0" w:color="auto"/>
        <w:right w:val="none" w:sz="0" w:space="0" w:color="auto"/>
      </w:divBdr>
    </w:div>
    <w:div w:id="1892302359">
      <w:bodyDiv w:val="1"/>
      <w:marLeft w:val="0"/>
      <w:marRight w:val="0"/>
      <w:marTop w:val="0"/>
      <w:marBottom w:val="0"/>
      <w:divBdr>
        <w:top w:val="none" w:sz="0" w:space="0" w:color="auto"/>
        <w:left w:val="none" w:sz="0" w:space="0" w:color="auto"/>
        <w:bottom w:val="none" w:sz="0" w:space="0" w:color="auto"/>
        <w:right w:val="none" w:sz="0" w:space="0" w:color="auto"/>
      </w:divBdr>
    </w:div>
    <w:div w:id="1893689049">
      <w:bodyDiv w:val="1"/>
      <w:marLeft w:val="0"/>
      <w:marRight w:val="0"/>
      <w:marTop w:val="0"/>
      <w:marBottom w:val="0"/>
      <w:divBdr>
        <w:top w:val="none" w:sz="0" w:space="0" w:color="auto"/>
        <w:left w:val="none" w:sz="0" w:space="0" w:color="auto"/>
        <w:bottom w:val="none" w:sz="0" w:space="0" w:color="auto"/>
        <w:right w:val="none" w:sz="0" w:space="0" w:color="auto"/>
      </w:divBdr>
    </w:div>
    <w:div w:id="1895114217">
      <w:bodyDiv w:val="1"/>
      <w:marLeft w:val="0"/>
      <w:marRight w:val="0"/>
      <w:marTop w:val="0"/>
      <w:marBottom w:val="0"/>
      <w:divBdr>
        <w:top w:val="none" w:sz="0" w:space="0" w:color="auto"/>
        <w:left w:val="none" w:sz="0" w:space="0" w:color="auto"/>
        <w:bottom w:val="none" w:sz="0" w:space="0" w:color="auto"/>
        <w:right w:val="none" w:sz="0" w:space="0" w:color="auto"/>
      </w:divBdr>
    </w:div>
    <w:div w:id="1895389931">
      <w:bodyDiv w:val="1"/>
      <w:marLeft w:val="0"/>
      <w:marRight w:val="0"/>
      <w:marTop w:val="0"/>
      <w:marBottom w:val="0"/>
      <w:divBdr>
        <w:top w:val="none" w:sz="0" w:space="0" w:color="auto"/>
        <w:left w:val="none" w:sz="0" w:space="0" w:color="auto"/>
        <w:bottom w:val="none" w:sz="0" w:space="0" w:color="auto"/>
        <w:right w:val="none" w:sz="0" w:space="0" w:color="auto"/>
      </w:divBdr>
    </w:div>
    <w:div w:id="1895460788">
      <w:bodyDiv w:val="1"/>
      <w:marLeft w:val="0"/>
      <w:marRight w:val="0"/>
      <w:marTop w:val="0"/>
      <w:marBottom w:val="0"/>
      <w:divBdr>
        <w:top w:val="none" w:sz="0" w:space="0" w:color="auto"/>
        <w:left w:val="none" w:sz="0" w:space="0" w:color="auto"/>
        <w:bottom w:val="none" w:sz="0" w:space="0" w:color="auto"/>
        <w:right w:val="none" w:sz="0" w:space="0" w:color="auto"/>
      </w:divBdr>
    </w:div>
    <w:div w:id="1896353746">
      <w:bodyDiv w:val="1"/>
      <w:marLeft w:val="0"/>
      <w:marRight w:val="0"/>
      <w:marTop w:val="0"/>
      <w:marBottom w:val="0"/>
      <w:divBdr>
        <w:top w:val="none" w:sz="0" w:space="0" w:color="auto"/>
        <w:left w:val="none" w:sz="0" w:space="0" w:color="auto"/>
        <w:bottom w:val="none" w:sz="0" w:space="0" w:color="auto"/>
        <w:right w:val="none" w:sz="0" w:space="0" w:color="auto"/>
      </w:divBdr>
    </w:div>
    <w:div w:id="1897470080">
      <w:bodyDiv w:val="1"/>
      <w:marLeft w:val="0"/>
      <w:marRight w:val="0"/>
      <w:marTop w:val="0"/>
      <w:marBottom w:val="0"/>
      <w:divBdr>
        <w:top w:val="none" w:sz="0" w:space="0" w:color="auto"/>
        <w:left w:val="none" w:sz="0" w:space="0" w:color="auto"/>
        <w:bottom w:val="none" w:sz="0" w:space="0" w:color="auto"/>
        <w:right w:val="none" w:sz="0" w:space="0" w:color="auto"/>
      </w:divBdr>
    </w:div>
    <w:div w:id="1897661073">
      <w:bodyDiv w:val="1"/>
      <w:marLeft w:val="0"/>
      <w:marRight w:val="0"/>
      <w:marTop w:val="0"/>
      <w:marBottom w:val="0"/>
      <w:divBdr>
        <w:top w:val="none" w:sz="0" w:space="0" w:color="auto"/>
        <w:left w:val="none" w:sz="0" w:space="0" w:color="auto"/>
        <w:bottom w:val="none" w:sz="0" w:space="0" w:color="auto"/>
        <w:right w:val="none" w:sz="0" w:space="0" w:color="auto"/>
      </w:divBdr>
    </w:div>
    <w:div w:id="1900703087">
      <w:bodyDiv w:val="1"/>
      <w:marLeft w:val="0"/>
      <w:marRight w:val="0"/>
      <w:marTop w:val="0"/>
      <w:marBottom w:val="0"/>
      <w:divBdr>
        <w:top w:val="none" w:sz="0" w:space="0" w:color="auto"/>
        <w:left w:val="none" w:sz="0" w:space="0" w:color="auto"/>
        <w:bottom w:val="none" w:sz="0" w:space="0" w:color="auto"/>
        <w:right w:val="none" w:sz="0" w:space="0" w:color="auto"/>
      </w:divBdr>
    </w:div>
    <w:div w:id="1900900924">
      <w:bodyDiv w:val="1"/>
      <w:marLeft w:val="0"/>
      <w:marRight w:val="0"/>
      <w:marTop w:val="0"/>
      <w:marBottom w:val="0"/>
      <w:divBdr>
        <w:top w:val="none" w:sz="0" w:space="0" w:color="auto"/>
        <w:left w:val="none" w:sz="0" w:space="0" w:color="auto"/>
        <w:bottom w:val="none" w:sz="0" w:space="0" w:color="auto"/>
        <w:right w:val="none" w:sz="0" w:space="0" w:color="auto"/>
      </w:divBdr>
    </w:div>
    <w:div w:id="1901087218">
      <w:bodyDiv w:val="1"/>
      <w:marLeft w:val="0"/>
      <w:marRight w:val="0"/>
      <w:marTop w:val="0"/>
      <w:marBottom w:val="0"/>
      <w:divBdr>
        <w:top w:val="none" w:sz="0" w:space="0" w:color="auto"/>
        <w:left w:val="none" w:sz="0" w:space="0" w:color="auto"/>
        <w:bottom w:val="none" w:sz="0" w:space="0" w:color="auto"/>
        <w:right w:val="none" w:sz="0" w:space="0" w:color="auto"/>
      </w:divBdr>
    </w:div>
    <w:div w:id="1901212264">
      <w:bodyDiv w:val="1"/>
      <w:marLeft w:val="0"/>
      <w:marRight w:val="0"/>
      <w:marTop w:val="0"/>
      <w:marBottom w:val="0"/>
      <w:divBdr>
        <w:top w:val="none" w:sz="0" w:space="0" w:color="auto"/>
        <w:left w:val="none" w:sz="0" w:space="0" w:color="auto"/>
        <w:bottom w:val="none" w:sz="0" w:space="0" w:color="auto"/>
        <w:right w:val="none" w:sz="0" w:space="0" w:color="auto"/>
      </w:divBdr>
    </w:div>
    <w:div w:id="1901282592">
      <w:bodyDiv w:val="1"/>
      <w:marLeft w:val="0"/>
      <w:marRight w:val="0"/>
      <w:marTop w:val="0"/>
      <w:marBottom w:val="0"/>
      <w:divBdr>
        <w:top w:val="none" w:sz="0" w:space="0" w:color="auto"/>
        <w:left w:val="none" w:sz="0" w:space="0" w:color="auto"/>
        <w:bottom w:val="none" w:sz="0" w:space="0" w:color="auto"/>
        <w:right w:val="none" w:sz="0" w:space="0" w:color="auto"/>
      </w:divBdr>
    </w:div>
    <w:div w:id="1905406650">
      <w:bodyDiv w:val="1"/>
      <w:marLeft w:val="0"/>
      <w:marRight w:val="0"/>
      <w:marTop w:val="0"/>
      <w:marBottom w:val="0"/>
      <w:divBdr>
        <w:top w:val="none" w:sz="0" w:space="0" w:color="auto"/>
        <w:left w:val="none" w:sz="0" w:space="0" w:color="auto"/>
        <w:bottom w:val="none" w:sz="0" w:space="0" w:color="auto"/>
        <w:right w:val="none" w:sz="0" w:space="0" w:color="auto"/>
      </w:divBdr>
    </w:div>
    <w:div w:id="1905993443">
      <w:bodyDiv w:val="1"/>
      <w:marLeft w:val="0"/>
      <w:marRight w:val="0"/>
      <w:marTop w:val="0"/>
      <w:marBottom w:val="0"/>
      <w:divBdr>
        <w:top w:val="none" w:sz="0" w:space="0" w:color="auto"/>
        <w:left w:val="none" w:sz="0" w:space="0" w:color="auto"/>
        <w:bottom w:val="none" w:sz="0" w:space="0" w:color="auto"/>
        <w:right w:val="none" w:sz="0" w:space="0" w:color="auto"/>
      </w:divBdr>
    </w:div>
    <w:div w:id="1907182676">
      <w:bodyDiv w:val="1"/>
      <w:marLeft w:val="0"/>
      <w:marRight w:val="0"/>
      <w:marTop w:val="0"/>
      <w:marBottom w:val="0"/>
      <w:divBdr>
        <w:top w:val="none" w:sz="0" w:space="0" w:color="auto"/>
        <w:left w:val="none" w:sz="0" w:space="0" w:color="auto"/>
        <w:bottom w:val="none" w:sz="0" w:space="0" w:color="auto"/>
        <w:right w:val="none" w:sz="0" w:space="0" w:color="auto"/>
      </w:divBdr>
    </w:div>
    <w:div w:id="1907497963">
      <w:bodyDiv w:val="1"/>
      <w:marLeft w:val="0"/>
      <w:marRight w:val="0"/>
      <w:marTop w:val="0"/>
      <w:marBottom w:val="0"/>
      <w:divBdr>
        <w:top w:val="none" w:sz="0" w:space="0" w:color="auto"/>
        <w:left w:val="none" w:sz="0" w:space="0" w:color="auto"/>
        <w:bottom w:val="none" w:sz="0" w:space="0" w:color="auto"/>
        <w:right w:val="none" w:sz="0" w:space="0" w:color="auto"/>
      </w:divBdr>
    </w:div>
    <w:div w:id="1909605994">
      <w:bodyDiv w:val="1"/>
      <w:marLeft w:val="0"/>
      <w:marRight w:val="0"/>
      <w:marTop w:val="0"/>
      <w:marBottom w:val="0"/>
      <w:divBdr>
        <w:top w:val="none" w:sz="0" w:space="0" w:color="auto"/>
        <w:left w:val="none" w:sz="0" w:space="0" w:color="auto"/>
        <w:bottom w:val="none" w:sz="0" w:space="0" w:color="auto"/>
        <w:right w:val="none" w:sz="0" w:space="0" w:color="auto"/>
      </w:divBdr>
    </w:div>
    <w:div w:id="1910339609">
      <w:bodyDiv w:val="1"/>
      <w:marLeft w:val="0"/>
      <w:marRight w:val="0"/>
      <w:marTop w:val="0"/>
      <w:marBottom w:val="0"/>
      <w:divBdr>
        <w:top w:val="none" w:sz="0" w:space="0" w:color="auto"/>
        <w:left w:val="none" w:sz="0" w:space="0" w:color="auto"/>
        <w:bottom w:val="none" w:sz="0" w:space="0" w:color="auto"/>
        <w:right w:val="none" w:sz="0" w:space="0" w:color="auto"/>
      </w:divBdr>
    </w:div>
    <w:div w:id="1910534431">
      <w:bodyDiv w:val="1"/>
      <w:marLeft w:val="0"/>
      <w:marRight w:val="0"/>
      <w:marTop w:val="0"/>
      <w:marBottom w:val="0"/>
      <w:divBdr>
        <w:top w:val="none" w:sz="0" w:space="0" w:color="auto"/>
        <w:left w:val="none" w:sz="0" w:space="0" w:color="auto"/>
        <w:bottom w:val="none" w:sz="0" w:space="0" w:color="auto"/>
        <w:right w:val="none" w:sz="0" w:space="0" w:color="auto"/>
      </w:divBdr>
    </w:div>
    <w:div w:id="1913465830">
      <w:bodyDiv w:val="1"/>
      <w:marLeft w:val="0"/>
      <w:marRight w:val="0"/>
      <w:marTop w:val="0"/>
      <w:marBottom w:val="0"/>
      <w:divBdr>
        <w:top w:val="none" w:sz="0" w:space="0" w:color="auto"/>
        <w:left w:val="none" w:sz="0" w:space="0" w:color="auto"/>
        <w:bottom w:val="none" w:sz="0" w:space="0" w:color="auto"/>
        <w:right w:val="none" w:sz="0" w:space="0" w:color="auto"/>
      </w:divBdr>
    </w:div>
    <w:div w:id="1913814372">
      <w:bodyDiv w:val="1"/>
      <w:marLeft w:val="0"/>
      <w:marRight w:val="0"/>
      <w:marTop w:val="0"/>
      <w:marBottom w:val="0"/>
      <w:divBdr>
        <w:top w:val="none" w:sz="0" w:space="0" w:color="auto"/>
        <w:left w:val="none" w:sz="0" w:space="0" w:color="auto"/>
        <w:bottom w:val="none" w:sz="0" w:space="0" w:color="auto"/>
        <w:right w:val="none" w:sz="0" w:space="0" w:color="auto"/>
      </w:divBdr>
    </w:div>
    <w:div w:id="1914779477">
      <w:bodyDiv w:val="1"/>
      <w:marLeft w:val="0"/>
      <w:marRight w:val="0"/>
      <w:marTop w:val="0"/>
      <w:marBottom w:val="0"/>
      <w:divBdr>
        <w:top w:val="none" w:sz="0" w:space="0" w:color="auto"/>
        <w:left w:val="none" w:sz="0" w:space="0" w:color="auto"/>
        <w:bottom w:val="none" w:sz="0" w:space="0" w:color="auto"/>
        <w:right w:val="none" w:sz="0" w:space="0" w:color="auto"/>
      </w:divBdr>
    </w:div>
    <w:div w:id="1915772768">
      <w:bodyDiv w:val="1"/>
      <w:marLeft w:val="0"/>
      <w:marRight w:val="0"/>
      <w:marTop w:val="0"/>
      <w:marBottom w:val="0"/>
      <w:divBdr>
        <w:top w:val="none" w:sz="0" w:space="0" w:color="auto"/>
        <w:left w:val="none" w:sz="0" w:space="0" w:color="auto"/>
        <w:bottom w:val="none" w:sz="0" w:space="0" w:color="auto"/>
        <w:right w:val="none" w:sz="0" w:space="0" w:color="auto"/>
      </w:divBdr>
    </w:div>
    <w:div w:id="1917324643">
      <w:bodyDiv w:val="1"/>
      <w:marLeft w:val="0"/>
      <w:marRight w:val="0"/>
      <w:marTop w:val="0"/>
      <w:marBottom w:val="0"/>
      <w:divBdr>
        <w:top w:val="none" w:sz="0" w:space="0" w:color="auto"/>
        <w:left w:val="none" w:sz="0" w:space="0" w:color="auto"/>
        <w:bottom w:val="none" w:sz="0" w:space="0" w:color="auto"/>
        <w:right w:val="none" w:sz="0" w:space="0" w:color="auto"/>
      </w:divBdr>
    </w:div>
    <w:div w:id="1917856178">
      <w:bodyDiv w:val="1"/>
      <w:marLeft w:val="0"/>
      <w:marRight w:val="0"/>
      <w:marTop w:val="0"/>
      <w:marBottom w:val="0"/>
      <w:divBdr>
        <w:top w:val="none" w:sz="0" w:space="0" w:color="auto"/>
        <w:left w:val="none" w:sz="0" w:space="0" w:color="auto"/>
        <w:bottom w:val="none" w:sz="0" w:space="0" w:color="auto"/>
        <w:right w:val="none" w:sz="0" w:space="0" w:color="auto"/>
      </w:divBdr>
    </w:div>
    <w:div w:id="1920820046">
      <w:bodyDiv w:val="1"/>
      <w:marLeft w:val="0"/>
      <w:marRight w:val="0"/>
      <w:marTop w:val="0"/>
      <w:marBottom w:val="0"/>
      <w:divBdr>
        <w:top w:val="none" w:sz="0" w:space="0" w:color="auto"/>
        <w:left w:val="none" w:sz="0" w:space="0" w:color="auto"/>
        <w:bottom w:val="none" w:sz="0" w:space="0" w:color="auto"/>
        <w:right w:val="none" w:sz="0" w:space="0" w:color="auto"/>
      </w:divBdr>
    </w:div>
    <w:div w:id="1925410481">
      <w:bodyDiv w:val="1"/>
      <w:marLeft w:val="0"/>
      <w:marRight w:val="0"/>
      <w:marTop w:val="0"/>
      <w:marBottom w:val="0"/>
      <w:divBdr>
        <w:top w:val="none" w:sz="0" w:space="0" w:color="auto"/>
        <w:left w:val="none" w:sz="0" w:space="0" w:color="auto"/>
        <w:bottom w:val="none" w:sz="0" w:space="0" w:color="auto"/>
        <w:right w:val="none" w:sz="0" w:space="0" w:color="auto"/>
      </w:divBdr>
    </w:div>
    <w:div w:id="1926917505">
      <w:bodyDiv w:val="1"/>
      <w:marLeft w:val="0"/>
      <w:marRight w:val="0"/>
      <w:marTop w:val="0"/>
      <w:marBottom w:val="0"/>
      <w:divBdr>
        <w:top w:val="none" w:sz="0" w:space="0" w:color="auto"/>
        <w:left w:val="none" w:sz="0" w:space="0" w:color="auto"/>
        <w:bottom w:val="none" w:sz="0" w:space="0" w:color="auto"/>
        <w:right w:val="none" w:sz="0" w:space="0" w:color="auto"/>
      </w:divBdr>
    </w:div>
    <w:div w:id="1928223430">
      <w:bodyDiv w:val="1"/>
      <w:marLeft w:val="0"/>
      <w:marRight w:val="0"/>
      <w:marTop w:val="0"/>
      <w:marBottom w:val="0"/>
      <w:divBdr>
        <w:top w:val="none" w:sz="0" w:space="0" w:color="auto"/>
        <w:left w:val="none" w:sz="0" w:space="0" w:color="auto"/>
        <w:bottom w:val="none" w:sz="0" w:space="0" w:color="auto"/>
        <w:right w:val="none" w:sz="0" w:space="0" w:color="auto"/>
      </w:divBdr>
    </w:div>
    <w:div w:id="1931162865">
      <w:bodyDiv w:val="1"/>
      <w:marLeft w:val="0"/>
      <w:marRight w:val="0"/>
      <w:marTop w:val="0"/>
      <w:marBottom w:val="0"/>
      <w:divBdr>
        <w:top w:val="none" w:sz="0" w:space="0" w:color="auto"/>
        <w:left w:val="none" w:sz="0" w:space="0" w:color="auto"/>
        <w:bottom w:val="none" w:sz="0" w:space="0" w:color="auto"/>
        <w:right w:val="none" w:sz="0" w:space="0" w:color="auto"/>
      </w:divBdr>
    </w:div>
    <w:div w:id="1933467424">
      <w:bodyDiv w:val="1"/>
      <w:marLeft w:val="0"/>
      <w:marRight w:val="0"/>
      <w:marTop w:val="0"/>
      <w:marBottom w:val="0"/>
      <w:divBdr>
        <w:top w:val="none" w:sz="0" w:space="0" w:color="auto"/>
        <w:left w:val="none" w:sz="0" w:space="0" w:color="auto"/>
        <w:bottom w:val="none" w:sz="0" w:space="0" w:color="auto"/>
        <w:right w:val="none" w:sz="0" w:space="0" w:color="auto"/>
      </w:divBdr>
    </w:div>
    <w:div w:id="1939096621">
      <w:bodyDiv w:val="1"/>
      <w:marLeft w:val="0"/>
      <w:marRight w:val="0"/>
      <w:marTop w:val="0"/>
      <w:marBottom w:val="0"/>
      <w:divBdr>
        <w:top w:val="none" w:sz="0" w:space="0" w:color="auto"/>
        <w:left w:val="none" w:sz="0" w:space="0" w:color="auto"/>
        <w:bottom w:val="none" w:sz="0" w:space="0" w:color="auto"/>
        <w:right w:val="none" w:sz="0" w:space="0" w:color="auto"/>
      </w:divBdr>
    </w:div>
    <w:div w:id="1940529181">
      <w:bodyDiv w:val="1"/>
      <w:marLeft w:val="0"/>
      <w:marRight w:val="0"/>
      <w:marTop w:val="0"/>
      <w:marBottom w:val="0"/>
      <w:divBdr>
        <w:top w:val="none" w:sz="0" w:space="0" w:color="auto"/>
        <w:left w:val="none" w:sz="0" w:space="0" w:color="auto"/>
        <w:bottom w:val="none" w:sz="0" w:space="0" w:color="auto"/>
        <w:right w:val="none" w:sz="0" w:space="0" w:color="auto"/>
      </w:divBdr>
    </w:div>
    <w:div w:id="1941258022">
      <w:bodyDiv w:val="1"/>
      <w:marLeft w:val="0"/>
      <w:marRight w:val="0"/>
      <w:marTop w:val="0"/>
      <w:marBottom w:val="0"/>
      <w:divBdr>
        <w:top w:val="none" w:sz="0" w:space="0" w:color="auto"/>
        <w:left w:val="none" w:sz="0" w:space="0" w:color="auto"/>
        <w:bottom w:val="none" w:sz="0" w:space="0" w:color="auto"/>
        <w:right w:val="none" w:sz="0" w:space="0" w:color="auto"/>
      </w:divBdr>
    </w:div>
    <w:div w:id="1942178482">
      <w:bodyDiv w:val="1"/>
      <w:marLeft w:val="0"/>
      <w:marRight w:val="0"/>
      <w:marTop w:val="0"/>
      <w:marBottom w:val="0"/>
      <w:divBdr>
        <w:top w:val="none" w:sz="0" w:space="0" w:color="auto"/>
        <w:left w:val="none" w:sz="0" w:space="0" w:color="auto"/>
        <w:bottom w:val="none" w:sz="0" w:space="0" w:color="auto"/>
        <w:right w:val="none" w:sz="0" w:space="0" w:color="auto"/>
      </w:divBdr>
    </w:div>
    <w:div w:id="1942911933">
      <w:bodyDiv w:val="1"/>
      <w:marLeft w:val="0"/>
      <w:marRight w:val="0"/>
      <w:marTop w:val="0"/>
      <w:marBottom w:val="0"/>
      <w:divBdr>
        <w:top w:val="none" w:sz="0" w:space="0" w:color="auto"/>
        <w:left w:val="none" w:sz="0" w:space="0" w:color="auto"/>
        <w:bottom w:val="none" w:sz="0" w:space="0" w:color="auto"/>
        <w:right w:val="none" w:sz="0" w:space="0" w:color="auto"/>
      </w:divBdr>
    </w:div>
    <w:div w:id="1943881642">
      <w:bodyDiv w:val="1"/>
      <w:marLeft w:val="0"/>
      <w:marRight w:val="0"/>
      <w:marTop w:val="0"/>
      <w:marBottom w:val="0"/>
      <w:divBdr>
        <w:top w:val="none" w:sz="0" w:space="0" w:color="auto"/>
        <w:left w:val="none" w:sz="0" w:space="0" w:color="auto"/>
        <w:bottom w:val="none" w:sz="0" w:space="0" w:color="auto"/>
        <w:right w:val="none" w:sz="0" w:space="0" w:color="auto"/>
      </w:divBdr>
    </w:div>
    <w:div w:id="1944145064">
      <w:bodyDiv w:val="1"/>
      <w:marLeft w:val="0"/>
      <w:marRight w:val="0"/>
      <w:marTop w:val="0"/>
      <w:marBottom w:val="0"/>
      <w:divBdr>
        <w:top w:val="none" w:sz="0" w:space="0" w:color="auto"/>
        <w:left w:val="none" w:sz="0" w:space="0" w:color="auto"/>
        <w:bottom w:val="none" w:sz="0" w:space="0" w:color="auto"/>
        <w:right w:val="none" w:sz="0" w:space="0" w:color="auto"/>
      </w:divBdr>
    </w:div>
    <w:div w:id="1945378096">
      <w:bodyDiv w:val="1"/>
      <w:marLeft w:val="0"/>
      <w:marRight w:val="0"/>
      <w:marTop w:val="0"/>
      <w:marBottom w:val="0"/>
      <w:divBdr>
        <w:top w:val="none" w:sz="0" w:space="0" w:color="auto"/>
        <w:left w:val="none" w:sz="0" w:space="0" w:color="auto"/>
        <w:bottom w:val="none" w:sz="0" w:space="0" w:color="auto"/>
        <w:right w:val="none" w:sz="0" w:space="0" w:color="auto"/>
      </w:divBdr>
    </w:div>
    <w:div w:id="1948343492">
      <w:bodyDiv w:val="1"/>
      <w:marLeft w:val="0"/>
      <w:marRight w:val="0"/>
      <w:marTop w:val="0"/>
      <w:marBottom w:val="0"/>
      <w:divBdr>
        <w:top w:val="none" w:sz="0" w:space="0" w:color="auto"/>
        <w:left w:val="none" w:sz="0" w:space="0" w:color="auto"/>
        <w:bottom w:val="none" w:sz="0" w:space="0" w:color="auto"/>
        <w:right w:val="none" w:sz="0" w:space="0" w:color="auto"/>
      </w:divBdr>
    </w:div>
    <w:div w:id="1952466177">
      <w:bodyDiv w:val="1"/>
      <w:marLeft w:val="0"/>
      <w:marRight w:val="0"/>
      <w:marTop w:val="0"/>
      <w:marBottom w:val="0"/>
      <w:divBdr>
        <w:top w:val="none" w:sz="0" w:space="0" w:color="auto"/>
        <w:left w:val="none" w:sz="0" w:space="0" w:color="auto"/>
        <w:bottom w:val="none" w:sz="0" w:space="0" w:color="auto"/>
        <w:right w:val="none" w:sz="0" w:space="0" w:color="auto"/>
      </w:divBdr>
    </w:div>
    <w:div w:id="1953200369">
      <w:bodyDiv w:val="1"/>
      <w:marLeft w:val="0"/>
      <w:marRight w:val="0"/>
      <w:marTop w:val="0"/>
      <w:marBottom w:val="0"/>
      <w:divBdr>
        <w:top w:val="none" w:sz="0" w:space="0" w:color="auto"/>
        <w:left w:val="none" w:sz="0" w:space="0" w:color="auto"/>
        <w:bottom w:val="none" w:sz="0" w:space="0" w:color="auto"/>
        <w:right w:val="none" w:sz="0" w:space="0" w:color="auto"/>
      </w:divBdr>
    </w:div>
    <w:div w:id="1955625483">
      <w:bodyDiv w:val="1"/>
      <w:marLeft w:val="0"/>
      <w:marRight w:val="0"/>
      <w:marTop w:val="0"/>
      <w:marBottom w:val="0"/>
      <w:divBdr>
        <w:top w:val="none" w:sz="0" w:space="0" w:color="auto"/>
        <w:left w:val="none" w:sz="0" w:space="0" w:color="auto"/>
        <w:bottom w:val="none" w:sz="0" w:space="0" w:color="auto"/>
        <w:right w:val="none" w:sz="0" w:space="0" w:color="auto"/>
      </w:divBdr>
    </w:div>
    <w:div w:id="1955625982">
      <w:bodyDiv w:val="1"/>
      <w:marLeft w:val="0"/>
      <w:marRight w:val="0"/>
      <w:marTop w:val="0"/>
      <w:marBottom w:val="0"/>
      <w:divBdr>
        <w:top w:val="none" w:sz="0" w:space="0" w:color="auto"/>
        <w:left w:val="none" w:sz="0" w:space="0" w:color="auto"/>
        <w:bottom w:val="none" w:sz="0" w:space="0" w:color="auto"/>
        <w:right w:val="none" w:sz="0" w:space="0" w:color="auto"/>
      </w:divBdr>
    </w:div>
    <w:div w:id="1957176206">
      <w:bodyDiv w:val="1"/>
      <w:marLeft w:val="0"/>
      <w:marRight w:val="0"/>
      <w:marTop w:val="0"/>
      <w:marBottom w:val="0"/>
      <w:divBdr>
        <w:top w:val="none" w:sz="0" w:space="0" w:color="auto"/>
        <w:left w:val="none" w:sz="0" w:space="0" w:color="auto"/>
        <w:bottom w:val="none" w:sz="0" w:space="0" w:color="auto"/>
        <w:right w:val="none" w:sz="0" w:space="0" w:color="auto"/>
      </w:divBdr>
    </w:div>
    <w:div w:id="1959528894">
      <w:bodyDiv w:val="1"/>
      <w:marLeft w:val="0"/>
      <w:marRight w:val="0"/>
      <w:marTop w:val="0"/>
      <w:marBottom w:val="0"/>
      <w:divBdr>
        <w:top w:val="none" w:sz="0" w:space="0" w:color="auto"/>
        <w:left w:val="none" w:sz="0" w:space="0" w:color="auto"/>
        <w:bottom w:val="none" w:sz="0" w:space="0" w:color="auto"/>
        <w:right w:val="none" w:sz="0" w:space="0" w:color="auto"/>
      </w:divBdr>
    </w:div>
    <w:div w:id="1960913580">
      <w:bodyDiv w:val="1"/>
      <w:marLeft w:val="0"/>
      <w:marRight w:val="0"/>
      <w:marTop w:val="0"/>
      <w:marBottom w:val="0"/>
      <w:divBdr>
        <w:top w:val="none" w:sz="0" w:space="0" w:color="auto"/>
        <w:left w:val="none" w:sz="0" w:space="0" w:color="auto"/>
        <w:bottom w:val="none" w:sz="0" w:space="0" w:color="auto"/>
        <w:right w:val="none" w:sz="0" w:space="0" w:color="auto"/>
      </w:divBdr>
    </w:div>
    <w:div w:id="1962153298">
      <w:bodyDiv w:val="1"/>
      <w:marLeft w:val="0"/>
      <w:marRight w:val="0"/>
      <w:marTop w:val="0"/>
      <w:marBottom w:val="0"/>
      <w:divBdr>
        <w:top w:val="none" w:sz="0" w:space="0" w:color="auto"/>
        <w:left w:val="none" w:sz="0" w:space="0" w:color="auto"/>
        <w:bottom w:val="none" w:sz="0" w:space="0" w:color="auto"/>
        <w:right w:val="none" w:sz="0" w:space="0" w:color="auto"/>
      </w:divBdr>
    </w:div>
    <w:div w:id="1962490845">
      <w:bodyDiv w:val="1"/>
      <w:marLeft w:val="0"/>
      <w:marRight w:val="0"/>
      <w:marTop w:val="0"/>
      <w:marBottom w:val="0"/>
      <w:divBdr>
        <w:top w:val="none" w:sz="0" w:space="0" w:color="auto"/>
        <w:left w:val="none" w:sz="0" w:space="0" w:color="auto"/>
        <w:bottom w:val="none" w:sz="0" w:space="0" w:color="auto"/>
        <w:right w:val="none" w:sz="0" w:space="0" w:color="auto"/>
      </w:divBdr>
    </w:div>
    <w:div w:id="1964726038">
      <w:bodyDiv w:val="1"/>
      <w:marLeft w:val="0"/>
      <w:marRight w:val="0"/>
      <w:marTop w:val="0"/>
      <w:marBottom w:val="0"/>
      <w:divBdr>
        <w:top w:val="none" w:sz="0" w:space="0" w:color="auto"/>
        <w:left w:val="none" w:sz="0" w:space="0" w:color="auto"/>
        <w:bottom w:val="none" w:sz="0" w:space="0" w:color="auto"/>
        <w:right w:val="none" w:sz="0" w:space="0" w:color="auto"/>
      </w:divBdr>
    </w:div>
    <w:div w:id="1964798644">
      <w:bodyDiv w:val="1"/>
      <w:marLeft w:val="0"/>
      <w:marRight w:val="0"/>
      <w:marTop w:val="0"/>
      <w:marBottom w:val="0"/>
      <w:divBdr>
        <w:top w:val="none" w:sz="0" w:space="0" w:color="auto"/>
        <w:left w:val="none" w:sz="0" w:space="0" w:color="auto"/>
        <w:bottom w:val="none" w:sz="0" w:space="0" w:color="auto"/>
        <w:right w:val="none" w:sz="0" w:space="0" w:color="auto"/>
      </w:divBdr>
    </w:div>
    <w:div w:id="1964918673">
      <w:bodyDiv w:val="1"/>
      <w:marLeft w:val="0"/>
      <w:marRight w:val="0"/>
      <w:marTop w:val="0"/>
      <w:marBottom w:val="0"/>
      <w:divBdr>
        <w:top w:val="none" w:sz="0" w:space="0" w:color="auto"/>
        <w:left w:val="none" w:sz="0" w:space="0" w:color="auto"/>
        <w:bottom w:val="none" w:sz="0" w:space="0" w:color="auto"/>
        <w:right w:val="none" w:sz="0" w:space="0" w:color="auto"/>
      </w:divBdr>
    </w:div>
    <w:div w:id="1965040511">
      <w:bodyDiv w:val="1"/>
      <w:marLeft w:val="0"/>
      <w:marRight w:val="0"/>
      <w:marTop w:val="0"/>
      <w:marBottom w:val="0"/>
      <w:divBdr>
        <w:top w:val="none" w:sz="0" w:space="0" w:color="auto"/>
        <w:left w:val="none" w:sz="0" w:space="0" w:color="auto"/>
        <w:bottom w:val="none" w:sz="0" w:space="0" w:color="auto"/>
        <w:right w:val="none" w:sz="0" w:space="0" w:color="auto"/>
      </w:divBdr>
    </w:div>
    <w:div w:id="1966108842">
      <w:bodyDiv w:val="1"/>
      <w:marLeft w:val="0"/>
      <w:marRight w:val="0"/>
      <w:marTop w:val="0"/>
      <w:marBottom w:val="0"/>
      <w:divBdr>
        <w:top w:val="none" w:sz="0" w:space="0" w:color="auto"/>
        <w:left w:val="none" w:sz="0" w:space="0" w:color="auto"/>
        <w:bottom w:val="none" w:sz="0" w:space="0" w:color="auto"/>
        <w:right w:val="none" w:sz="0" w:space="0" w:color="auto"/>
      </w:divBdr>
    </w:div>
    <w:div w:id="1966501373">
      <w:bodyDiv w:val="1"/>
      <w:marLeft w:val="0"/>
      <w:marRight w:val="0"/>
      <w:marTop w:val="0"/>
      <w:marBottom w:val="0"/>
      <w:divBdr>
        <w:top w:val="none" w:sz="0" w:space="0" w:color="auto"/>
        <w:left w:val="none" w:sz="0" w:space="0" w:color="auto"/>
        <w:bottom w:val="none" w:sz="0" w:space="0" w:color="auto"/>
        <w:right w:val="none" w:sz="0" w:space="0" w:color="auto"/>
      </w:divBdr>
    </w:div>
    <w:div w:id="1968195619">
      <w:bodyDiv w:val="1"/>
      <w:marLeft w:val="0"/>
      <w:marRight w:val="0"/>
      <w:marTop w:val="0"/>
      <w:marBottom w:val="0"/>
      <w:divBdr>
        <w:top w:val="none" w:sz="0" w:space="0" w:color="auto"/>
        <w:left w:val="none" w:sz="0" w:space="0" w:color="auto"/>
        <w:bottom w:val="none" w:sz="0" w:space="0" w:color="auto"/>
        <w:right w:val="none" w:sz="0" w:space="0" w:color="auto"/>
      </w:divBdr>
    </w:div>
    <w:div w:id="1968510810">
      <w:bodyDiv w:val="1"/>
      <w:marLeft w:val="0"/>
      <w:marRight w:val="0"/>
      <w:marTop w:val="0"/>
      <w:marBottom w:val="0"/>
      <w:divBdr>
        <w:top w:val="none" w:sz="0" w:space="0" w:color="auto"/>
        <w:left w:val="none" w:sz="0" w:space="0" w:color="auto"/>
        <w:bottom w:val="none" w:sz="0" w:space="0" w:color="auto"/>
        <w:right w:val="none" w:sz="0" w:space="0" w:color="auto"/>
      </w:divBdr>
    </w:div>
    <w:div w:id="1969050276">
      <w:bodyDiv w:val="1"/>
      <w:marLeft w:val="0"/>
      <w:marRight w:val="0"/>
      <w:marTop w:val="0"/>
      <w:marBottom w:val="0"/>
      <w:divBdr>
        <w:top w:val="none" w:sz="0" w:space="0" w:color="auto"/>
        <w:left w:val="none" w:sz="0" w:space="0" w:color="auto"/>
        <w:bottom w:val="none" w:sz="0" w:space="0" w:color="auto"/>
        <w:right w:val="none" w:sz="0" w:space="0" w:color="auto"/>
      </w:divBdr>
    </w:div>
    <w:div w:id="1969168360">
      <w:bodyDiv w:val="1"/>
      <w:marLeft w:val="0"/>
      <w:marRight w:val="0"/>
      <w:marTop w:val="0"/>
      <w:marBottom w:val="0"/>
      <w:divBdr>
        <w:top w:val="none" w:sz="0" w:space="0" w:color="auto"/>
        <w:left w:val="none" w:sz="0" w:space="0" w:color="auto"/>
        <w:bottom w:val="none" w:sz="0" w:space="0" w:color="auto"/>
        <w:right w:val="none" w:sz="0" w:space="0" w:color="auto"/>
      </w:divBdr>
    </w:div>
    <w:div w:id="1970624645">
      <w:bodyDiv w:val="1"/>
      <w:marLeft w:val="0"/>
      <w:marRight w:val="0"/>
      <w:marTop w:val="0"/>
      <w:marBottom w:val="0"/>
      <w:divBdr>
        <w:top w:val="none" w:sz="0" w:space="0" w:color="auto"/>
        <w:left w:val="none" w:sz="0" w:space="0" w:color="auto"/>
        <w:bottom w:val="none" w:sz="0" w:space="0" w:color="auto"/>
        <w:right w:val="none" w:sz="0" w:space="0" w:color="auto"/>
      </w:divBdr>
    </w:div>
    <w:div w:id="1976832425">
      <w:bodyDiv w:val="1"/>
      <w:marLeft w:val="0"/>
      <w:marRight w:val="0"/>
      <w:marTop w:val="0"/>
      <w:marBottom w:val="0"/>
      <w:divBdr>
        <w:top w:val="none" w:sz="0" w:space="0" w:color="auto"/>
        <w:left w:val="none" w:sz="0" w:space="0" w:color="auto"/>
        <w:bottom w:val="none" w:sz="0" w:space="0" w:color="auto"/>
        <w:right w:val="none" w:sz="0" w:space="0" w:color="auto"/>
      </w:divBdr>
    </w:div>
    <w:div w:id="1980649991">
      <w:bodyDiv w:val="1"/>
      <w:marLeft w:val="0"/>
      <w:marRight w:val="0"/>
      <w:marTop w:val="0"/>
      <w:marBottom w:val="0"/>
      <w:divBdr>
        <w:top w:val="none" w:sz="0" w:space="0" w:color="auto"/>
        <w:left w:val="none" w:sz="0" w:space="0" w:color="auto"/>
        <w:bottom w:val="none" w:sz="0" w:space="0" w:color="auto"/>
        <w:right w:val="none" w:sz="0" w:space="0" w:color="auto"/>
      </w:divBdr>
    </w:div>
    <w:div w:id="1981109488">
      <w:bodyDiv w:val="1"/>
      <w:marLeft w:val="0"/>
      <w:marRight w:val="0"/>
      <w:marTop w:val="0"/>
      <w:marBottom w:val="0"/>
      <w:divBdr>
        <w:top w:val="none" w:sz="0" w:space="0" w:color="auto"/>
        <w:left w:val="none" w:sz="0" w:space="0" w:color="auto"/>
        <w:bottom w:val="none" w:sz="0" w:space="0" w:color="auto"/>
        <w:right w:val="none" w:sz="0" w:space="0" w:color="auto"/>
      </w:divBdr>
    </w:div>
    <w:div w:id="1981615216">
      <w:bodyDiv w:val="1"/>
      <w:marLeft w:val="0"/>
      <w:marRight w:val="0"/>
      <w:marTop w:val="0"/>
      <w:marBottom w:val="0"/>
      <w:divBdr>
        <w:top w:val="none" w:sz="0" w:space="0" w:color="auto"/>
        <w:left w:val="none" w:sz="0" w:space="0" w:color="auto"/>
        <w:bottom w:val="none" w:sz="0" w:space="0" w:color="auto"/>
        <w:right w:val="none" w:sz="0" w:space="0" w:color="auto"/>
      </w:divBdr>
    </w:div>
    <w:div w:id="1982035564">
      <w:bodyDiv w:val="1"/>
      <w:marLeft w:val="0"/>
      <w:marRight w:val="0"/>
      <w:marTop w:val="0"/>
      <w:marBottom w:val="0"/>
      <w:divBdr>
        <w:top w:val="none" w:sz="0" w:space="0" w:color="auto"/>
        <w:left w:val="none" w:sz="0" w:space="0" w:color="auto"/>
        <w:bottom w:val="none" w:sz="0" w:space="0" w:color="auto"/>
        <w:right w:val="none" w:sz="0" w:space="0" w:color="auto"/>
      </w:divBdr>
    </w:div>
    <w:div w:id="1983607823">
      <w:bodyDiv w:val="1"/>
      <w:marLeft w:val="0"/>
      <w:marRight w:val="0"/>
      <w:marTop w:val="0"/>
      <w:marBottom w:val="0"/>
      <w:divBdr>
        <w:top w:val="none" w:sz="0" w:space="0" w:color="auto"/>
        <w:left w:val="none" w:sz="0" w:space="0" w:color="auto"/>
        <w:bottom w:val="none" w:sz="0" w:space="0" w:color="auto"/>
        <w:right w:val="none" w:sz="0" w:space="0" w:color="auto"/>
      </w:divBdr>
    </w:div>
    <w:div w:id="1986857299">
      <w:bodyDiv w:val="1"/>
      <w:marLeft w:val="0"/>
      <w:marRight w:val="0"/>
      <w:marTop w:val="0"/>
      <w:marBottom w:val="0"/>
      <w:divBdr>
        <w:top w:val="none" w:sz="0" w:space="0" w:color="auto"/>
        <w:left w:val="none" w:sz="0" w:space="0" w:color="auto"/>
        <w:bottom w:val="none" w:sz="0" w:space="0" w:color="auto"/>
        <w:right w:val="none" w:sz="0" w:space="0" w:color="auto"/>
      </w:divBdr>
    </w:div>
    <w:div w:id="1987737840">
      <w:bodyDiv w:val="1"/>
      <w:marLeft w:val="0"/>
      <w:marRight w:val="0"/>
      <w:marTop w:val="0"/>
      <w:marBottom w:val="0"/>
      <w:divBdr>
        <w:top w:val="none" w:sz="0" w:space="0" w:color="auto"/>
        <w:left w:val="none" w:sz="0" w:space="0" w:color="auto"/>
        <w:bottom w:val="none" w:sz="0" w:space="0" w:color="auto"/>
        <w:right w:val="none" w:sz="0" w:space="0" w:color="auto"/>
      </w:divBdr>
    </w:div>
    <w:div w:id="1988822670">
      <w:bodyDiv w:val="1"/>
      <w:marLeft w:val="0"/>
      <w:marRight w:val="0"/>
      <w:marTop w:val="0"/>
      <w:marBottom w:val="0"/>
      <w:divBdr>
        <w:top w:val="none" w:sz="0" w:space="0" w:color="auto"/>
        <w:left w:val="none" w:sz="0" w:space="0" w:color="auto"/>
        <w:bottom w:val="none" w:sz="0" w:space="0" w:color="auto"/>
        <w:right w:val="none" w:sz="0" w:space="0" w:color="auto"/>
      </w:divBdr>
    </w:div>
    <w:div w:id="1989282994">
      <w:bodyDiv w:val="1"/>
      <w:marLeft w:val="0"/>
      <w:marRight w:val="0"/>
      <w:marTop w:val="0"/>
      <w:marBottom w:val="0"/>
      <w:divBdr>
        <w:top w:val="none" w:sz="0" w:space="0" w:color="auto"/>
        <w:left w:val="none" w:sz="0" w:space="0" w:color="auto"/>
        <w:bottom w:val="none" w:sz="0" w:space="0" w:color="auto"/>
        <w:right w:val="none" w:sz="0" w:space="0" w:color="auto"/>
      </w:divBdr>
    </w:div>
    <w:div w:id="1989550136">
      <w:bodyDiv w:val="1"/>
      <w:marLeft w:val="0"/>
      <w:marRight w:val="0"/>
      <w:marTop w:val="0"/>
      <w:marBottom w:val="0"/>
      <w:divBdr>
        <w:top w:val="none" w:sz="0" w:space="0" w:color="auto"/>
        <w:left w:val="none" w:sz="0" w:space="0" w:color="auto"/>
        <w:bottom w:val="none" w:sz="0" w:space="0" w:color="auto"/>
        <w:right w:val="none" w:sz="0" w:space="0" w:color="auto"/>
      </w:divBdr>
    </w:div>
    <w:div w:id="1990479245">
      <w:bodyDiv w:val="1"/>
      <w:marLeft w:val="0"/>
      <w:marRight w:val="0"/>
      <w:marTop w:val="0"/>
      <w:marBottom w:val="0"/>
      <w:divBdr>
        <w:top w:val="none" w:sz="0" w:space="0" w:color="auto"/>
        <w:left w:val="none" w:sz="0" w:space="0" w:color="auto"/>
        <w:bottom w:val="none" w:sz="0" w:space="0" w:color="auto"/>
        <w:right w:val="none" w:sz="0" w:space="0" w:color="auto"/>
      </w:divBdr>
    </w:div>
    <w:div w:id="1993677507">
      <w:bodyDiv w:val="1"/>
      <w:marLeft w:val="0"/>
      <w:marRight w:val="0"/>
      <w:marTop w:val="0"/>
      <w:marBottom w:val="0"/>
      <w:divBdr>
        <w:top w:val="none" w:sz="0" w:space="0" w:color="auto"/>
        <w:left w:val="none" w:sz="0" w:space="0" w:color="auto"/>
        <w:bottom w:val="none" w:sz="0" w:space="0" w:color="auto"/>
        <w:right w:val="none" w:sz="0" w:space="0" w:color="auto"/>
      </w:divBdr>
    </w:div>
    <w:div w:id="1994410736">
      <w:bodyDiv w:val="1"/>
      <w:marLeft w:val="0"/>
      <w:marRight w:val="0"/>
      <w:marTop w:val="0"/>
      <w:marBottom w:val="0"/>
      <w:divBdr>
        <w:top w:val="none" w:sz="0" w:space="0" w:color="auto"/>
        <w:left w:val="none" w:sz="0" w:space="0" w:color="auto"/>
        <w:bottom w:val="none" w:sz="0" w:space="0" w:color="auto"/>
        <w:right w:val="none" w:sz="0" w:space="0" w:color="auto"/>
      </w:divBdr>
    </w:div>
    <w:div w:id="1994412579">
      <w:bodyDiv w:val="1"/>
      <w:marLeft w:val="0"/>
      <w:marRight w:val="0"/>
      <w:marTop w:val="0"/>
      <w:marBottom w:val="0"/>
      <w:divBdr>
        <w:top w:val="none" w:sz="0" w:space="0" w:color="auto"/>
        <w:left w:val="none" w:sz="0" w:space="0" w:color="auto"/>
        <w:bottom w:val="none" w:sz="0" w:space="0" w:color="auto"/>
        <w:right w:val="none" w:sz="0" w:space="0" w:color="auto"/>
      </w:divBdr>
    </w:div>
    <w:div w:id="1995796946">
      <w:bodyDiv w:val="1"/>
      <w:marLeft w:val="0"/>
      <w:marRight w:val="0"/>
      <w:marTop w:val="0"/>
      <w:marBottom w:val="0"/>
      <w:divBdr>
        <w:top w:val="none" w:sz="0" w:space="0" w:color="auto"/>
        <w:left w:val="none" w:sz="0" w:space="0" w:color="auto"/>
        <w:bottom w:val="none" w:sz="0" w:space="0" w:color="auto"/>
        <w:right w:val="none" w:sz="0" w:space="0" w:color="auto"/>
      </w:divBdr>
    </w:div>
    <w:div w:id="1996840677">
      <w:bodyDiv w:val="1"/>
      <w:marLeft w:val="0"/>
      <w:marRight w:val="0"/>
      <w:marTop w:val="0"/>
      <w:marBottom w:val="0"/>
      <w:divBdr>
        <w:top w:val="none" w:sz="0" w:space="0" w:color="auto"/>
        <w:left w:val="none" w:sz="0" w:space="0" w:color="auto"/>
        <w:bottom w:val="none" w:sz="0" w:space="0" w:color="auto"/>
        <w:right w:val="none" w:sz="0" w:space="0" w:color="auto"/>
      </w:divBdr>
    </w:div>
    <w:div w:id="1997954804">
      <w:bodyDiv w:val="1"/>
      <w:marLeft w:val="0"/>
      <w:marRight w:val="0"/>
      <w:marTop w:val="0"/>
      <w:marBottom w:val="0"/>
      <w:divBdr>
        <w:top w:val="none" w:sz="0" w:space="0" w:color="auto"/>
        <w:left w:val="none" w:sz="0" w:space="0" w:color="auto"/>
        <w:bottom w:val="none" w:sz="0" w:space="0" w:color="auto"/>
        <w:right w:val="none" w:sz="0" w:space="0" w:color="auto"/>
      </w:divBdr>
    </w:div>
    <w:div w:id="1998724707">
      <w:bodyDiv w:val="1"/>
      <w:marLeft w:val="0"/>
      <w:marRight w:val="0"/>
      <w:marTop w:val="0"/>
      <w:marBottom w:val="0"/>
      <w:divBdr>
        <w:top w:val="none" w:sz="0" w:space="0" w:color="auto"/>
        <w:left w:val="none" w:sz="0" w:space="0" w:color="auto"/>
        <w:bottom w:val="none" w:sz="0" w:space="0" w:color="auto"/>
        <w:right w:val="none" w:sz="0" w:space="0" w:color="auto"/>
      </w:divBdr>
    </w:div>
    <w:div w:id="1999069371">
      <w:bodyDiv w:val="1"/>
      <w:marLeft w:val="0"/>
      <w:marRight w:val="0"/>
      <w:marTop w:val="0"/>
      <w:marBottom w:val="0"/>
      <w:divBdr>
        <w:top w:val="none" w:sz="0" w:space="0" w:color="auto"/>
        <w:left w:val="none" w:sz="0" w:space="0" w:color="auto"/>
        <w:bottom w:val="none" w:sz="0" w:space="0" w:color="auto"/>
        <w:right w:val="none" w:sz="0" w:space="0" w:color="auto"/>
      </w:divBdr>
    </w:div>
    <w:div w:id="1999335532">
      <w:bodyDiv w:val="1"/>
      <w:marLeft w:val="0"/>
      <w:marRight w:val="0"/>
      <w:marTop w:val="0"/>
      <w:marBottom w:val="0"/>
      <w:divBdr>
        <w:top w:val="none" w:sz="0" w:space="0" w:color="auto"/>
        <w:left w:val="none" w:sz="0" w:space="0" w:color="auto"/>
        <w:bottom w:val="none" w:sz="0" w:space="0" w:color="auto"/>
        <w:right w:val="none" w:sz="0" w:space="0" w:color="auto"/>
      </w:divBdr>
    </w:div>
    <w:div w:id="2002148950">
      <w:bodyDiv w:val="1"/>
      <w:marLeft w:val="0"/>
      <w:marRight w:val="0"/>
      <w:marTop w:val="0"/>
      <w:marBottom w:val="0"/>
      <w:divBdr>
        <w:top w:val="none" w:sz="0" w:space="0" w:color="auto"/>
        <w:left w:val="none" w:sz="0" w:space="0" w:color="auto"/>
        <w:bottom w:val="none" w:sz="0" w:space="0" w:color="auto"/>
        <w:right w:val="none" w:sz="0" w:space="0" w:color="auto"/>
      </w:divBdr>
    </w:div>
    <w:div w:id="2002544499">
      <w:bodyDiv w:val="1"/>
      <w:marLeft w:val="0"/>
      <w:marRight w:val="0"/>
      <w:marTop w:val="0"/>
      <w:marBottom w:val="0"/>
      <w:divBdr>
        <w:top w:val="none" w:sz="0" w:space="0" w:color="auto"/>
        <w:left w:val="none" w:sz="0" w:space="0" w:color="auto"/>
        <w:bottom w:val="none" w:sz="0" w:space="0" w:color="auto"/>
        <w:right w:val="none" w:sz="0" w:space="0" w:color="auto"/>
      </w:divBdr>
    </w:div>
    <w:div w:id="2004045421">
      <w:bodyDiv w:val="1"/>
      <w:marLeft w:val="0"/>
      <w:marRight w:val="0"/>
      <w:marTop w:val="0"/>
      <w:marBottom w:val="0"/>
      <w:divBdr>
        <w:top w:val="none" w:sz="0" w:space="0" w:color="auto"/>
        <w:left w:val="none" w:sz="0" w:space="0" w:color="auto"/>
        <w:bottom w:val="none" w:sz="0" w:space="0" w:color="auto"/>
        <w:right w:val="none" w:sz="0" w:space="0" w:color="auto"/>
      </w:divBdr>
    </w:div>
    <w:div w:id="2004703649">
      <w:bodyDiv w:val="1"/>
      <w:marLeft w:val="0"/>
      <w:marRight w:val="0"/>
      <w:marTop w:val="0"/>
      <w:marBottom w:val="0"/>
      <w:divBdr>
        <w:top w:val="none" w:sz="0" w:space="0" w:color="auto"/>
        <w:left w:val="none" w:sz="0" w:space="0" w:color="auto"/>
        <w:bottom w:val="none" w:sz="0" w:space="0" w:color="auto"/>
        <w:right w:val="none" w:sz="0" w:space="0" w:color="auto"/>
      </w:divBdr>
    </w:div>
    <w:div w:id="2005207524">
      <w:bodyDiv w:val="1"/>
      <w:marLeft w:val="0"/>
      <w:marRight w:val="0"/>
      <w:marTop w:val="0"/>
      <w:marBottom w:val="0"/>
      <w:divBdr>
        <w:top w:val="none" w:sz="0" w:space="0" w:color="auto"/>
        <w:left w:val="none" w:sz="0" w:space="0" w:color="auto"/>
        <w:bottom w:val="none" w:sz="0" w:space="0" w:color="auto"/>
        <w:right w:val="none" w:sz="0" w:space="0" w:color="auto"/>
      </w:divBdr>
    </w:div>
    <w:div w:id="2005356545">
      <w:bodyDiv w:val="1"/>
      <w:marLeft w:val="0"/>
      <w:marRight w:val="0"/>
      <w:marTop w:val="0"/>
      <w:marBottom w:val="0"/>
      <w:divBdr>
        <w:top w:val="none" w:sz="0" w:space="0" w:color="auto"/>
        <w:left w:val="none" w:sz="0" w:space="0" w:color="auto"/>
        <w:bottom w:val="none" w:sz="0" w:space="0" w:color="auto"/>
        <w:right w:val="none" w:sz="0" w:space="0" w:color="auto"/>
      </w:divBdr>
    </w:div>
    <w:div w:id="2005665355">
      <w:bodyDiv w:val="1"/>
      <w:marLeft w:val="0"/>
      <w:marRight w:val="0"/>
      <w:marTop w:val="0"/>
      <w:marBottom w:val="0"/>
      <w:divBdr>
        <w:top w:val="none" w:sz="0" w:space="0" w:color="auto"/>
        <w:left w:val="none" w:sz="0" w:space="0" w:color="auto"/>
        <w:bottom w:val="none" w:sz="0" w:space="0" w:color="auto"/>
        <w:right w:val="none" w:sz="0" w:space="0" w:color="auto"/>
      </w:divBdr>
    </w:div>
    <w:div w:id="2006082616">
      <w:bodyDiv w:val="1"/>
      <w:marLeft w:val="0"/>
      <w:marRight w:val="0"/>
      <w:marTop w:val="0"/>
      <w:marBottom w:val="0"/>
      <w:divBdr>
        <w:top w:val="none" w:sz="0" w:space="0" w:color="auto"/>
        <w:left w:val="none" w:sz="0" w:space="0" w:color="auto"/>
        <w:bottom w:val="none" w:sz="0" w:space="0" w:color="auto"/>
        <w:right w:val="none" w:sz="0" w:space="0" w:color="auto"/>
      </w:divBdr>
    </w:div>
    <w:div w:id="2006543199">
      <w:bodyDiv w:val="1"/>
      <w:marLeft w:val="0"/>
      <w:marRight w:val="0"/>
      <w:marTop w:val="0"/>
      <w:marBottom w:val="0"/>
      <w:divBdr>
        <w:top w:val="none" w:sz="0" w:space="0" w:color="auto"/>
        <w:left w:val="none" w:sz="0" w:space="0" w:color="auto"/>
        <w:bottom w:val="none" w:sz="0" w:space="0" w:color="auto"/>
        <w:right w:val="none" w:sz="0" w:space="0" w:color="auto"/>
      </w:divBdr>
    </w:div>
    <w:div w:id="2007199518">
      <w:bodyDiv w:val="1"/>
      <w:marLeft w:val="0"/>
      <w:marRight w:val="0"/>
      <w:marTop w:val="0"/>
      <w:marBottom w:val="0"/>
      <w:divBdr>
        <w:top w:val="none" w:sz="0" w:space="0" w:color="auto"/>
        <w:left w:val="none" w:sz="0" w:space="0" w:color="auto"/>
        <w:bottom w:val="none" w:sz="0" w:space="0" w:color="auto"/>
        <w:right w:val="none" w:sz="0" w:space="0" w:color="auto"/>
      </w:divBdr>
    </w:div>
    <w:div w:id="2007320553">
      <w:bodyDiv w:val="1"/>
      <w:marLeft w:val="0"/>
      <w:marRight w:val="0"/>
      <w:marTop w:val="0"/>
      <w:marBottom w:val="0"/>
      <w:divBdr>
        <w:top w:val="none" w:sz="0" w:space="0" w:color="auto"/>
        <w:left w:val="none" w:sz="0" w:space="0" w:color="auto"/>
        <w:bottom w:val="none" w:sz="0" w:space="0" w:color="auto"/>
        <w:right w:val="none" w:sz="0" w:space="0" w:color="auto"/>
      </w:divBdr>
    </w:div>
    <w:div w:id="2008821455">
      <w:bodyDiv w:val="1"/>
      <w:marLeft w:val="0"/>
      <w:marRight w:val="0"/>
      <w:marTop w:val="0"/>
      <w:marBottom w:val="0"/>
      <w:divBdr>
        <w:top w:val="none" w:sz="0" w:space="0" w:color="auto"/>
        <w:left w:val="none" w:sz="0" w:space="0" w:color="auto"/>
        <w:bottom w:val="none" w:sz="0" w:space="0" w:color="auto"/>
        <w:right w:val="none" w:sz="0" w:space="0" w:color="auto"/>
      </w:divBdr>
    </w:div>
    <w:div w:id="2009361859">
      <w:bodyDiv w:val="1"/>
      <w:marLeft w:val="0"/>
      <w:marRight w:val="0"/>
      <w:marTop w:val="0"/>
      <w:marBottom w:val="0"/>
      <w:divBdr>
        <w:top w:val="none" w:sz="0" w:space="0" w:color="auto"/>
        <w:left w:val="none" w:sz="0" w:space="0" w:color="auto"/>
        <w:bottom w:val="none" w:sz="0" w:space="0" w:color="auto"/>
        <w:right w:val="none" w:sz="0" w:space="0" w:color="auto"/>
      </w:divBdr>
    </w:div>
    <w:div w:id="2009751639">
      <w:bodyDiv w:val="1"/>
      <w:marLeft w:val="0"/>
      <w:marRight w:val="0"/>
      <w:marTop w:val="0"/>
      <w:marBottom w:val="0"/>
      <w:divBdr>
        <w:top w:val="none" w:sz="0" w:space="0" w:color="auto"/>
        <w:left w:val="none" w:sz="0" w:space="0" w:color="auto"/>
        <w:bottom w:val="none" w:sz="0" w:space="0" w:color="auto"/>
        <w:right w:val="none" w:sz="0" w:space="0" w:color="auto"/>
      </w:divBdr>
    </w:div>
    <w:div w:id="2011054170">
      <w:bodyDiv w:val="1"/>
      <w:marLeft w:val="0"/>
      <w:marRight w:val="0"/>
      <w:marTop w:val="0"/>
      <w:marBottom w:val="0"/>
      <w:divBdr>
        <w:top w:val="none" w:sz="0" w:space="0" w:color="auto"/>
        <w:left w:val="none" w:sz="0" w:space="0" w:color="auto"/>
        <w:bottom w:val="none" w:sz="0" w:space="0" w:color="auto"/>
        <w:right w:val="none" w:sz="0" w:space="0" w:color="auto"/>
      </w:divBdr>
    </w:div>
    <w:div w:id="2012371191">
      <w:bodyDiv w:val="1"/>
      <w:marLeft w:val="0"/>
      <w:marRight w:val="0"/>
      <w:marTop w:val="0"/>
      <w:marBottom w:val="0"/>
      <w:divBdr>
        <w:top w:val="none" w:sz="0" w:space="0" w:color="auto"/>
        <w:left w:val="none" w:sz="0" w:space="0" w:color="auto"/>
        <w:bottom w:val="none" w:sz="0" w:space="0" w:color="auto"/>
        <w:right w:val="none" w:sz="0" w:space="0" w:color="auto"/>
      </w:divBdr>
    </w:div>
    <w:div w:id="2013289400">
      <w:bodyDiv w:val="1"/>
      <w:marLeft w:val="0"/>
      <w:marRight w:val="0"/>
      <w:marTop w:val="0"/>
      <w:marBottom w:val="0"/>
      <w:divBdr>
        <w:top w:val="none" w:sz="0" w:space="0" w:color="auto"/>
        <w:left w:val="none" w:sz="0" w:space="0" w:color="auto"/>
        <w:bottom w:val="none" w:sz="0" w:space="0" w:color="auto"/>
        <w:right w:val="none" w:sz="0" w:space="0" w:color="auto"/>
      </w:divBdr>
    </w:div>
    <w:div w:id="2015103970">
      <w:bodyDiv w:val="1"/>
      <w:marLeft w:val="0"/>
      <w:marRight w:val="0"/>
      <w:marTop w:val="0"/>
      <w:marBottom w:val="0"/>
      <w:divBdr>
        <w:top w:val="none" w:sz="0" w:space="0" w:color="auto"/>
        <w:left w:val="none" w:sz="0" w:space="0" w:color="auto"/>
        <w:bottom w:val="none" w:sz="0" w:space="0" w:color="auto"/>
        <w:right w:val="none" w:sz="0" w:space="0" w:color="auto"/>
      </w:divBdr>
    </w:div>
    <w:div w:id="2015375212">
      <w:bodyDiv w:val="1"/>
      <w:marLeft w:val="0"/>
      <w:marRight w:val="0"/>
      <w:marTop w:val="0"/>
      <w:marBottom w:val="0"/>
      <w:divBdr>
        <w:top w:val="none" w:sz="0" w:space="0" w:color="auto"/>
        <w:left w:val="none" w:sz="0" w:space="0" w:color="auto"/>
        <w:bottom w:val="none" w:sz="0" w:space="0" w:color="auto"/>
        <w:right w:val="none" w:sz="0" w:space="0" w:color="auto"/>
      </w:divBdr>
    </w:div>
    <w:div w:id="2015840452">
      <w:bodyDiv w:val="1"/>
      <w:marLeft w:val="0"/>
      <w:marRight w:val="0"/>
      <w:marTop w:val="0"/>
      <w:marBottom w:val="0"/>
      <w:divBdr>
        <w:top w:val="none" w:sz="0" w:space="0" w:color="auto"/>
        <w:left w:val="none" w:sz="0" w:space="0" w:color="auto"/>
        <w:bottom w:val="none" w:sz="0" w:space="0" w:color="auto"/>
        <w:right w:val="none" w:sz="0" w:space="0" w:color="auto"/>
      </w:divBdr>
    </w:div>
    <w:div w:id="2017268881">
      <w:bodyDiv w:val="1"/>
      <w:marLeft w:val="0"/>
      <w:marRight w:val="0"/>
      <w:marTop w:val="0"/>
      <w:marBottom w:val="0"/>
      <w:divBdr>
        <w:top w:val="none" w:sz="0" w:space="0" w:color="auto"/>
        <w:left w:val="none" w:sz="0" w:space="0" w:color="auto"/>
        <w:bottom w:val="none" w:sz="0" w:space="0" w:color="auto"/>
        <w:right w:val="none" w:sz="0" w:space="0" w:color="auto"/>
      </w:divBdr>
    </w:div>
    <w:div w:id="2017461226">
      <w:bodyDiv w:val="1"/>
      <w:marLeft w:val="0"/>
      <w:marRight w:val="0"/>
      <w:marTop w:val="0"/>
      <w:marBottom w:val="0"/>
      <w:divBdr>
        <w:top w:val="none" w:sz="0" w:space="0" w:color="auto"/>
        <w:left w:val="none" w:sz="0" w:space="0" w:color="auto"/>
        <w:bottom w:val="none" w:sz="0" w:space="0" w:color="auto"/>
        <w:right w:val="none" w:sz="0" w:space="0" w:color="auto"/>
      </w:divBdr>
    </w:div>
    <w:div w:id="2020966080">
      <w:bodyDiv w:val="1"/>
      <w:marLeft w:val="0"/>
      <w:marRight w:val="0"/>
      <w:marTop w:val="0"/>
      <w:marBottom w:val="0"/>
      <w:divBdr>
        <w:top w:val="none" w:sz="0" w:space="0" w:color="auto"/>
        <w:left w:val="none" w:sz="0" w:space="0" w:color="auto"/>
        <w:bottom w:val="none" w:sz="0" w:space="0" w:color="auto"/>
        <w:right w:val="none" w:sz="0" w:space="0" w:color="auto"/>
      </w:divBdr>
    </w:div>
    <w:div w:id="2021005244">
      <w:bodyDiv w:val="1"/>
      <w:marLeft w:val="0"/>
      <w:marRight w:val="0"/>
      <w:marTop w:val="0"/>
      <w:marBottom w:val="0"/>
      <w:divBdr>
        <w:top w:val="none" w:sz="0" w:space="0" w:color="auto"/>
        <w:left w:val="none" w:sz="0" w:space="0" w:color="auto"/>
        <w:bottom w:val="none" w:sz="0" w:space="0" w:color="auto"/>
        <w:right w:val="none" w:sz="0" w:space="0" w:color="auto"/>
      </w:divBdr>
    </w:div>
    <w:div w:id="2021927060">
      <w:bodyDiv w:val="1"/>
      <w:marLeft w:val="0"/>
      <w:marRight w:val="0"/>
      <w:marTop w:val="0"/>
      <w:marBottom w:val="0"/>
      <w:divBdr>
        <w:top w:val="none" w:sz="0" w:space="0" w:color="auto"/>
        <w:left w:val="none" w:sz="0" w:space="0" w:color="auto"/>
        <w:bottom w:val="none" w:sz="0" w:space="0" w:color="auto"/>
        <w:right w:val="none" w:sz="0" w:space="0" w:color="auto"/>
      </w:divBdr>
    </w:div>
    <w:div w:id="2023358684">
      <w:bodyDiv w:val="1"/>
      <w:marLeft w:val="0"/>
      <w:marRight w:val="0"/>
      <w:marTop w:val="0"/>
      <w:marBottom w:val="0"/>
      <w:divBdr>
        <w:top w:val="none" w:sz="0" w:space="0" w:color="auto"/>
        <w:left w:val="none" w:sz="0" w:space="0" w:color="auto"/>
        <w:bottom w:val="none" w:sz="0" w:space="0" w:color="auto"/>
        <w:right w:val="none" w:sz="0" w:space="0" w:color="auto"/>
      </w:divBdr>
    </w:div>
    <w:div w:id="2027247777">
      <w:bodyDiv w:val="1"/>
      <w:marLeft w:val="0"/>
      <w:marRight w:val="0"/>
      <w:marTop w:val="0"/>
      <w:marBottom w:val="0"/>
      <w:divBdr>
        <w:top w:val="none" w:sz="0" w:space="0" w:color="auto"/>
        <w:left w:val="none" w:sz="0" w:space="0" w:color="auto"/>
        <w:bottom w:val="none" w:sz="0" w:space="0" w:color="auto"/>
        <w:right w:val="none" w:sz="0" w:space="0" w:color="auto"/>
      </w:divBdr>
    </w:div>
    <w:div w:id="2029091002">
      <w:bodyDiv w:val="1"/>
      <w:marLeft w:val="0"/>
      <w:marRight w:val="0"/>
      <w:marTop w:val="0"/>
      <w:marBottom w:val="0"/>
      <w:divBdr>
        <w:top w:val="none" w:sz="0" w:space="0" w:color="auto"/>
        <w:left w:val="none" w:sz="0" w:space="0" w:color="auto"/>
        <w:bottom w:val="none" w:sz="0" w:space="0" w:color="auto"/>
        <w:right w:val="none" w:sz="0" w:space="0" w:color="auto"/>
      </w:divBdr>
    </w:div>
    <w:div w:id="2029791143">
      <w:bodyDiv w:val="1"/>
      <w:marLeft w:val="0"/>
      <w:marRight w:val="0"/>
      <w:marTop w:val="0"/>
      <w:marBottom w:val="0"/>
      <w:divBdr>
        <w:top w:val="none" w:sz="0" w:space="0" w:color="auto"/>
        <w:left w:val="none" w:sz="0" w:space="0" w:color="auto"/>
        <w:bottom w:val="none" w:sz="0" w:space="0" w:color="auto"/>
        <w:right w:val="none" w:sz="0" w:space="0" w:color="auto"/>
      </w:divBdr>
    </w:div>
    <w:div w:id="2030402864">
      <w:bodyDiv w:val="1"/>
      <w:marLeft w:val="0"/>
      <w:marRight w:val="0"/>
      <w:marTop w:val="0"/>
      <w:marBottom w:val="0"/>
      <w:divBdr>
        <w:top w:val="none" w:sz="0" w:space="0" w:color="auto"/>
        <w:left w:val="none" w:sz="0" w:space="0" w:color="auto"/>
        <w:bottom w:val="none" w:sz="0" w:space="0" w:color="auto"/>
        <w:right w:val="none" w:sz="0" w:space="0" w:color="auto"/>
      </w:divBdr>
    </w:div>
    <w:div w:id="2030713388">
      <w:bodyDiv w:val="1"/>
      <w:marLeft w:val="0"/>
      <w:marRight w:val="0"/>
      <w:marTop w:val="0"/>
      <w:marBottom w:val="0"/>
      <w:divBdr>
        <w:top w:val="none" w:sz="0" w:space="0" w:color="auto"/>
        <w:left w:val="none" w:sz="0" w:space="0" w:color="auto"/>
        <w:bottom w:val="none" w:sz="0" w:space="0" w:color="auto"/>
        <w:right w:val="none" w:sz="0" w:space="0" w:color="auto"/>
      </w:divBdr>
    </w:div>
    <w:div w:id="2030913849">
      <w:bodyDiv w:val="1"/>
      <w:marLeft w:val="0"/>
      <w:marRight w:val="0"/>
      <w:marTop w:val="0"/>
      <w:marBottom w:val="0"/>
      <w:divBdr>
        <w:top w:val="none" w:sz="0" w:space="0" w:color="auto"/>
        <w:left w:val="none" w:sz="0" w:space="0" w:color="auto"/>
        <w:bottom w:val="none" w:sz="0" w:space="0" w:color="auto"/>
        <w:right w:val="none" w:sz="0" w:space="0" w:color="auto"/>
      </w:divBdr>
    </w:div>
    <w:div w:id="2030989099">
      <w:bodyDiv w:val="1"/>
      <w:marLeft w:val="0"/>
      <w:marRight w:val="0"/>
      <w:marTop w:val="0"/>
      <w:marBottom w:val="0"/>
      <w:divBdr>
        <w:top w:val="none" w:sz="0" w:space="0" w:color="auto"/>
        <w:left w:val="none" w:sz="0" w:space="0" w:color="auto"/>
        <w:bottom w:val="none" w:sz="0" w:space="0" w:color="auto"/>
        <w:right w:val="none" w:sz="0" w:space="0" w:color="auto"/>
      </w:divBdr>
    </w:div>
    <w:div w:id="2032146813">
      <w:bodyDiv w:val="1"/>
      <w:marLeft w:val="0"/>
      <w:marRight w:val="0"/>
      <w:marTop w:val="0"/>
      <w:marBottom w:val="0"/>
      <w:divBdr>
        <w:top w:val="none" w:sz="0" w:space="0" w:color="auto"/>
        <w:left w:val="none" w:sz="0" w:space="0" w:color="auto"/>
        <w:bottom w:val="none" w:sz="0" w:space="0" w:color="auto"/>
        <w:right w:val="none" w:sz="0" w:space="0" w:color="auto"/>
      </w:divBdr>
    </w:div>
    <w:div w:id="2033457003">
      <w:bodyDiv w:val="1"/>
      <w:marLeft w:val="0"/>
      <w:marRight w:val="0"/>
      <w:marTop w:val="0"/>
      <w:marBottom w:val="0"/>
      <w:divBdr>
        <w:top w:val="none" w:sz="0" w:space="0" w:color="auto"/>
        <w:left w:val="none" w:sz="0" w:space="0" w:color="auto"/>
        <w:bottom w:val="none" w:sz="0" w:space="0" w:color="auto"/>
        <w:right w:val="none" w:sz="0" w:space="0" w:color="auto"/>
      </w:divBdr>
    </w:div>
    <w:div w:id="2034649703">
      <w:bodyDiv w:val="1"/>
      <w:marLeft w:val="0"/>
      <w:marRight w:val="0"/>
      <w:marTop w:val="0"/>
      <w:marBottom w:val="0"/>
      <w:divBdr>
        <w:top w:val="none" w:sz="0" w:space="0" w:color="auto"/>
        <w:left w:val="none" w:sz="0" w:space="0" w:color="auto"/>
        <w:bottom w:val="none" w:sz="0" w:space="0" w:color="auto"/>
        <w:right w:val="none" w:sz="0" w:space="0" w:color="auto"/>
      </w:divBdr>
    </w:div>
    <w:div w:id="2034762240">
      <w:bodyDiv w:val="1"/>
      <w:marLeft w:val="0"/>
      <w:marRight w:val="0"/>
      <w:marTop w:val="0"/>
      <w:marBottom w:val="0"/>
      <w:divBdr>
        <w:top w:val="none" w:sz="0" w:space="0" w:color="auto"/>
        <w:left w:val="none" w:sz="0" w:space="0" w:color="auto"/>
        <w:bottom w:val="none" w:sz="0" w:space="0" w:color="auto"/>
        <w:right w:val="none" w:sz="0" w:space="0" w:color="auto"/>
      </w:divBdr>
    </w:div>
    <w:div w:id="2036345993">
      <w:bodyDiv w:val="1"/>
      <w:marLeft w:val="0"/>
      <w:marRight w:val="0"/>
      <w:marTop w:val="0"/>
      <w:marBottom w:val="0"/>
      <w:divBdr>
        <w:top w:val="none" w:sz="0" w:space="0" w:color="auto"/>
        <w:left w:val="none" w:sz="0" w:space="0" w:color="auto"/>
        <w:bottom w:val="none" w:sz="0" w:space="0" w:color="auto"/>
        <w:right w:val="none" w:sz="0" w:space="0" w:color="auto"/>
      </w:divBdr>
    </w:div>
    <w:div w:id="2036808771">
      <w:bodyDiv w:val="1"/>
      <w:marLeft w:val="0"/>
      <w:marRight w:val="0"/>
      <w:marTop w:val="0"/>
      <w:marBottom w:val="0"/>
      <w:divBdr>
        <w:top w:val="none" w:sz="0" w:space="0" w:color="auto"/>
        <w:left w:val="none" w:sz="0" w:space="0" w:color="auto"/>
        <w:bottom w:val="none" w:sz="0" w:space="0" w:color="auto"/>
        <w:right w:val="none" w:sz="0" w:space="0" w:color="auto"/>
      </w:divBdr>
    </w:div>
    <w:div w:id="2038774229">
      <w:bodyDiv w:val="1"/>
      <w:marLeft w:val="0"/>
      <w:marRight w:val="0"/>
      <w:marTop w:val="0"/>
      <w:marBottom w:val="0"/>
      <w:divBdr>
        <w:top w:val="none" w:sz="0" w:space="0" w:color="auto"/>
        <w:left w:val="none" w:sz="0" w:space="0" w:color="auto"/>
        <w:bottom w:val="none" w:sz="0" w:space="0" w:color="auto"/>
        <w:right w:val="none" w:sz="0" w:space="0" w:color="auto"/>
      </w:divBdr>
    </w:div>
    <w:div w:id="2040273998">
      <w:bodyDiv w:val="1"/>
      <w:marLeft w:val="0"/>
      <w:marRight w:val="0"/>
      <w:marTop w:val="0"/>
      <w:marBottom w:val="0"/>
      <w:divBdr>
        <w:top w:val="none" w:sz="0" w:space="0" w:color="auto"/>
        <w:left w:val="none" w:sz="0" w:space="0" w:color="auto"/>
        <w:bottom w:val="none" w:sz="0" w:space="0" w:color="auto"/>
        <w:right w:val="none" w:sz="0" w:space="0" w:color="auto"/>
      </w:divBdr>
    </w:div>
    <w:div w:id="2040546820">
      <w:bodyDiv w:val="1"/>
      <w:marLeft w:val="0"/>
      <w:marRight w:val="0"/>
      <w:marTop w:val="0"/>
      <w:marBottom w:val="0"/>
      <w:divBdr>
        <w:top w:val="none" w:sz="0" w:space="0" w:color="auto"/>
        <w:left w:val="none" w:sz="0" w:space="0" w:color="auto"/>
        <w:bottom w:val="none" w:sz="0" w:space="0" w:color="auto"/>
        <w:right w:val="none" w:sz="0" w:space="0" w:color="auto"/>
      </w:divBdr>
    </w:div>
    <w:div w:id="2041516043">
      <w:bodyDiv w:val="1"/>
      <w:marLeft w:val="0"/>
      <w:marRight w:val="0"/>
      <w:marTop w:val="0"/>
      <w:marBottom w:val="0"/>
      <w:divBdr>
        <w:top w:val="none" w:sz="0" w:space="0" w:color="auto"/>
        <w:left w:val="none" w:sz="0" w:space="0" w:color="auto"/>
        <w:bottom w:val="none" w:sz="0" w:space="0" w:color="auto"/>
        <w:right w:val="none" w:sz="0" w:space="0" w:color="auto"/>
      </w:divBdr>
    </w:div>
    <w:div w:id="2045592900">
      <w:bodyDiv w:val="1"/>
      <w:marLeft w:val="0"/>
      <w:marRight w:val="0"/>
      <w:marTop w:val="0"/>
      <w:marBottom w:val="0"/>
      <w:divBdr>
        <w:top w:val="none" w:sz="0" w:space="0" w:color="auto"/>
        <w:left w:val="none" w:sz="0" w:space="0" w:color="auto"/>
        <w:bottom w:val="none" w:sz="0" w:space="0" w:color="auto"/>
        <w:right w:val="none" w:sz="0" w:space="0" w:color="auto"/>
      </w:divBdr>
    </w:div>
    <w:div w:id="2045906429">
      <w:bodyDiv w:val="1"/>
      <w:marLeft w:val="0"/>
      <w:marRight w:val="0"/>
      <w:marTop w:val="0"/>
      <w:marBottom w:val="0"/>
      <w:divBdr>
        <w:top w:val="none" w:sz="0" w:space="0" w:color="auto"/>
        <w:left w:val="none" w:sz="0" w:space="0" w:color="auto"/>
        <w:bottom w:val="none" w:sz="0" w:space="0" w:color="auto"/>
        <w:right w:val="none" w:sz="0" w:space="0" w:color="auto"/>
      </w:divBdr>
    </w:div>
    <w:div w:id="2046589554">
      <w:bodyDiv w:val="1"/>
      <w:marLeft w:val="0"/>
      <w:marRight w:val="0"/>
      <w:marTop w:val="0"/>
      <w:marBottom w:val="0"/>
      <w:divBdr>
        <w:top w:val="none" w:sz="0" w:space="0" w:color="auto"/>
        <w:left w:val="none" w:sz="0" w:space="0" w:color="auto"/>
        <w:bottom w:val="none" w:sz="0" w:space="0" w:color="auto"/>
        <w:right w:val="none" w:sz="0" w:space="0" w:color="auto"/>
      </w:divBdr>
    </w:div>
    <w:div w:id="2046976553">
      <w:bodyDiv w:val="1"/>
      <w:marLeft w:val="0"/>
      <w:marRight w:val="0"/>
      <w:marTop w:val="0"/>
      <w:marBottom w:val="0"/>
      <w:divBdr>
        <w:top w:val="none" w:sz="0" w:space="0" w:color="auto"/>
        <w:left w:val="none" w:sz="0" w:space="0" w:color="auto"/>
        <w:bottom w:val="none" w:sz="0" w:space="0" w:color="auto"/>
        <w:right w:val="none" w:sz="0" w:space="0" w:color="auto"/>
      </w:divBdr>
    </w:div>
    <w:div w:id="2048947026">
      <w:bodyDiv w:val="1"/>
      <w:marLeft w:val="0"/>
      <w:marRight w:val="0"/>
      <w:marTop w:val="0"/>
      <w:marBottom w:val="0"/>
      <w:divBdr>
        <w:top w:val="none" w:sz="0" w:space="0" w:color="auto"/>
        <w:left w:val="none" w:sz="0" w:space="0" w:color="auto"/>
        <w:bottom w:val="none" w:sz="0" w:space="0" w:color="auto"/>
        <w:right w:val="none" w:sz="0" w:space="0" w:color="auto"/>
      </w:divBdr>
    </w:div>
    <w:div w:id="2049600984">
      <w:bodyDiv w:val="1"/>
      <w:marLeft w:val="0"/>
      <w:marRight w:val="0"/>
      <w:marTop w:val="0"/>
      <w:marBottom w:val="0"/>
      <w:divBdr>
        <w:top w:val="none" w:sz="0" w:space="0" w:color="auto"/>
        <w:left w:val="none" w:sz="0" w:space="0" w:color="auto"/>
        <w:bottom w:val="none" w:sz="0" w:space="0" w:color="auto"/>
        <w:right w:val="none" w:sz="0" w:space="0" w:color="auto"/>
      </w:divBdr>
    </w:div>
    <w:div w:id="2054191353">
      <w:bodyDiv w:val="1"/>
      <w:marLeft w:val="0"/>
      <w:marRight w:val="0"/>
      <w:marTop w:val="0"/>
      <w:marBottom w:val="0"/>
      <w:divBdr>
        <w:top w:val="none" w:sz="0" w:space="0" w:color="auto"/>
        <w:left w:val="none" w:sz="0" w:space="0" w:color="auto"/>
        <w:bottom w:val="none" w:sz="0" w:space="0" w:color="auto"/>
        <w:right w:val="none" w:sz="0" w:space="0" w:color="auto"/>
      </w:divBdr>
    </w:div>
    <w:div w:id="2056469432">
      <w:bodyDiv w:val="1"/>
      <w:marLeft w:val="0"/>
      <w:marRight w:val="0"/>
      <w:marTop w:val="0"/>
      <w:marBottom w:val="0"/>
      <w:divBdr>
        <w:top w:val="none" w:sz="0" w:space="0" w:color="auto"/>
        <w:left w:val="none" w:sz="0" w:space="0" w:color="auto"/>
        <w:bottom w:val="none" w:sz="0" w:space="0" w:color="auto"/>
        <w:right w:val="none" w:sz="0" w:space="0" w:color="auto"/>
      </w:divBdr>
    </w:div>
    <w:div w:id="2057006384">
      <w:bodyDiv w:val="1"/>
      <w:marLeft w:val="0"/>
      <w:marRight w:val="0"/>
      <w:marTop w:val="0"/>
      <w:marBottom w:val="0"/>
      <w:divBdr>
        <w:top w:val="none" w:sz="0" w:space="0" w:color="auto"/>
        <w:left w:val="none" w:sz="0" w:space="0" w:color="auto"/>
        <w:bottom w:val="none" w:sz="0" w:space="0" w:color="auto"/>
        <w:right w:val="none" w:sz="0" w:space="0" w:color="auto"/>
      </w:divBdr>
    </w:div>
    <w:div w:id="2058165204">
      <w:bodyDiv w:val="1"/>
      <w:marLeft w:val="0"/>
      <w:marRight w:val="0"/>
      <w:marTop w:val="0"/>
      <w:marBottom w:val="0"/>
      <w:divBdr>
        <w:top w:val="none" w:sz="0" w:space="0" w:color="auto"/>
        <w:left w:val="none" w:sz="0" w:space="0" w:color="auto"/>
        <w:bottom w:val="none" w:sz="0" w:space="0" w:color="auto"/>
        <w:right w:val="none" w:sz="0" w:space="0" w:color="auto"/>
      </w:divBdr>
    </w:div>
    <w:div w:id="2059890513">
      <w:bodyDiv w:val="1"/>
      <w:marLeft w:val="0"/>
      <w:marRight w:val="0"/>
      <w:marTop w:val="0"/>
      <w:marBottom w:val="0"/>
      <w:divBdr>
        <w:top w:val="none" w:sz="0" w:space="0" w:color="auto"/>
        <w:left w:val="none" w:sz="0" w:space="0" w:color="auto"/>
        <w:bottom w:val="none" w:sz="0" w:space="0" w:color="auto"/>
        <w:right w:val="none" w:sz="0" w:space="0" w:color="auto"/>
      </w:divBdr>
    </w:div>
    <w:div w:id="2061048445">
      <w:bodyDiv w:val="1"/>
      <w:marLeft w:val="0"/>
      <w:marRight w:val="0"/>
      <w:marTop w:val="0"/>
      <w:marBottom w:val="0"/>
      <w:divBdr>
        <w:top w:val="none" w:sz="0" w:space="0" w:color="auto"/>
        <w:left w:val="none" w:sz="0" w:space="0" w:color="auto"/>
        <w:bottom w:val="none" w:sz="0" w:space="0" w:color="auto"/>
        <w:right w:val="none" w:sz="0" w:space="0" w:color="auto"/>
      </w:divBdr>
    </w:div>
    <w:div w:id="2061592887">
      <w:bodyDiv w:val="1"/>
      <w:marLeft w:val="0"/>
      <w:marRight w:val="0"/>
      <w:marTop w:val="0"/>
      <w:marBottom w:val="0"/>
      <w:divBdr>
        <w:top w:val="none" w:sz="0" w:space="0" w:color="auto"/>
        <w:left w:val="none" w:sz="0" w:space="0" w:color="auto"/>
        <w:bottom w:val="none" w:sz="0" w:space="0" w:color="auto"/>
        <w:right w:val="none" w:sz="0" w:space="0" w:color="auto"/>
      </w:divBdr>
    </w:div>
    <w:div w:id="2063745683">
      <w:bodyDiv w:val="1"/>
      <w:marLeft w:val="0"/>
      <w:marRight w:val="0"/>
      <w:marTop w:val="0"/>
      <w:marBottom w:val="0"/>
      <w:divBdr>
        <w:top w:val="none" w:sz="0" w:space="0" w:color="auto"/>
        <w:left w:val="none" w:sz="0" w:space="0" w:color="auto"/>
        <w:bottom w:val="none" w:sz="0" w:space="0" w:color="auto"/>
        <w:right w:val="none" w:sz="0" w:space="0" w:color="auto"/>
      </w:divBdr>
    </w:div>
    <w:div w:id="2066833420">
      <w:bodyDiv w:val="1"/>
      <w:marLeft w:val="0"/>
      <w:marRight w:val="0"/>
      <w:marTop w:val="0"/>
      <w:marBottom w:val="0"/>
      <w:divBdr>
        <w:top w:val="none" w:sz="0" w:space="0" w:color="auto"/>
        <w:left w:val="none" w:sz="0" w:space="0" w:color="auto"/>
        <w:bottom w:val="none" w:sz="0" w:space="0" w:color="auto"/>
        <w:right w:val="none" w:sz="0" w:space="0" w:color="auto"/>
      </w:divBdr>
    </w:div>
    <w:div w:id="2067482438">
      <w:bodyDiv w:val="1"/>
      <w:marLeft w:val="0"/>
      <w:marRight w:val="0"/>
      <w:marTop w:val="0"/>
      <w:marBottom w:val="0"/>
      <w:divBdr>
        <w:top w:val="none" w:sz="0" w:space="0" w:color="auto"/>
        <w:left w:val="none" w:sz="0" w:space="0" w:color="auto"/>
        <w:bottom w:val="none" w:sz="0" w:space="0" w:color="auto"/>
        <w:right w:val="none" w:sz="0" w:space="0" w:color="auto"/>
      </w:divBdr>
    </w:div>
    <w:div w:id="2068868440">
      <w:bodyDiv w:val="1"/>
      <w:marLeft w:val="0"/>
      <w:marRight w:val="0"/>
      <w:marTop w:val="0"/>
      <w:marBottom w:val="0"/>
      <w:divBdr>
        <w:top w:val="none" w:sz="0" w:space="0" w:color="auto"/>
        <w:left w:val="none" w:sz="0" w:space="0" w:color="auto"/>
        <w:bottom w:val="none" w:sz="0" w:space="0" w:color="auto"/>
        <w:right w:val="none" w:sz="0" w:space="0" w:color="auto"/>
      </w:divBdr>
    </w:div>
    <w:div w:id="2070490098">
      <w:bodyDiv w:val="1"/>
      <w:marLeft w:val="0"/>
      <w:marRight w:val="0"/>
      <w:marTop w:val="0"/>
      <w:marBottom w:val="0"/>
      <w:divBdr>
        <w:top w:val="none" w:sz="0" w:space="0" w:color="auto"/>
        <w:left w:val="none" w:sz="0" w:space="0" w:color="auto"/>
        <w:bottom w:val="none" w:sz="0" w:space="0" w:color="auto"/>
        <w:right w:val="none" w:sz="0" w:space="0" w:color="auto"/>
      </w:divBdr>
    </w:div>
    <w:div w:id="2071880105">
      <w:bodyDiv w:val="1"/>
      <w:marLeft w:val="0"/>
      <w:marRight w:val="0"/>
      <w:marTop w:val="0"/>
      <w:marBottom w:val="0"/>
      <w:divBdr>
        <w:top w:val="none" w:sz="0" w:space="0" w:color="auto"/>
        <w:left w:val="none" w:sz="0" w:space="0" w:color="auto"/>
        <w:bottom w:val="none" w:sz="0" w:space="0" w:color="auto"/>
        <w:right w:val="none" w:sz="0" w:space="0" w:color="auto"/>
      </w:divBdr>
    </w:div>
    <w:div w:id="2073312654">
      <w:bodyDiv w:val="1"/>
      <w:marLeft w:val="0"/>
      <w:marRight w:val="0"/>
      <w:marTop w:val="0"/>
      <w:marBottom w:val="0"/>
      <w:divBdr>
        <w:top w:val="none" w:sz="0" w:space="0" w:color="auto"/>
        <w:left w:val="none" w:sz="0" w:space="0" w:color="auto"/>
        <w:bottom w:val="none" w:sz="0" w:space="0" w:color="auto"/>
        <w:right w:val="none" w:sz="0" w:space="0" w:color="auto"/>
      </w:divBdr>
    </w:div>
    <w:div w:id="2075422276">
      <w:bodyDiv w:val="1"/>
      <w:marLeft w:val="0"/>
      <w:marRight w:val="0"/>
      <w:marTop w:val="0"/>
      <w:marBottom w:val="0"/>
      <w:divBdr>
        <w:top w:val="none" w:sz="0" w:space="0" w:color="auto"/>
        <w:left w:val="none" w:sz="0" w:space="0" w:color="auto"/>
        <w:bottom w:val="none" w:sz="0" w:space="0" w:color="auto"/>
        <w:right w:val="none" w:sz="0" w:space="0" w:color="auto"/>
      </w:divBdr>
    </w:div>
    <w:div w:id="2076009133">
      <w:bodyDiv w:val="1"/>
      <w:marLeft w:val="0"/>
      <w:marRight w:val="0"/>
      <w:marTop w:val="0"/>
      <w:marBottom w:val="0"/>
      <w:divBdr>
        <w:top w:val="none" w:sz="0" w:space="0" w:color="auto"/>
        <w:left w:val="none" w:sz="0" w:space="0" w:color="auto"/>
        <w:bottom w:val="none" w:sz="0" w:space="0" w:color="auto"/>
        <w:right w:val="none" w:sz="0" w:space="0" w:color="auto"/>
      </w:divBdr>
    </w:div>
    <w:div w:id="2077581093">
      <w:bodyDiv w:val="1"/>
      <w:marLeft w:val="0"/>
      <w:marRight w:val="0"/>
      <w:marTop w:val="0"/>
      <w:marBottom w:val="0"/>
      <w:divBdr>
        <w:top w:val="none" w:sz="0" w:space="0" w:color="auto"/>
        <w:left w:val="none" w:sz="0" w:space="0" w:color="auto"/>
        <w:bottom w:val="none" w:sz="0" w:space="0" w:color="auto"/>
        <w:right w:val="none" w:sz="0" w:space="0" w:color="auto"/>
      </w:divBdr>
    </w:div>
    <w:div w:id="2080055724">
      <w:bodyDiv w:val="1"/>
      <w:marLeft w:val="0"/>
      <w:marRight w:val="0"/>
      <w:marTop w:val="0"/>
      <w:marBottom w:val="0"/>
      <w:divBdr>
        <w:top w:val="none" w:sz="0" w:space="0" w:color="auto"/>
        <w:left w:val="none" w:sz="0" w:space="0" w:color="auto"/>
        <w:bottom w:val="none" w:sz="0" w:space="0" w:color="auto"/>
        <w:right w:val="none" w:sz="0" w:space="0" w:color="auto"/>
      </w:divBdr>
    </w:div>
    <w:div w:id="2080863965">
      <w:bodyDiv w:val="1"/>
      <w:marLeft w:val="0"/>
      <w:marRight w:val="0"/>
      <w:marTop w:val="0"/>
      <w:marBottom w:val="0"/>
      <w:divBdr>
        <w:top w:val="none" w:sz="0" w:space="0" w:color="auto"/>
        <w:left w:val="none" w:sz="0" w:space="0" w:color="auto"/>
        <w:bottom w:val="none" w:sz="0" w:space="0" w:color="auto"/>
        <w:right w:val="none" w:sz="0" w:space="0" w:color="auto"/>
      </w:divBdr>
    </w:div>
    <w:div w:id="2083063349">
      <w:bodyDiv w:val="1"/>
      <w:marLeft w:val="0"/>
      <w:marRight w:val="0"/>
      <w:marTop w:val="0"/>
      <w:marBottom w:val="0"/>
      <w:divBdr>
        <w:top w:val="none" w:sz="0" w:space="0" w:color="auto"/>
        <w:left w:val="none" w:sz="0" w:space="0" w:color="auto"/>
        <w:bottom w:val="none" w:sz="0" w:space="0" w:color="auto"/>
        <w:right w:val="none" w:sz="0" w:space="0" w:color="auto"/>
      </w:divBdr>
    </w:div>
    <w:div w:id="2084527567">
      <w:bodyDiv w:val="1"/>
      <w:marLeft w:val="0"/>
      <w:marRight w:val="0"/>
      <w:marTop w:val="0"/>
      <w:marBottom w:val="0"/>
      <w:divBdr>
        <w:top w:val="none" w:sz="0" w:space="0" w:color="auto"/>
        <w:left w:val="none" w:sz="0" w:space="0" w:color="auto"/>
        <w:bottom w:val="none" w:sz="0" w:space="0" w:color="auto"/>
        <w:right w:val="none" w:sz="0" w:space="0" w:color="auto"/>
      </w:divBdr>
    </w:div>
    <w:div w:id="2085182502">
      <w:bodyDiv w:val="1"/>
      <w:marLeft w:val="0"/>
      <w:marRight w:val="0"/>
      <w:marTop w:val="0"/>
      <w:marBottom w:val="0"/>
      <w:divBdr>
        <w:top w:val="none" w:sz="0" w:space="0" w:color="auto"/>
        <w:left w:val="none" w:sz="0" w:space="0" w:color="auto"/>
        <w:bottom w:val="none" w:sz="0" w:space="0" w:color="auto"/>
        <w:right w:val="none" w:sz="0" w:space="0" w:color="auto"/>
      </w:divBdr>
    </w:div>
    <w:div w:id="2086299657">
      <w:bodyDiv w:val="1"/>
      <w:marLeft w:val="0"/>
      <w:marRight w:val="0"/>
      <w:marTop w:val="0"/>
      <w:marBottom w:val="0"/>
      <w:divBdr>
        <w:top w:val="none" w:sz="0" w:space="0" w:color="auto"/>
        <w:left w:val="none" w:sz="0" w:space="0" w:color="auto"/>
        <w:bottom w:val="none" w:sz="0" w:space="0" w:color="auto"/>
        <w:right w:val="none" w:sz="0" w:space="0" w:color="auto"/>
      </w:divBdr>
    </w:div>
    <w:div w:id="2087679618">
      <w:bodyDiv w:val="1"/>
      <w:marLeft w:val="0"/>
      <w:marRight w:val="0"/>
      <w:marTop w:val="0"/>
      <w:marBottom w:val="0"/>
      <w:divBdr>
        <w:top w:val="none" w:sz="0" w:space="0" w:color="auto"/>
        <w:left w:val="none" w:sz="0" w:space="0" w:color="auto"/>
        <w:bottom w:val="none" w:sz="0" w:space="0" w:color="auto"/>
        <w:right w:val="none" w:sz="0" w:space="0" w:color="auto"/>
      </w:divBdr>
    </w:div>
    <w:div w:id="2091005989">
      <w:bodyDiv w:val="1"/>
      <w:marLeft w:val="0"/>
      <w:marRight w:val="0"/>
      <w:marTop w:val="0"/>
      <w:marBottom w:val="0"/>
      <w:divBdr>
        <w:top w:val="none" w:sz="0" w:space="0" w:color="auto"/>
        <w:left w:val="none" w:sz="0" w:space="0" w:color="auto"/>
        <w:bottom w:val="none" w:sz="0" w:space="0" w:color="auto"/>
        <w:right w:val="none" w:sz="0" w:space="0" w:color="auto"/>
      </w:divBdr>
    </w:div>
    <w:div w:id="2091535846">
      <w:bodyDiv w:val="1"/>
      <w:marLeft w:val="0"/>
      <w:marRight w:val="0"/>
      <w:marTop w:val="0"/>
      <w:marBottom w:val="0"/>
      <w:divBdr>
        <w:top w:val="none" w:sz="0" w:space="0" w:color="auto"/>
        <w:left w:val="none" w:sz="0" w:space="0" w:color="auto"/>
        <w:bottom w:val="none" w:sz="0" w:space="0" w:color="auto"/>
        <w:right w:val="none" w:sz="0" w:space="0" w:color="auto"/>
      </w:divBdr>
    </w:div>
    <w:div w:id="2092775851">
      <w:bodyDiv w:val="1"/>
      <w:marLeft w:val="0"/>
      <w:marRight w:val="0"/>
      <w:marTop w:val="0"/>
      <w:marBottom w:val="0"/>
      <w:divBdr>
        <w:top w:val="none" w:sz="0" w:space="0" w:color="auto"/>
        <w:left w:val="none" w:sz="0" w:space="0" w:color="auto"/>
        <w:bottom w:val="none" w:sz="0" w:space="0" w:color="auto"/>
        <w:right w:val="none" w:sz="0" w:space="0" w:color="auto"/>
      </w:divBdr>
    </w:div>
    <w:div w:id="2093232087">
      <w:bodyDiv w:val="1"/>
      <w:marLeft w:val="0"/>
      <w:marRight w:val="0"/>
      <w:marTop w:val="0"/>
      <w:marBottom w:val="0"/>
      <w:divBdr>
        <w:top w:val="none" w:sz="0" w:space="0" w:color="auto"/>
        <w:left w:val="none" w:sz="0" w:space="0" w:color="auto"/>
        <w:bottom w:val="none" w:sz="0" w:space="0" w:color="auto"/>
        <w:right w:val="none" w:sz="0" w:space="0" w:color="auto"/>
      </w:divBdr>
    </w:div>
    <w:div w:id="2097246892">
      <w:bodyDiv w:val="1"/>
      <w:marLeft w:val="0"/>
      <w:marRight w:val="0"/>
      <w:marTop w:val="0"/>
      <w:marBottom w:val="0"/>
      <w:divBdr>
        <w:top w:val="none" w:sz="0" w:space="0" w:color="auto"/>
        <w:left w:val="none" w:sz="0" w:space="0" w:color="auto"/>
        <w:bottom w:val="none" w:sz="0" w:space="0" w:color="auto"/>
        <w:right w:val="none" w:sz="0" w:space="0" w:color="auto"/>
      </w:divBdr>
    </w:div>
    <w:div w:id="2098552816">
      <w:bodyDiv w:val="1"/>
      <w:marLeft w:val="0"/>
      <w:marRight w:val="0"/>
      <w:marTop w:val="0"/>
      <w:marBottom w:val="0"/>
      <w:divBdr>
        <w:top w:val="none" w:sz="0" w:space="0" w:color="auto"/>
        <w:left w:val="none" w:sz="0" w:space="0" w:color="auto"/>
        <w:bottom w:val="none" w:sz="0" w:space="0" w:color="auto"/>
        <w:right w:val="none" w:sz="0" w:space="0" w:color="auto"/>
      </w:divBdr>
    </w:div>
    <w:div w:id="2102605444">
      <w:bodyDiv w:val="1"/>
      <w:marLeft w:val="0"/>
      <w:marRight w:val="0"/>
      <w:marTop w:val="0"/>
      <w:marBottom w:val="0"/>
      <w:divBdr>
        <w:top w:val="none" w:sz="0" w:space="0" w:color="auto"/>
        <w:left w:val="none" w:sz="0" w:space="0" w:color="auto"/>
        <w:bottom w:val="none" w:sz="0" w:space="0" w:color="auto"/>
        <w:right w:val="none" w:sz="0" w:space="0" w:color="auto"/>
      </w:divBdr>
    </w:div>
    <w:div w:id="2113699107">
      <w:bodyDiv w:val="1"/>
      <w:marLeft w:val="0"/>
      <w:marRight w:val="0"/>
      <w:marTop w:val="0"/>
      <w:marBottom w:val="0"/>
      <w:divBdr>
        <w:top w:val="none" w:sz="0" w:space="0" w:color="auto"/>
        <w:left w:val="none" w:sz="0" w:space="0" w:color="auto"/>
        <w:bottom w:val="none" w:sz="0" w:space="0" w:color="auto"/>
        <w:right w:val="none" w:sz="0" w:space="0" w:color="auto"/>
      </w:divBdr>
    </w:div>
    <w:div w:id="2114084770">
      <w:bodyDiv w:val="1"/>
      <w:marLeft w:val="0"/>
      <w:marRight w:val="0"/>
      <w:marTop w:val="0"/>
      <w:marBottom w:val="0"/>
      <w:divBdr>
        <w:top w:val="none" w:sz="0" w:space="0" w:color="auto"/>
        <w:left w:val="none" w:sz="0" w:space="0" w:color="auto"/>
        <w:bottom w:val="none" w:sz="0" w:space="0" w:color="auto"/>
        <w:right w:val="none" w:sz="0" w:space="0" w:color="auto"/>
      </w:divBdr>
    </w:div>
    <w:div w:id="2114130711">
      <w:bodyDiv w:val="1"/>
      <w:marLeft w:val="0"/>
      <w:marRight w:val="0"/>
      <w:marTop w:val="0"/>
      <w:marBottom w:val="0"/>
      <w:divBdr>
        <w:top w:val="none" w:sz="0" w:space="0" w:color="auto"/>
        <w:left w:val="none" w:sz="0" w:space="0" w:color="auto"/>
        <w:bottom w:val="none" w:sz="0" w:space="0" w:color="auto"/>
        <w:right w:val="none" w:sz="0" w:space="0" w:color="auto"/>
      </w:divBdr>
    </w:div>
    <w:div w:id="2114470579">
      <w:bodyDiv w:val="1"/>
      <w:marLeft w:val="0"/>
      <w:marRight w:val="0"/>
      <w:marTop w:val="0"/>
      <w:marBottom w:val="0"/>
      <w:divBdr>
        <w:top w:val="none" w:sz="0" w:space="0" w:color="auto"/>
        <w:left w:val="none" w:sz="0" w:space="0" w:color="auto"/>
        <w:bottom w:val="none" w:sz="0" w:space="0" w:color="auto"/>
        <w:right w:val="none" w:sz="0" w:space="0" w:color="auto"/>
      </w:divBdr>
    </w:div>
    <w:div w:id="2115661490">
      <w:bodyDiv w:val="1"/>
      <w:marLeft w:val="0"/>
      <w:marRight w:val="0"/>
      <w:marTop w:val="0"/>
      <w:marBottom w:val="0"/>
      <w:divBdr>
        <w:top w:val="none" w:sz="0" w:space="0" w:color="auto"/>
        <w:left w:val="none" w:sz="0" w:space="0" w:color="auto"/>
        <w:bottom w:val="none" w:sz="0" w:space="0" w:color="auto"/>
        <w:right w:val="none" w:sz="0" w:space="0" w:color="auto"/>
      </w:divBdr>
    </w:div>
    <w:div w:id="2122146133">
      <w:bodyDiv w:val="1"/>
      <w:marLeft w:val="0"/>
      <w:marRight w:val="0"/>
      <w:marTop w:val="0"/>
      <w:marBottom w:val="0"/>
      <w:divBdr>
        <w:top w:val="none" w:sz="0" w:space="0" w:color="auto"/>
        <w:left w:val="none" w:sz="0" w:space="0" w:color="auto"/>
        <w:bottom w:val="none" w:sz="0" w:space="0" w:color="auto"/>
        <w:right w:val="none" w:sz="0" w:space="0" w:color="auto"/>
      </w:divBdr>
    </w:div>
    <w:div w:id="2122406966">
      <w:bodyDiv w:val="1"/>
      <w:marLeft w:val="0"/>
      <w:marRight w:val="0"/>
      <w:marTop w:val="0"/>
      <w:marBottom w:val="0"/>
      <w:divBdr>
        <w:top w:val="none" w:sz="0" w:space="0" w:color="auto"/>
        <w:left w:val="none" w:sz="0" w:space="0" w:color="auto"/>
        <w:bottom w:val="none" w:sz="0" w:space="0" w:color="auto"/>
        <w:right w:val="none" w:sz="0" w:space="0" w:color="auto"/>
      </w:divBdr>
    </w:div>
    <w:div w:id="2124493048">
      <w:bodyDiv w:val="1"/>
      <w:marLeft w:val="0"/>
      <w:marRight w:val="0"/>
      <w:marTop w:val="0"/>
      <w:marBottom w:val="0"/>
      <w:divBdr>
        <w:top w:val="none" w:sz="0" w:space="0" w:color="auto"/>
        <w:left w:val="none" w:sz="0" w:space="0" w:color="auto"/>
        <w:bottom w:val="none" w:sz="0" w:space="0" w:color="auto"/>
        <w:right w:val="none" w:sz="0" w:space="0" w:color="auto"/>
      </w:divBdr>
    </w:div>
    <w:div w:id="2129734748">
      <w:bodyDiv w:val="1"/>
      <w:marLeft w:val="0"/>
      <w:marRight w:val="0"/>
      <w:marTop w:val="0"/>
      <w:marBottom w:val="0"/>
      <w:divBdr>
        <w:top w:val="none" w:sz="0" w:space="0" w:color="auto"/>
        <w:left w:val="none" w:sz="0" w:space="0" w:color="auto"/>
        <w:bottom w:val="none" w:sz="0" w:space="0" w:color="auto"/>
        <w:right w:val="none" w:sz="0" w:space="0" w:color="auto"/>
      </w:divBdr>
    </w:div>
    <w:div w:id="2129927251">
      <w:bodyDiv w:val="1"/>
      <w:marLeft w:val="0"/>
      <w:marRight w:val="0"/>
      <w:marTop w:val="0"/>
      <w:marBottom w:val="0"/>
      <w:divBdr>
        <w:top w:val="none" w:sz="0" w:space="0" w:color="auto"/>
        <w:left w:val="none" w:sz="0" w:space="0" w:color="auto"/>
        <w:bottom w:val="none" w:sz="0" w:space="0" w:color="auto"/>
        <w:right w:val="none" w:sz="0" w:space="0" w:color="auto"/>
      </w:divBdr>
    </w:div>
    <w:div w:id="2137721412">
      <w:bodyDiv w:val="1"/>
      <w:marLeft w:val="0"/>
      <w:marRight w:val="0"/>
      <w:marTop w:val="0"/>
      <w:marBottom w:val="0"/>
      <w:divBdr>
        <w:top w:val="none" w:sz="0" w:space="0" w:color="auto"/>
        <w:left w:val="none" w:sz="0" w:space="0" w:color="auto"/>
        <w:bottom w:val="none" w:sz="0" w:space="0" w:color="auto"/>
        <w:right w:val="none" w:sz="0" w:space="0" w:color="auto"/>
      </w:divBdr>
    </w:div>
    <w:div w:id="2138910982">
      <w:bodyDiv w:val="1"/>
      <w:marLeft w:val="0"/>
      <w:marRight w:val="0"/>
      <w:marTop w:val="0"/>
      <w:marBottom w:val="0"/>
      <w:divBdr>
        <w:top w:val="none" w:sz="0" w:space="0" w:color="auto"/>
        <w:left w:val="none" w:sz="0" w:space="0" w:color="auto"/>
        <w:bottom w:val="none" w:sz="0" w:space="0" w:color="auto"/>
        <w:right w:val="none" w:sz="0" w:space="0" w:color="auto"/>
      </w:divBdr>
    </w:div>
    <w:div w:id="2139715919">
      <w:bodyDiv w:val="1"/>
      <w:marLeft w:val="0"/>
      <w:marRight w:val="0"/>
      <w:marTop w:val="0"/>
      <w:marBottom w:val="0"/>
      <w:divBdr>
        <w:top w:val="none" w:sz="0" w:space="0" w:color="auto"/>
        <w:left w:val="none" w:sz="0" w:space="0" w:color="auto"/>
        <w:bottom w:val="none" w:sz="0" w:space="0" w:color="auto"/>
        <w:right w:val="none" w:sz="0" w:space="0" w:color="auto"/>
      </w:divBdr>
    </w:div>
    <w:div w:id="2139764157">
      <w:bodyDiv w:val="1"/>
      <w:marLeft w:val="0"/>
      <w:marRight w:val="0"/>
      <w:marTop w:val="0"/>
      <w:marBottom w:val="0"/>
      <w:divBdr>
        <w:top w:val="none" w:sz="0" w:space="0" w:color="auto"/>
        <w:left w:val="none" w:sz="0" w:space="0" w:color="auto"/>
        <w:bottom w:val="none" w:sz="0" w:space="0" w:color="auto"/>
        <w:right w:val="none" w:sz="0" w:space="0" w:color="auto"/>
      </w:divBdr>
    </w:div>
    <w:div w:id="2143770165">
      <w:bodyDiv w:val="1"/>
      <w:marLeft w:val="0"/>
      <w:marRight w:val="0"/>
      <w:marTop w:val="0"/>
      <w:marBottom w:val="0"/>
      <w:divBdr>
        <w:top w:val="none" w:sz="0" w:space="0" w:color="auto"/>
        <w:left w:val="none" w:sz="0" w:space="0" w:color="auto"/>
        <w:bottom w:val="none" w:sz="0" w:space="0" w:color="auto"/>
        <w:right w:val="none" w:sz="0" w:space="0" w:color="auto"/>
      </w:divBdr>
    </w:div>
    <w:div w:id="2145615677">
      <w:bodyDiv w:val="1"/>
      <w:marLeft w:val="0"/>
      <w:marRight w:val="0"/>
      <w:marTop w:val="0"/>
      <w:marBottom w:val="0"/>
      <w:divBdr>
        <w:top w:val="none" w:sz="0" w:space="0" w:color="auto"/>
        <w:left w:val="none" w:sz="0" w:space="0" w:color="auto"/>
        <w:bottom w:val="none" w:sz="0" w:space="0" w:color="auto"/>
        <w:right w:val="none" w:sz="0" w:space="0" w:color="auto"/>
      </w:divBdr>
    </w:div>
    <w:div w:id="2146967271">
      <w:bodyDiv w:val="1"/>
      <w:marLeft w:val="0"/>
      <w:marRight w:val="0"/>
      <w:marTop w:val="0"/>
      <w:marBottom w:val="0"/>
      <w:divBdr>
        <w:top w:val="none" w:sz="0" w:space="0" w:color="auto"/>
        <w:left w:val="none" w:sz="0" w:space="0" w:color="auto"/>
        <w:bottom w:val="none" w:sz="0" w:space="0" w:color="auto"/>
        <w:right w:val="none" w:sz="0" w:space="0" w:color="auto"/>
      </w:divBdr>
    </w:div>
    <w:div w:id="2147115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diagramLayout" Target="diagrams/layout1.xml"/><Relationship Id="rId39" Type="http://schemas.openxmlformats.org/officeDocument/2006/relationships/chart" Target="charts/chart18.xml"/><Relationship Id="rId21" Type="http://schemas.openxmlformats.org/officeDocument/2006/relationships/chart" Target="charts/chart6.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microsoft.com/office/2007/relationships/diagramDrawing" Target="diagrams/drawing1.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1.xml"/><Relationship Id="rId58" Type="http://schemas.openxmlformats.org/officeDocument/2006/relationships/chart" Target="charts/chart36.xm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chart" Target="charts/chart4.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diagramQuickStyle" Target="diagrams/quickStyle1.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diagramData" Target="diagrams/data1.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hyperlink" Target="https://colombiafintech.co/lineaDeTiempo/publicaciones" TargetMode="External"/><Relationship Id="rId59" Type="http://schemas.openxmlformats.org/officeDocument/2006/relationships/image" Target="media/image3.emf"/><Relationship Id="rId20" Type="http://schemas.openxmlformats.org/officeDocument/2006/relationships/chart" Target="charts/chart5.xml"/><Relationship Id="rId41" Type="http://schemas.openxmlformats.org/officeDocument/2006/relationships/chart" Target="charts/chart20.xml"/><Relationship Id="rId54" Type="http://schemas.openxmlformats.org/officeDocument/2006/relationships/chart" Target="charts/chart3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diagramColors" Target="diagrams/colors1.xml"/><Relationship Id="rId36" Type="http://schemas.openxmlformats.org/officeDocument/2006/relationships/chart" Target="charts/chart15.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footer" Target="footer1.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0.xml"/><Relationship Id="rId6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colombiatic.mintic.gov.co/679/w3-article-197291.html"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Informes%20VM\Ingresos%20de%20correo%20arreglados%20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Informes%20VM\Ingresos%20de%20correo%20arreglados%203.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Informes%20VM\Ingresos%20de%20correo%20arreglados%2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Informaci&#243;n%20postal%202022\Ingresos%20de%20correo%20arreglados%203%202020%2004%2030%20LCG.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Informaci&#243;n%20postal%202022\Ingresos%20de%20correo%20arreglados%203%202020%2004%2030%20LCG.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5.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6.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Informaci&#243;n%20postal%202022\Ingresos%20de%20correo%20arreglados%203%202020%2004%2030%20LCG.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Informaci&#243;n%20postal%202022\Ingresos%20de%20correo%20arreglados%203%202020%2004%2030%20LCG.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Informaci&#243;n%20postal%202022\Ingresos%20de%20correo%20arreglados%203%202020%2004%2030%20LCG.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Informes%20VM\Ingresos%20de%20correo%20arreglados%20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Victor%20Mayorga\AppData\Local\Microsoft\Windows\INetCache\Content.Outlook\U88EX1YN\2022-03-21-Contraprestaci&#243;n%20Postale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9.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0.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Informes%20VM\Ingresos%20de%20correo%20arreglados%20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2022-03-21-Contraprestaci&#243;n%20Postale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EEFF%20OPO\EEFF%20OPO%202013%20_2021%20-%20Serie%202019%20-%202021-cON%20NUEVAS%20CIFRAS%20DEL%20SPU.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uis%20Carlos\Documents\Documents\Gesti&#243;n%20de%20Servicios\MinTic%202022%20Postales\Informes%20VM\Ingresos%20de%20correo%20arreglados%2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Informaci&#243;n%20postal%202022\Ingresos%20de%20correo%20arreglados%203%202020%2004%2030%20LC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Informaci&#243;n%20postal%202022\Ingresos%20de%20correo%20arreglados%203%202020%2004%2030%20LC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Contraprestaciones\2022-03-18-Contraprestaciones%202014-2021.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EEFF%20OPO\EEFF%20OPO%202013%20_2021%20-%20Serie%202019%20-%202021-cON%20NUEVAS%20CIFRAS%20DEL%20SPU.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ictor%20Mayorga\Documents\V&#237;ctor%20Mayorga%20T\MinTic\2022-Contraprestaciones%20postales\Informaci&#243;n\EEFF%20OPO\Copia%20de%20seguridad%20de%20EEFF%20OPO%202013%20_2021%20-%20Serie%202019%20-%202021-cON%20NUEVAS%20CIFRAS%20DEL%20SPU.xlk"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11299278383508"/>
          <c:y val="5.6549460942533332E-2"/>
          <c:w val="0.85033149672374608"/>
          <c:h val="0.49476540922580764"/>
        </c:manualLayout>
      </c:layout>
      <c:barChart>
        <c:barDir val="col"/>
        <c:grouping val="clustered"/>
        <c:varyColors val="0"/>
        <c:ser>
          <c:idx val="0"/>
          <c:order val="0"/>
          <c:tx>
            <c:strRef>
              <c:f>'Gráficas Real'!$B$26</c:f>
              <c:strCache>
                <c:ptCount val="1"/>
                <c:pt idx="0">
                  <c:v>Correo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'Gráficas Real'!$C$25:$J$25</c:f>
              <c:numCache>
                <c:formatCode>0</c:formatCode>
                <c:ptCount val="8"/>
                <c:pt idx="0">
                  <c:v>2014</c:v>
                </c:pt>
                <c:pt idx="1">
                  <c:v>2015</c:v>
                </c:pt>
                <c:pt idx="2">
                  <c:v>2016</c:v>
                </c:pt>
                <c:pt idx="3">
                  <c:v>2017</c:v>
                </c:pt>
                <c:pt idx="4">
                  <c:v>2018</c:v>
                </c:pt>
                <c:pt idx="5">
                  <c:v>2019</c:v>
                </c:pt>
                <c:pt idx="6">
                  <c:v>2020</c:v>
                </c:pt>
                <c:pt idx="7">
                  <c:v>2021</c:v>
                </c:pt>
              </c:numCache>
            </c:numRef>
          </c:cat>
          <c:val>
            <c:numRef>
              <c:f>'Gráficas Real'!$C$26:$J$26</c:f>
              <c:numCache>
                <c:formatCode>#,##0</c:formatCode>
                <c:ptCount val="8"/>
                <c:pt idx="0">
                  <c:v>263885.00078533863</c:v>
                </c:pt>
                <c:pt idx="1">
                  <c:v>255533.98687019534</c:v>
                </c:pt>
                <c:pt idx="2">
                  <c:v>191532.14665729672</c:v>
                </c:pt>
                <c:pt idx="3">
                  <c:v>191810.20189616806</c:v>
                </c:pt>
                <c:pt idx="4">
                  <c:v>183177.20118936352</c:v>
                </c:pt>
                <c:pt idx="5">
                  <c:v>186981.35846678514</c:v>
                </c:pt>
                <c:pt idx="6">
                  <c:v>167272.86065370703</c:v>
                </c:pt>
                <c:pt idx="7">
                  <c:v>112111.43319969001</c:v>
                </c:pt>
              </c:numCache>
            </c:numRef>
          </c:val>
          <c:extLst>
            <c:ext xmlns:c16="http://schemas.microsoft.com/office/drawing/2014/chart" uri="{C3380CC4-5D6E-409C-BE32-E72D297353CC}">
              <c16:uniqueId val="{00000000-CCAB-462E-9AD6-01B47CBA7D29}"/>
            </c:ext>
          </c:extLst>
        </c:ser>
        <c:ser>
          <c:idx val="2"/>
          <c:order val="1"/>
          <c:tx>
            <c:strRef>
              <c:f>'Gráficas Real'!$B$28</c:f>
              <c:strCache>
                <c:ptCount val="1"/>
                <c:pt idx="0">
                  <c:v>Mensajería expresa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numRef>
              <c:f>'Gráficas Real'!$C$25:$J$25</c:f>
              <c:numCache>
                <c:formatCode>0</c:formatCode>
                <c:ptCount val="8"/>
                <c:pt idx="0">
                  <c:v>2014</c:v>
                </c:pt>
                <c:pt idx="1">
                  <c:v>2015</c:v>
                </c:pt>
                <c:pt idx="2">
                  <c:v>2016</c:v>
                </c:pt>
                <c:pt idx="3">
                  <c:v>2017</c:v>
                </c:pt>
                <c:pt idx="4">
                  <c:v>2018</c:v>
                </c:pt>
                <c:pt idx="5">
                  <c:v>2019</c:v>
                </c:pt>
                <c:pt idx="6">
                  <c:v>2020</c:v>
                </c:pt>
                <c:pt idx="7">
                  <c:v>2021</c:v>
                </c:pt>
              </c:numCache>
            </c:numRef>
          </c:cat>
          <c:val>
            <c:numRef>
              <c:f>'Gráficas Real'!$C$28:$J$28</c:f>
              <c:numCache>
                <c:formatCode>#,##0</c:formatCode>
                <c:ptCount val="8"/>
                <c:pt idx="0">
                  <c:v>1102163.0176878504</c:v>
                </c:pt>
                <c:pt idx="1">
                  <c:v>1075627.4034772904</c:v>
                </c:pt>
                <c:pt idx="2">
                  <c:v>1115045.1447876631</c:v>
                </c:pt>
                <c:pt idx="3">
                  <c:v>1095896.8817855443</c:v>
                </c:pt>
                <c:pt idx="4">
                  <c:v>1132366.331833564</c:v>
                </c:pt>
                <c:pt idx="5">
                  <c:v>1191966.3229634259</c:v>
                </c:pt>
                <c:pt idx="6">
                  <c:v>1342478.8171109702</c:v>
                </c:pt>
                <c:pt idx="7">
                  <c:v>1451261.882092</c:v>
                </c:pt>
              </c:numCache>
            </c:numRef>
          </c:val>
          <c:extLst>
            <c:ext xmlns:c16="http://schemas.microsoft.com/office/drawing/2014/chart" uri="{C3380CC4-5D6E-409C-BE32-E72D297353CC}">
              <c16:uniqueId val="{00000001-CCAB-462E-9AD6-01B47CBA7D29}"/>
            </c:ext>
          </c:extLst>
        </c:ser>
        <c:ser>
          <c:idx val="1"/>
          <c:order val="2"/>
          <c:tx>
            <c:strRef>
              <c:f>'Gráficas Real'!$B$29</c:f>
              <c:strCache>
                <c:ptCount val="1"/>
                <c:pt idx="0">
                  <c:v>Giros postales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val>
            <c:numRef>
              <c:f>'Gráficas Real'!$C$29:$J$29</c:f>
              <c:numCache>
                <c:formatCode>General</c:formatCode>
                <c:ptCount val="8"/>
                <c:pt idx="3" formatCode="#,##0">
                  <c:v>688648.18691355281</c:v>
                </c:pt>
                <c:pt idx="4" formatCode="#,##0">
                  <c:v>939586.0294463773</c:v>
                </c:pt>
                <c:pt idx="5" formatCode="#,##0">
                  <c:v>962866.03119506838</c:v>
                </c:pt>
                <c:pt idx="6" formatCode="#,##0">
                  <c:v>860662.45826043782</c:v>
                </c:pt>
                <c:pt idx="7" formatCode="#,##0">
                  <c:v>718446.98246700002</c:v>
                </c:pt>
              </c:numCache>
            </c:numRef>
          </c:val>
          <c:extLst>
            <c:ext xmlns:c16="http://schemas.microsoft.com/office/drawing/2014/chart" uri="{C3380CC4-5D6E-409C-BE32-E72D297353CC}">
              <c16:uniqueId val="{00000002-CCAB-462E-9AD6-01B47CBA7D29}"/>
            </c:ext>
          </c:extLst>
        </c:ser>
        <c:dLbls>
          <c:showLegendKey val="0"/>
          <c:showVal val="0"/>
          <c:showCatName val="0"/>
          <c:showSerName val="0"/>
          <c:showPercent val="0"/>
          <c:showBubbleSize val="0"/>
        </c:dLbls>
        <c:gapWidth val="164"/>
        <c:overlap val="-22"/>
        <c:axId val="519598192"/>
        <c:axId val="519599504"/>
        <c:extLst>
          <c:ext xmlns:c15="http://schemas.microsoft.com/office/drawing/2012/chart" uri="{02D57815-91ED-43cb-92C2-25804820EDAC}">
            <c15:filteredBarSeries>
              <c15:ser>
                <c:idx val="3"/>
                <c:order val="3"/>
                <c:tx>
                  <c:strRef>
                    <c:extLst>
                      <c:ext uri="{02D57815-91ED-43cb-92C2-25804820EDAC}">
                        <c15:formulaRef>
                          <c15:sqref>'Gráficas Real'!$B$30</c15:sqref>
                        </c15:formulaRef>
                      </c:ext>
                    </c:extLst>
                    <c:strCache>
                      <c:ptCount val="1"/>
                      <c:pt idx="0">
                        <c:v>Mercado postal</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val>
                  <c:numRef>
                    <c:extLst>
                      <c:ext uri="{02D57815-91ED-43cb-92C2-25804820EDAC}">
                        <c15:formulaRef>
                          <c15:sqref>'Gráficas Real'!$C$30:$J$30</c15:sqref>
                        </c15:formulaRef>
                      </c:ext>
                    </c:extLst>
                    <c:numCache>
                      <c:formatCode>"$"#,##0</c:formatCode>
                      <c:ptCount val="8"/>
                      <c:pt idx="0">
                        <c:v>1387547.2806916959</c:v>
                      </c:pt>
                      <c:pt idx="1">
                        <c:v>1334827.5715236787</c:v>
                      </c:pt>
                      <c:pt idx="2">
                        <c:v>1308568.2683873572</c:v>
                      </c:pt>
                      <c:pt idx="3">
                        <c:v>1976355.2705952651</c:v>
                      </c:pt>
                      <c:pt idx="4">
                        <c:v>2255129.562469305</c:v>
                      </c:pt>
                      <c:pt idx="5">
                        <c:v>2341813.7126252796</c:v>
                      </c:pt>
                      <c:pt idx="6">
                        <c:v>2370414.1360251149</c:v>
                      </c:pt>
                      <c:pt idx="7">
                        <c:v>2281820.2977586901</c:v>
                      </c:pt>
                    </c:numCache>
                  </c:numRef>
                </c:val>
                <c:extLst>
                  <c:ext xmlns:c16="http://schemas.microsoft.com/office/drawing/2014/chart" uri="{C3380CC4-5D6E-409C-BE32-E72D297353CC}">
                    <c16:uniqueId val="{00000003-CCAB-462E-9AD6-01B47CBA7D29}"/>
                  </c:ext>
                </c:extLst>
              </c15:ser>
            </c15:filteredBarSeries>
          </c:ext>
        </c:extLst>
      </c:barChart>
      <c:catAx>
        <c:axId val="519598192"/>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9599504"/>
        <c:crosses val="autoZero"/>
        <c:auto val="1"/>
        <c:lblAlgn val="ctr"/>
        <c:lblOffset val="100"/>
        <c:noMultiLvlLbl val="0"/>
      </c:catAx>
      <c:valAx>
        <c:axId val="519599504"/>
        <c:scaling>
          <c:orientation val="minMax"/>
        </c:scaling>
        <c:delete val="1"/>
        <c:axPos val="l"/>
        <c:numFmt formatCode="#,##0" sourceLinked="1"/>
        <c:majorTickMark val="none"/>
        <c:minorTickMark val="none"/>
        <c:tickLblPos val="nextTo"/>
        <c:crossAx val="5195981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solidFill>
            <a:schemeClr val="bg1">
              <a:lumMod val="7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11299278383508"/>
          <c:y val="3.1293628190093258E-2"/>
          <c:w val="0.85033149672374608"/>
          <c:h val="0.52135966381861842"/>
        </c:manualLayout>
      </c:layout>
      <c:barChart>
        <c:barDir val="col"/>
        <c:grouping val="clustered"/>
        <c:varyColors val="0"/>
        <c:ser>
          <c:idx val="0"/>
          <c:order val="0"/>
          <c:tx>
            <c:strRef>
              <c:f>'Gráficas Real'!$B$26</c:f>
              <c:strCache>
                <c:ptCount val="1"/>
                <c:pt idx="0">
                  <c:v>Correo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'Gráficas Real'!$C$25:$J$25</c:f>
              <c:numCache>
                <c:formatCode>0</c:formatCode>
                <c:ptCount val="8"/>
                <c:pt idx="0">
                  <c:v>2014</c:v>
                </c:pt>
                <c:pt idx="1">
                  <c:v>2015</c:v>
                </c:pt>
                <c:pt idx="2">
                  <c:v>2016</c:v>
                </c:pt>
                <c:pt idx="3">
                  <c:v>2017</c:v>
                </c:pt>
                <c:pt idx="4">
                  <c:v>2018</c:v>
                </c:pt>
                <c:pt idx="5">
                  <c:v>2019</c:v>
                </c:pt>
                <c:pt idx="6">
                  <c:v>2020</c:v>
                </c:pt>
                <c:pt idx="7">
                  <c:v>2021</c:v>
                </c:pt>
              </c:numCache>
            </c:numRef>
          </c:cat>
          <c:val>
            <c:numRef>
              <c:f>'Gráficas Real'!$C$26:$J$26</c:f>
              <c:numCache>
                <c:formatCode>#,##0</c:formatCode>
                <c:ptCount val="8"/>
                <c:pt idx="0">
                  <c:v>263885.00078533863</c:v>
                </c:pt>
                <c:pt idx="1">
                  <c:v>255533.98687019534</c:v>
                </c:pt>
                <c:pt idx="2">
                  <c:v>191532.14665729672</c:v>
                </c:pt>
                <c:pt idx="3">
                  <c:v>191810.20189616806</c:v>
                </c:pt>
                <c:pt idx="4">
                  <c:v>183177.20118936352</c:v>
                </c:pt>
                <c:pt idx="5">
                  <c:v>186981.35846678514</c:v>
                </c:pt>
                <c:pt idx="6">
                  <c:v>167272.86065370703</c:v>
                </c:pt>
                <c:pt idx="7">
                  <c:v>112111.43319969001</c:v>
                </c:pt>
              </c:numCache>
            </c:numRef>
          </c:val>
          <c:extLst>
            <c:ext xmlns:c16="http://schemas.microsoft.com/office/drawing/2014/chart" uri="{C3380CC4-5D6E-409C-BE32-E72D297353CC}">
              <c16:uniqueId val="{00000000-B1F9-4A84-AA92-F86F493E5675}"/>
            </c:ext>
          </c:extLst>
        </c:ser>
        <c:ser>
          <c:idx val="2"/>
          <c:order val="1"/>
          <c:tx>
            <c:strRef>
              <c:f>'Gráficas Real'!$B$28</c:f>
              <c:strCache>
                <c:ptCount val="1"/>
                <c:pt idx="0">
                  <c:v>Mensajería expresa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numRef>
              <c:f>'Gráficas Real'!$C$25:$J$25</c:f>
              <c:numCache>
                <c:formatCode>0</c:formatCode>
                <c:ptCount val="8"/>
                <c:pt idx="0">
                  <c:v>2014</c:v>
                </c:pt>
                <c:pt idx="1">
                  <c:v>2015</c:v>
                </c:pt>
                <c:pt idx="2">
                  <c:v>2016</c:v>
                </c:pt>
                <c:pt idx="3">
                  <c:v>2017</c:v>
                </c:pt>
                <c:pt idx="4">
                  <c:v>2018</c:v>
                </c:pt>
                <c:pt idx="5">
                  <c:v>2019</c:v>
                </c:pt>
                <c:pt idx="6">
                  <c:v>2020</c:v>
                </c:pt>
                <c:pt idx="7">
                  <c:v>2021</c:v>
                </c:pt>
              </c:numCache>
            </c:numRef>
          </c:cat>
          <c:val>
            <c:numRef>
              <c:f>'Gráficas Real'!$C$28:$J$28</c:f>
              <c:numCache>
                <c:formatCode>#,##0</c:formatCode>
                <c:ptCount val="8"/>
                <c:pt idx="0">
                  <c:v>1102163.0176878504</c:v>
                </c:pt>
                <c:pt idx="1">
                  <c:v>1075627.4034772904</c:v>
                </c:pt>
                <c:pt idx="2">
                  <c:v>1115045.1447876631</c:v>
                </c:pt>
                <c:pt idx="3">
                  <c:v>1095896.8817855443</c:v>
                </c:pt>
                <c:pt idx="4">
                  <c:v>1132366.331833564</c:v>
                </c:pt>
                <c:pt idx="5">
                  <c:v>1191966.3229634259</c:v>
                </c:pt>
                <c:pt idx="6">
                  <c:v>1342478.8171109702</c:v>
                </c:pt>
                <c:pt idx="7">
                  <c:v>1451261.882092</c:v>
                </c:pt>
              </c:numCache>
            </c:numRef>
          </c:val>
          <c:extLst>
            <c:ext xmlns:c16="http://schemas.microsoft.com/office/drawing/2014/chart" uri="{C3380CC4-5D6E-409C-BE32-E72D297353CC}">
              <c16:uniqueId val="{00000001-B1F9-4A84-AA92-F86F493E5675}"/>
            </c:ext>
          </c:extLst>
        </c:ser>
        <c:ser>
          <c:idx val="1"/>
          <c:order val="2"/>
          <c:tx>
            <c:strRef>
              <c:f>'Gráficas Real'!$B$29</c:f>
              <c:strCache>
                <c:ptCount val="1"/>
                <c:pt idx="0">
                  <c:v>Giros postales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val>
            <c:numRef>
              <c:f>'Gráficas Real'!$C$29:$J$29</c:f>
              <c:numCache>
                <c:formatCode>General</c:formatCode>
                <c:ptCount val="8"/>
                <c:pt idx="3" formatCode="#,##0">
                  <c:v>688648.18691355281</c:v>
                </c:pt>
                <c:pt idx="4" formatCode="#,##0">
                  <c:v>939586.0294463773</c:v>
                </c:pt>
                <c:pt idx="5" formatCode="#,##0">
                  <c:v>962866.03119506838</c:v>
                </c:pt>
                <c:pt idx="6" formatCode="#,##0">
                  <c:v>860662.45826043782</c:v>
                </c:pt>
                <c:pt idx="7" formatCode="#,##0">
                  <c:v>718446.98246700002</c:v>
                </c:pt>
              </c:numCache>
            </c:numRef>
          </c:val>
          <c:extLst>
            <c:ext xmlns:c16="http://schemas.microsoft.com/office/drawing/2014/chart" uri="{C3380CC4-5D6E-409C-BE32-E72D297353CC}">
              <c16:uniqueId val="{00000002-B1F9-4A84-AA92-F86F493E5675}"/>
            </c:ext>
          </c:extLst>
        </c:ser>
        <c:dLbls>
          <c:showLegendKey val="0"/>
          <c:showVal val="0"/>
          <c:showCatName val="0"/>
          <c:showSerName val="0"/>
          <c:showPercent val="0"/>
          <c:showBubbleSize val="0"/>
        </c:dLbls>
        <c:gapWidth val="164"/>
        <c:overlap val="-22"/>
        <c:axId val="519598192"/>
        <c:axId val="519599504"/>
        <c:extLst>
          <c:ext xmlns:c15="http://schemas.microsoft.com/office/drawing/2012/chart" uri="{02D57815-91ED-43cb-92C2-25804820EDAC}">
            <c15:filteredBarSeries>
              <c15:ser>
                <c:idx val="3"/>
                <c:order val="3"/>
                <c:tx>
                  <c:strRef>
                    <c:extLst>
                      <c:ext uri="{02D57815-91ED-43cb-92C2-25804820EDAC}">
                        <c15:formulaRef>
                          <c15:sqref>'Gráficas Real'!$B$30</c15:sqref>
                        </c15:formulaRef>
                      </c:ext>
                    </c:extLst>
                    <c:strCache>
                      <c:ptCount val="1"/>
                      <c:pt idx="0">
                        <c:v>Mercado postal</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val>
                  <c:numRef>
                    <c:extLst>
                      <c:ext uri="{02D57815-91ED-43cb-92C2-25804820EDAC}">
                        <c15:formulaRef>
                          <c15:sqref>'Gráficas Real'!$C$30:$J$30</c15:sqref>
                        </c15:formulaRef>
                      </c:ext>
                    </c:extLst>
                    <c:numCache>
                      <c:formatCode>"$"#,##0</c:formatCode>
                      <c:ptCount val="8"/>
                      <c:pt idx="0">
                        <c:v>1387547.2806916959</c:v>
                      </c:pt>
                      <c:pt idx="1">
                        <c:v>1334827.5715236787</c:v>
                      </c:pt>
                      <c:pt idx="2">
                        <c:v>1308568.2683873572</c:v>
                      </c:pt>
                      <c:pt idx="3">
                        <c:v>1976355.2705952651</c:v>
                      </c:pt>
                      <c:pt idx="4">
                        <c:v>2255129.562469305</c:v>
                      </c:pt>
                      <c:pt idx="5">
                        <c:v>2341813.7126252796</c:v>
                      </c:pt>
                      <c:pt idx="6">
                        <c:v>2370414.1360251149</c:v>
                      </c:pt>
                      <c:pt idx="7">
                        <c:v>2281820.2977586901</c:v>
                      </c:pt>
                    </c:numCache>
                  </c:numRef>
                </c:val>
                <c:extLst>
                  <c:ext xmlns:c16="http://schemas.microsoft.com/office/drawing/2014/chart" uri="{C3380CC4-5D6E-409C-BE32-E72D297353CC}">
                    <c16:uniqueId val="{00000003-B1F9-4A84-AA92-F86F493E5675}"/>
                  </c:ext>
                </c:extLst>
              </c15:ser>
            </c15:filteredBarSeries>
          </c:ext>
        </c:extLst>
      </c:barChart>
      <c:catAx>
        <c:axId val="519598192"/>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9599504"/>
        <c:crosses val="autoZero"/>
        <c:auto val="1"/>
        <c:lblAlgn val="ctr"/>
        <c:lblOffset val="100"/>
        <c:noMultiLvlLbl val="0"/>
      </c:catAx>
      <c:valAx>
        <c:axId val="519599504"/>
        <c:scaling>
          <c:orientation val="minMax"/>
        </c:scaling>
        <c:delete val="1"/>
        <c:axPos val="l"/>
        <c:numFmt formatCode="#,##0" sourceLinked="1"/>
        <c:majorTickMark val="none"/>
        <c:minorTickMark val="none"/>
        <c:tickLblPos val="nextTo"/>
        <c:crossAx val="5195981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solidFill>
            <a:schemeClr val="bg1">
              <a:lumMod val="7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8.4344371404011534E-2"/>
          <c:w val="0.87232174103237092"/>
          <c:h val="0.76281566719726335"/>
        </c:manualLayout>
      </c:layout>
      <c:barChart>
        <c:barDir val="col"/>
        <c:grouping val="percentStacked"/>
        <c:varyColors val="0"/>
        <c:ser>
          <c:idx val="0"/>
          <c:order val="0"/>
          <c:tx>
            <c:strRef>
              <c:f>'Gráficas Real'!$AC$26</c:f>
              <c:strCache>
                <c:ptCount val="1"/>
                <c:pt idx="0">
                  <c:v>Individual</c:v>
                </c:pt>
              </c:strCache>
            </c:strRef>
          </c:tx>
          <c:spPr>
            <a:solidFill>
              <a:schemeClr val="tx2"/>
            </a:solidFill>
            <a:ln>
              <a:noFill/>
            </a:ln>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'Gráficas Real'!$AD$25:$AK$25</c:f>
              <c:numCache>
                <c:formatCode>0</c:formatCode>
                <c:ptCount val="2"/>
                <c:pt idx="0">
                  <c:v>2014</c:v>
                </c:pt>
                <c:pt idx="1">
                  <c:v>2021</c:v>
                </c:pt>
              </c:numCache>
            </c:numRef>
          </c:cat>
          <c:val>
            <c:numRef>
              <c:f>'Gráficas Real'!$AD$26:$AK$26</c:f>
              <c:numCache>
                <c:formatCode>#,##0</c:formatCode>
                <c:ptCount val="2"/>
                <c:pt idx="0">
                  <c:v>956930.72837315453</c:v>
                </c:pt>
                <c:pt idx="1">
                  <c:v>1345365.05720825</c:v>
                </c:pt>
              </c:numCache>
            </c:numRef>
          </c:val>
          <c:extLst>
            <c:ext xmlns:c16="http://schemas.microsoft.com/office/drawing/2014/chart" uri="{C3380CC4-5D6E-409C-BE32-E72D297353CC}">
              <c16:uniqueId val="{00000000-B350-4400-8C2E-999145F2A647}"/>
            </c:ext>
          </c:extLst>
        </c:ser>
        <c:ser>
          <c:idx val="1"/>
          <c:order val="1"/>
          <c:tx>
            <c:strRef>
              <c:f>'Gráficas Real'!$AC$27</c:f>
              <c:strCache>
                <c:ptCount val="1"/>
                <c:pt idx="0">
                  <c:v>Masivo</c:v>
                </c:pt>
              </c:strCache>
            </c:strRef>
          </c:tx>
          <c:spPr>
            <a:solidFill>
              <a:schemeClr val="accent1"/>
            </a:solidFill>
            <a:ln>
              <a:noFill/>
            </a:ln>
            <a:effectLst/>
          </c:spPr>
          <c:invertIfNegative val="0"/>
          <c:dLbls>
            <c:dLbl>
              <c:idx val="1"/>
              <c:layout>
                <c:manualLayout>
                  <c:x val="0"/>
                  <c:y val="-2.28862669365528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50-4400-8C2E-999145F2A647}"/>
                </c:ext>
              </c:extLst>
            </c:dLbl>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'Gráficas Real'!$AD$25:$AK$25</c:f>
              <c:numCache>
                <c:formatCode>0</c:formatCode>
                <c:ptCount val="2"/>
                <c:pt idx="0">
                  <c:v>2014</c:v>
                </c:pt>
                <c:pt idx="1">
                  <c:v>2021</c:v>
                </c:pt>
              </c:numCache>
            </c:numRef>
          </c:cat>
          <c:val>
            <c:numRef>
              <c:f>'Gráficas Real'!$AD$27:$AK$27</c:f>
              <c:numCache>
                <c:formatCode>#,##0</c:formatCode>
                <c:ptCount val="2"/>
                <c:pt idx="0">
                  <c:v>430616.55231854157</c:v>
                </c:pt>
                <c:pt idx="1">
                  <c:v>218008.25808344001</c:v>
                </c:pt>
              </c:numCache>
            </c:numRef>
          </c:val>
          <c:extLst>
            <c:ext xmlns:c16="http://schemas.microsoft.com/office/drawing/2014/chart" uri="{C3380CC4-5D6E-409C-BE32-E72D297353CC}">
              <c16:uniqueId val="{00000002-B350-4400-8C2E-999145F2A647}"/>
            </c:ext>
          </c:extLst>
        </c:ser>
        <c:dLbls>
          <c:dLblPos val="inEnd"/>
          <c:showLegendKey val="0"/>
          <c:showVal val="1"/>
          <c:showCatName val="0"/>
          <c:showSerName val="0"/>
          <c:showPercent val="0"/>
          <c:showBubbleSize val="0"/>
        </c:dLbls>
        <c:gapWidth val="150"/>
        <c:overlap val="100"/>
        <c:axId val="457915744"/>
        <c:axId val="457921320"/>
      </c:barChart>
      <c:catAx>
        <c:axId val="45791574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457921320"/>
        <c:crosses val="autoZero"/>
        <c:auto val="1"/>
        <c:lblAlgn val="ctr"/>
        <c:lblOffset val="100"/>
        <c:noMultiLvlLbl val="0"/>
      </c:catAx>
      <c:valAx>
        <c:axId val="457921320"/>
        <c:scaling>
          <c:orientation val="minMax"/>
        </c:scaling>
        <c:delete val="1"/>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crossAx val="457915744"/>
        <c:crosses val="autoZero"/>
        <c:crossBetween val="between"/>
        <c:majorUnit val="0.2"/>
      </c:valAx>
      <c:spPr>
        <a:noFill/>
        <a:ln>
          <a:solidFill>
            <a:schemeClr val="bg1">
              <a:lumMod val="95000"/>
            </a:schemeClr>
          </a:solidFill>
        </a:ln>
        <a:effectLst/>
      </c:spPr>
    </c:plotArea>
    <c:legend>
      <c:legendPos val="r"/>
      <c:layout>
        <c:manualLayout>
          <c:xMode val="edge"/>
          <c:yMode val="edge"/>
          <c:x val="0.33133619397275133"/>
          <c:y val="0.9097925108254904"/>
          <c:w val="0.36542449890082274"/>
          <c:h val="8.83283861416151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0719798870694"/>
          <c:y val="6.0072497005835446E-2"/>
          <c:w val="0.87701188677468356"/>
          <c:h val="0.43272876691384449"/>
        </c:manualLayout>
      </c:layout>
      <c:barChart>
        <c:barDir val="col"/>
        <c:grouping val="clustered"/>
        <c:varyColors val="0"/>
        <c:ser>
          <c:idx val="0"/>
          <c:order val="0"/>
          <c:tx>
            <c:strRef>
              <c:f>'Gráficas informe 3'!$C$304</c:f>
              <c:strCache>
                <c:ptCount val="1"/>
                <c:pt idx="0">
                  <c:v>2014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'Gráficas informe 3'!$B$305:$B$307</c:f>
              <c:strCache>
                <c:ptCount val="3"/>
                <c:pt idx="0">
                  <c:v>Mensajería Expresa</c:v>
                </c:pt>
                <c:pt idx="1">
                  <c:v>SPN</c:v>
                </c:pt>
                <c:pt idx="2">
                  <c:v>Total mercado masivos</c:v>
                </c:pt>
              </c:strCache>
            </c:strRef>
          </c:cat>
          <c:val>
            <c:numRef>
              <c:f>'Gráficas informe 3'!$C$305:$C$307</c:f>
              <c:numCache>
                <c:formatCode>#,##0</c:formatCode>
                <c:ptCount val="3"/>
                <c:pt idx="0">
                  <c:v>428136.62061000004</c:v>
                </c:pt>
                <c:pt idx="1">
                  <c:v>70070.032999999996</c:v>
                </c:pt>
                <c:pt idx="2">
                  <c:v>498206.65361000004</c:v>
                </c:pt>
              </c:numCache>
            </c:numRef>
          </c:val>
          <c:extLst>
            <c:ext xmlns:c16="http://schemas.microsoft.com/office/drawing/2014/chart" uri="{C3380CC4-5D6E-409C-BE32-E72D297353CC}">
              <c16:uniqueId val="{00000000-3CB5-43D8-8164-AF500FA19C76}"/>
            </c:ext>
          </c:extLst>
        </c:ser>
        <c:ser>
          <c:idx val="1"/>
          <c:order val="1"/>
          <c:tx>
            <c:strRef>
              <c:f>'Gráficas informe 3'!$D$304</c:f>
              <c:strCache>
                <c:ptCount val="1"/>
                <c:pt idx="0">
                  <c:v>2015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'Gráficas informe 3'!$B$305:$B$307</c:f>
              <c:strCache>
                <c:ptCount val="3"/>
                <c:pt idx="0">
                  <c:v>Mensajería Expresa</c:v>
                </c:pt>
                <c:pt idx="1">
                  <c:v>SPN</c:v>
                </c:pt>
                <c:pt idx="2">
                  <c:v>Total mercado masivos</c:v>
                </c:pt>
              </c:strCache>
            </c:strRef>
          </c:cat>
          <c:val>
            <c:numRef>
              <c:f>'Gráficas informe 3'!$D$305:$D$307</c:f>
              <c:numCache>
                <c:formatCode>#,##0</c:formatCode>
                <c:ptCount val="3"/>
                <c:pt idx="0">
                  <c:v>446713.65820000006</c:v>
                </c:pt>
                <c:pt idx="1">
                  <c:v>66412.956999999995</c:v>
                </c:pt>
                <c:pt idx="2">
                  <c:v>513126.61520000006</c:v>
                </c:pt>
              </c:numCache>
            </c:numRef>
          </c:val>
          <c:extLst>
            <c:ext xmlns:c16="http://schemas.microsoft.com/office/drawing/2014/chart" uri="{C3380CC4-5D6E-409C-BE32-E72D297353CC}">
              <c16:uniqueId val="{00000001-3CB5-43D8-8164-AF500FA19C76}"/>
            </c:ext>
          </c:extLst>
        </c:ser>
        <c:ser>
          <c:idx val="2"/>
          <c:order val="2"/>
          <c:tx>
            <c:strRef>
              <c:f>'Gráficas informe 3'!$E$304</c:f>
              <c:strCache>
                <c:ptCount val="1"/>
                <c:pt idx="0">
                  <c:v>2016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'Gráficas informe 3'!$B$305:$B$307</c:f>
              <c:strCache>
                <c:ptCount val="3"/>
                <c:pt idx="0">
                  <c:v>Mensajería Expresa</c:v>
                </c:pt>
                <c:pt idx="1">
                  <c:v>SPN</c:v>
                </c:pt>
                <c:pt idx="2">
                  <c:v>Total mercado masivos</c:v>
                </c:pt>
              </c:strCache>
            </c:strRef>
          </c:cat>
          <c:val>
            <c:numRef>
              <c:f>'Gráficas informe 3'!$E$305:$E$307</c:f>
              <c:numCache>
                <c:formatCode>#,##0</c:formatCode>
                <c:ptCount val="3"/>
                <c:pt idx="0">
                  <c:v>415062.0617599999</c:v>
                </c:pt>
                <c:pt idx="1">
                  <c:v>66736.725000000006</c:v>
                </c:pt>
                <c:pt idx="2">
                  <c:v>481798.78675999993</c:v>
                </c:pt>
              </c:numCache>
            </c:numRef>
          </c:val>
          <c:extLst>
            <c:ext xmlns:c16="http://schemas.microsoft.com/office/drawing/2014/chart" uri="{C3380CC4-5D6E-409C-BE32-E72D297353CC}">
              <c16:uniqueId val="{00000002-3CB5-43D8-8164-AF500FA19C76}"/>
            </c:ext>
          </c:extLst>
        </c:ser>
        <c:ser>
          <c:idx val="3"/>
          <c:order val="3"/>
          <c:tx>
            <c:strRef>
              <c:f>'Gráficas informe 3'!$F$304</c:f>
              <c:strCache>
                <c:ptCount val="1"/>
                <c:pt idx="0">
                  <c:v>2017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'Gráficas informe 3'!$B$305:$B$307</c:f>
              <c:strCache>
                <c:ptCount val="3"/>
                <c:pt idx="0">
                  <c:v>Mensajería Expresa</c:v>
                </c:pt>
                <c:pt idx="1">
                  <c:v>SPN</c:v>
                </c:pt>
                <c:pt idx="2">
                  <c:v>Total mercado masivos</c:v>
                </c:pt>
              </c:strCache>
            </c:strRef>
          </c:cat>
          <c:val>
            <c:numRef>
              <c:f>'Gráficas informe 3'!$F$305:$F$307</c:f>
              <c:numCache>
                <c:formatCode>#,##0</c:formatCode>
                <c:ptCount val="3"/>
                <c:pt idx="0">
                  <c:v>376571.42526999995</c:v>
                </c:pt>
                <c:pt idx="1">
                  <c:v>77465.668000000005</c:v>
                </c:pt>
                <c:pt idx="2">
                  <c:v>454037.09326999995</c:v>
                </c:pt>
              </c:numCache>
            </c:numRef>
          </c:val>
          <c:extLst>
            <c:ext xmlns:c16="http://schemas.microsoft.com/office/drawing/2014/chart" uri="{C3380CC4-5D6E-409C-BE32-E72D297353CC}">
              <c16:uniqueId val="{00000003-3CB5-43D8-8164-AF500FA19C76}"/>
            </c:ext>
          </c:extLst>
        </c:ser>
        <c:ser>
          <c:idx val="4"/>
          <c:order val="4"/>
          <c:tx>
            <c:strRef>
              <c:f>'Gráficas informe 3'!$G$304</c:f>
              <c:strCache>
                <c:ptCount val="1"/>
                <c:pt idx="0">
                  <c:v>2018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'Gráficas informe 3'!$B$305:$B$307</c:f>
              <c:strCache>
                <c:ptCount val="3"/>
                <c:pt idx="0">
                  <c:v>Mensajería Expresa</c:v>
                </c:pt>
                <c:pt idx="1">
                  <c:v>SPN</c:v>
                </c:pt>
                <c:pt idx="2">
                  <c:v>Total mercado masivos</c:v>
                </c:pt>
              </c:strCache>
            </c:strRef>
          </c:cat>
          <c:val>
            <c:numRef>
              <c:f>'Gráficas informe 3'!$G$305:$G$307</c:f>
              <c:numCache>
                <c:formatCode>#,##0</c:formatCode>
                <c:ptCount val="3"/>
                <c:pt idx="0">
                  <c:v>331147.24978999997</c:v>
                </c:pt>
                <c:pt idx="1">
                  <c:v>77057.099000000002</c:v>
                </c:pt>
                <c:pt idx="2">
                  <c:v>408204.34878999996</c:v>
                </c:pt>
              </c:numCache>
            </c:numRef>
          </c:val>
          <c:extLst>
            <c:ext xmlns:c16="http://schemas.microsoft.com/office/drawing/2014/chart" uri="{C3380CC4-5D6E-409C-BE32-E72D297353CC}">
              <c16:uniqueId val="{00000004-3CB5-43D8-8164-AF500FA19C76}"/>
            </c:ext>
          </c:extLst>
        </c:ser>
        <c:ser>
          <c:idx val="5"/>
          <c:order val="5"/>
          <c:tx>
            <c:strRef>
              <c:f>'Gráficas informe 3'!$H$304</c:f>
              <c:strCache>
                <c:ptCount val="1"/>
                <c:pt idx="0">
                  <c:v>2019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'Gráficas informe 3'!$B$305:$B$307</c:f>
              <c:strCache>
                <c:ptCount val="3"/>
                <c:pt idx="0">
                  <c:v>Mensajería Expresa</c:v>
                </c:pt>
                <c:pt idx="1">
                  <c:v>SPN</c:v>
                </c:pt>
                <c:pt idx="2">
                  <c:v>Total mercado masivos</c:v>
                </c:pt>
              </c:strCache>
            </c:strRef>
          </c:cat>
          <c:val>
            <c:numRef>
              <c:f>'Gráficas informe 3'!$H$305:$H$307</c:f>
              <c:numCache>
                <c:formatCode>#,##0</c:formatCode>
                <c:ptCount val="3"/>
                <c:pt idx="0">
                  <c:v>280336.60854999995</c:v>
                </c:pt>
                <c:pt idx="1">
                  <c:v>79719.929999999993</c:v>
                </c:pt>
                <c:pt idx="2">
                  <c:v>360056.53854999994</c:v>
                </c:pt>
              </c:numCache>
            </c:numRef>
          </c:val>
          <c:extLst>
            <c:ext xmlns:c16="http://schemas.microsoft.com/office/drawing/2014/chart" uri="{C3380CC4-5D6E-409C-BE32-E72D297353CC}">
              <c16:uniqueId val="{00000005-3CB5-43D8-8164-AF500FA19C76}"/>
            </c:ext>
          </c:extLst>
        </c:ser>
        <c:ser>
          <c:idx val="6"/>
          <c:order val="6"/>
          <c:tx>
            <c:strRef>
              <c:f>'Gráficas informe 3'!$I$304</c:f>
              <c:strCache>
                <c:ptCount val="1"/>
                <c:pt idx="0">
                  <c:v>2020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cat>
            <c:strRef>
              <c:f>'Gráficas informe 3'!$B$305:$B$307</c:f>
              <c:strCache>
                <c:ptCount val="3"/>
                <c:pt idx="0">
                  <c:v>Mensajería Expresa</c:v>
                </c:pt>
                <c:pt idx="1">
                  <c:v>SPN</c:v>
                </c:pt>
                <c:pt idx="2">
                  <c:v>Total mercado masivos</c:v>
                </c:pt>
              </c:strCache>
            </c:strRef>
          </c:cat>
          <c:val>
            <c:numRef>
              <c:f>'Gráficas informe 3'!$I$305:$I$307</c:f>
              <c:numCache>
                <c:formatCode>#,##0</c:formatCode>
                <c:ptCount val="3"/>
                <c:pt idx="0">
                  <c:v>170787.59025000001</c:v>
                </c:pt>
                <c:pt idx="1">
                  <c:v>80676.077999999994</c:v>
                </c:pt>
                <c:pt idx="2">
                  <c:v>251463.66824999999</c:v>
                </c:pt>
              </c:numCache>
            </c:numRef>
          </c:val>
          <c:extLst>
            <c:ext xmlns:c16="http://schemas.microsoft.com/office/drawing/2014/chart" uri="{C3380CC4-5D6E-409C-BE32-E72D297353CC}">
              <c16:uniqueId val="{00000006-3CB5-43D8-8164-AF500FA19C76}"/>
            </c:ext>
          </c:extLst>
        </c:ser>
        <c:ser>
          <c:idx val="7"/>
          <c:order val="7"/>
          <c:tx>
            <c:strRef>
              <c:f>'Gráficas informe 3'!$J$304</c:f>
              <c:strCache>
                <c:ptCount val="1"/>
                <c:pt idx="0">
                  <c:v>2021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cat>
            <c:strRef>
              <c:f>'Gráficas informe 3'!$B$305:$B$307</c:f>
              <c:strCache>
                <c:ptCount val="3"/>
                <c:pt idx="0">
                  <c:v>Mensajería Expresa</c:v>
                </c:pt>
                <c:pt idx="1">
                  <c:v>SPN</c:v>
                </c:pt>
                <c:pt idx="2">
                  <c:v>Total mercado masivos</c:v>
                </c:pt>
              </c:strCache>
            </c:strRef>
          </c:cat>
          <c:val>
            <c:numRef>
              <c:f>'Gráficas informe 3'!$J$305:$J$307</c:f>
              <c:numCache>
                <c:formatCode>General</c:formatCode>
                <c:ptCount val="3"/>
                <c:pt idx="0" formatCode="#,##0">
                  <c:v>154550.69640000002</c:v>
                </c:pt>
                <c:pt idx="2" formatCode="#,##0">
                  <c:v>154550.69640000002</c:v>
                </c:pt>
              </c:numCache>
            </c:numRef>
          </c:val>
          <c:extLst>
            <c:ext xmlns:c16="http://schemas.microsoft.com/office/drawing/2014/chart" uri="{C3380CC4-5D6E-409C-BE32-E72D297353CC}">
              <c16:uniqueId val="{00000007-3CB5-43D8-8164-AF500FA19C76}"/>
            </c:ext>
          </c:extLst>
        </c:ser>
        <c:dLbls>
          <c:showLegendKey val="0"/>
          <c:showVal val="0"/>
          <c:showCatName val="0"/>
          <c:showSerName val="0"/>
          <c:showPercent val="0"/>
          <c:showBubbleSize val="0"/>
        </c:dLbls>
        <c:gapWidth val="164"/>
        <c:overlap val="-22"/>
        <c:axId val="137577504"/>
        <c:axId val="137585408"/>
      </c:barChart>
      <c:catAx>
        <c:axId val="1375775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585408"/>
        <c:crosses val="autoZero"/>
        <c:auto val="1"/>
        <c:lblAlgn val="ctr"/>
        <c:lblOffset val="100"/>
        <c:noMultiLvlLbl val="0"/>
      </c:catAx>
      <c:valAx>
        <c:axId val="137585408"/>
        <c:scaling>
          <c:orientation val="minMax"/>
          <c:min val="0"/>
        </c:scaling>
        <c:delete val="1"/>
        <c:axPos val="l"/>
        <c:numFmt formatCode="#,##0" sourceLinked="1"/>
        <c:majorTickMark val="none"/>
        <c:minorTickMark val="none"/>
        <c:tickLblPos val="nextTo"/>
        <c:crossAx val="1375775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991824677303795E-2"/>
          <c:y val="8.2225751850823564E-2"/>
          <c:w val="0.92801635064539245"/>
          <c:h val="0.78961875783067836"/>
        </c:manualLayout>
      </c:layout>
      <c:barChart>
        <c:barDir val="col"/>
        <c:grouping val="percentStacked"/>
        <c:varyColors val="0"/>
        <c:ser>
          <c:idx val="0"/>
          <c:order val="0"/>
          <c:tx>
            <c:strRef>
              <c:f>'Gráficas informe 3'!$B$305</c:f>
              <c:strCache>
                <c:ptCount val="1"/>
                <c:pt idx="0">
                  <c:v>Mensajería Expresa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('Gráficas informe 3'!$C$304,'Gráficas informe 3'!$I$304)</c:f>
              <c:numCache>
                <c:formatCode>0</c:formatCode>
                <c:ptCount val="2"/>
                <c:pt idx="0">
                  <c:v>2014</c:v>
                </c:pt>
                <c:pt idx="1">
                  <c:v>2020</c:v>
                </c:pt>
              </c:numCache>
              <c:extLst/>
            </c:numRef>
          </c:cat>
          <c:val>
            <c:numRef>
              <c:f>('Gráficas informe 3'!$C$305,'Gráficas informe 3'!$I$305)</c:f>
              <c:numCache>
                <c:formatCode>#,##0</c:formatCode>
                <c:ptCount val="2"/>
                <c:pt idx="0">
                  <c:v>428136.62061000004</c:v>
                </c:pt>
                <c:pt idx="1">
                  <c:v>170787.59025000001</c:v>
                </c:pt>
              </c:numCache>
              <c:extLst/>
            </c:numRef>
          </c:val>
          <c:extLst>
            <c:ext xmlns:c16="http://schemas.microsoft.com/office/drawing/2014/chart" uri="{C3380CC4-5D6E-409C-BE32-E72D297353CC}">
              <c16:uniqueId val="{00000000-E8F6-4E12-866D-C5F4A06810CC}"/>
            </c:ext>
          </c:extLst>
        </c:ser>
        <c:ser>
          <c:idx val="1"/>
          <c:order val="1"/>
          <c:tx>
            <c:strRef>
              <c:f>'Gráficas informe 3'!$B$306</c:f>
              <c:strCache>
                <c:ptCount val="1"/>
                <c:pt idx="0">
                  <c:v>SPN</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layout>
                <c:manualLayout>
                  <c:x val="-2.9992840751230744E-17"/>
                  <c:y val="-2.14765009875808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F6-4E12-866D-C5F4A06810C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('Gráficas informe 3'!$C$304,'Gráficas informe 3'!$I$304)</c:f>
              <c:numCache>
                <c:formatCode>0</c:formatCode>
                <c:ptCount val="2"/>
                <c:pt idx="0">
                  <c:v>2014</c:v>
                </c:pt>
                <c:pt idx="1">
                  <c:v>2020</c:v>
                </c:pt>
              </c:numCache>
              <c:extLst/>
            </c:numRef>
          </c:cat>
          <c:val>
            <c:numRef>
              <c:f>('Gráficas informe 3'!$C$306,'Gráficas informe 3'!$I$306)</c:f>
              <c:numCache>
                <c:formatCode>#,##0</c:formatCode>
                <c:ptCount val="2"/>
                <c:pt idx="0">
                  <c:v>70070.032999999996</c:v>
                </c:pt>
                <c:pt idx="1">
                  <c:v>80676.077999999994</c:v>
                </c:pt>
              </c:numCache>
              <c:extLst/>
            </c:numRef>
          </c:val>
          <c:extLst>
            <c:ext xmlns:c16="http://schemas.microsoft.com/office/drawing/2014/chart" uri="{C3380CC4-5D6E-409C-BE32-E72D297353CC}">
              <c16:uniqueId val="{00000002-E8F6-4E12-866D-C5F4A06810CC}"/>
            </c:ext>
          </c:extLst>
        </c:ser>
        <c:dLbls>
          <c:showLegendKey val="0"/>
          <c:showVal val="0"/>
          <c:showCatName val="0"/>
          <c:showSerName val="0"/>
          <c:showPercent val="0"/>
          <c:showBubbleSize val="0"/>
        </c:dLbls>
        <c:gapWidth val="150"/>
        <c:overlap val="100"/>
        <c:axId val="571510112"/>
        <c:axId val="571531328"/>
      </c:barChart>
      <c:catAx>
        <c:axId val="57151011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1531328"/>
        <c:crosses val="autoZero"/>
        <c:auto val="1"/>
        <c:lblAlgn val="ctr"/>
        <c:lblOffset val="100"/>
        <c:noMultiLvlLbl val="0"/>
      </c:catAx>
      <c:valAx>
        <c:axId val="571531328"/>
        <c:scaling>
          <c:orientation val="minMax"/>
        </c:scaling>
        <c:delete val="1"/>
        <c:axPos val="l"/>
        <c:numFmt formatCode="0%" sourceLinked="1"/>
        <c:majorTickMark val="none"/>
        <c:minorTickMark val="none"/>
        <c:tickLblPos val="nextTo"/>
        <c:crossAx val="571510112"/>
        <c:crosses val="autoZero"/>
        <c:crossBetween val="between"/>
      </c:valAx>
      <c:spPr>
        <a:noFill/>
        <a:ln>
          <a:noFill/>
        </a:ln>
        <a:effectLst/>
      </c:spPr>
    </c:plotArea>
    <c:legend>
      <c:legendPos val="b"/>
      <c:layout>
        <c:manualLayout>
          <c:xMode val="edge"/>
          <c:yMode val="edge"/>
          <c:x val="0.26619058869176543"/>
          <c:y val="0.93276874407320465"/>
          <c:w val="0.48725046934936728"/>
          <c:h val="6.34700916361775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11027724877854"/>
          <c:y val="4.3859649122807015E-2"/>
          <c:w val="0.76000782956841639"/>
          <c:h val="0.80733024400658049"/>
        </c:manualLayout>
      </c:layout>
      <c:lineChart>
        <c:grouping val="standard"/>
        <c:varyColors val="0"/>
        <c:ser>
          <c:idx val="0"/>
          <c:order val="0"/>
          <c:tx>
            <c:strRef>
              <c:f>'Proyección Demanda'!$B$726</c:f>
              <c:strCache>
                <c:ptCount val="1"/>
                <c:pt idx="0">
                  <c:v>Mensajería Expresa</c:v>
                </c:pt>
              </c:strCache>
            </c:strRef>
          </c:tx>
          <c:spPr>
            <a:ln w="25400" cap="rnd">
              <a:solidFill>
                <a:schemeClr val="tx2"/>
              </a:solidFill>
              <a:round/>
            </a:ln>
            <a:effectLst/>
          </c:spPr>
          <c:marker>
            <c:symbol val="none"/>
          </c:marker>
          <c:cat>
            <c:numRef>
              <c:f>'Proyección Demanda'!$C$6:$M$6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'Proyección Demanda'!$C$726:$M$726</c:f>
              <c:numCache>
                <c:formatCode>#,##0</c:formatCode>
                <c:ptCount val="11"/>
                <c:pt idx="0">
                  <c:v>431293.00397184514</c:v>
                </c:pt>
                <c:pt idx="1">
                  <c:v>448955.2206927904</c:v>
                </c:pt>
                <c:pt idx="2">
                  <c:v>417335.66452419013</c:v>
                </c:pt>
                <c:pt idx="3">
                  <c:v>378605.70132193906</c:v>
                </c:pt>
                <c:pt idx="4">
                  <c:v>330951.46363999997</c:v>
                </c:pt>
                <c:pt idx="5">
                  <c:v>280158.30179999996</c:v>
                </c:pt>
                <c:pt idx="6">
                  <c:v>170628.10424999997</c:v>
                </c:pt>
                <c:pt idx="7">
                  <c:v>154284.16439999998</c:v>
                </c:pt>
                <c:pt idx="8">
                  <c:v>130111.01761009882</c:v>
                </c:pt>
                <c:pt idx="9">
                  <c:v>114475.10666905886</c:v>
                </c:pt>
                <c:pt idx="10">
                  <c:v>99021.507554474374</c:v>
                </c:pt>
              </c:numCache>
            </c:numRef>
          </c:val>
          <c:smooth val="1"/>
          <c:extLst>
            <c:ext xmlns:c16="http://schemas.microsoft.com/office/drawing/2014/chart" uri="{C3380CC4-5D6E-409C-BE32-E72D297353CC}">
              <c16:uniqueId val="{00000000-912B-41FB-843F-883884CCA0A7}"/>
            </c:ext>
          </c:extLst>
        </c:ser>
        <c:dLbls>
          <c:showLegendKey val="0"/>
          <c:showVal val="0"/>
          <c:showCatName val="0"/>
          <c:showSerName val="0"/>
          <c:showPercent val="0"/>
          <c:showBubbleSize val="0"/>
        </c:dLbls>
        <c:smooth val="0"/>
        <c:axId val="1022471456"/>
        <c:axId val="1022466464"/>
      </c:lineChart>
      <c:catAx>
        <c:axId val="10224714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1022466464"/>
        <c:crosses val="autoZero"/>
        <c:auto val="1"/>
        <c:lblAlgn val="ctr"/>
        <c:lblOffset val="100"/>
        <c:noMultiLvlLbl val="0"/>
      </c:catAx>
      <c:valAx>
        <c:axId val="1022466464"/>
        <c:scaling>
          <c:orientation val="minMax"/>
        </c:scaling>
        <c:delete val="1"/>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CO" b="0"/>
                  <a:t>Número de Envíos (000´s)</a:t>
                </a:r>
              </a:p>
            </c:rich>
          </c:tx>
          <c:layout>
            <c:manualLayout>
              <c:xMode val="edge"/>
              <c:yMode val="edge"/>
              <c:x val="0.143247766521586"/>
              <c:y val="0.182016915947707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title>
        <c:numFmt formatCode="#,##0" sourceLinked="1"/>
        <c:majorTickMark val="none"/>
        <c:minorTickMark val="none"/>
        <c:tickLblPos val="nextTo"/>
        <c:crossAx val="1022471456"/>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16924176271279"/>
          <c:y val="9.3465524635967287E-2"/>
          <c:w val="0.83464959690708795"/>
          <c:h val="0.69112788717380713"/>
        </c:manualLayout>
      </c:layout>
      <c:barChart>
        <c:barDir val="col"/>
        <c:grouping val="clustered"/>
        <c:varyColors val="0"/>
        <c:ser>
          <c:idx val="0"/>
          <c:order val="0"/>
          <c:tx>
            <c:strRef>
              <c:f>'Gráficas Ingresos '!$B$42</c:f>
              <c:strCache>
                <c:ptCount val="1"/>
                <c:pt idx="0">
                  <c:v>Mensajería Expresa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'Gráficas Ingresos '!$C$6:$P$6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extLst/>
            </c:numRef>
          </c:cat>
          <c:val>
            <c:numRef>
              <c:f>'Gráficas Ingresos '!$C$42:$P$42</c:f>
              <c:numCache>
                <c:formatCode>"$"\ #,##0</c:formatCode>
                <c:ptCount val="11"/>
                <c:pt idx="0">
                  <c:v>301741.61807334452</c:v>
                </c:pt>
                <c:pt idx="1">
                  <c:v>295431.73494665604</c:v>
                </c:pt>
                <c:pt idx="2">
                  <c:v>274295.6548981276</c:v>
                </c:pt>
                <c:pt idx="3">
                  <c:v>249807.2258431128</c:v>
                </c:pt>
                <c:pt idx="4">
                  <c:v>272156.15268492303</c:v>
                </c:pt>
                <c:pt idx="5">
                  <c:v>244323.60442977815</c:v>
                </c:pt>
                <c:pt idx="6">
                  <c:v>194711.62874901804</c:v>
                </c:pt>
                <c:pt idx="7">
                  <c:v>197517.11992900001</c:v>
                </c:pt>
                <c:pt idx="8">
                  <c:v>167138.47318370809</c:v>
                </c:pt>
                <c:pt idx="9">
                  <c:v>146974.12288856733</c:v>
                </c:pt>
                <c:pt idx="10">
                  <c:v>127245.16368691705</c:v>
                </c:pt>
              </c:numCache>
              <c:extLst/>
            </c:numRef>
          </c:val>
          <c:extLst>
            <c:ext xmlns:c16="http://schemas.microsoft.com/office/drawing/2014/chart" uri="{C3380CC4-5D6E-409C-BE32-E72D297353CC}">
              <c16:uniqueId val="{00000000-9C53-4F2A-9521-AD855EA4A976}"/>
            </c:ext>
          </c:extLst>
        </c:ser>
        <c:ser>
          <c:idx val="1"/>
          <c:order val="1"/>
          <c:tx>
            <c:strRef>
              <c:f>'Gráficas Ingresos '!$B$43</c:f>
              <c:strCache>
                <c:ptCount val="1"/>
                <c:pt idx="0">
                  <c:v>Masivos SPN</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numRef>
              <c:f>'Gráficas Ingresos '!$C$6:$P$6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extLst/>
            </c:numRef>
          </c:cat>
          <c:val>
            <c:numRef>
              <c:f>'Gráficas Ingresos '!$C$43:$P$43</c:f>
              <c:numCache>
                <c:formatCode>"$"\ #,##0</c:formatCode>
                <c:ptCount val="11"/>
                <c:pt idx="0">
                  <c:v>14227.337052680961</c:v>
                </c:pt>
                <c:pt idx="1">
                  <c:v>13092.495705932879</c:v>
                </c:pt>
                <c:pt idx="2">
                  <c:v>11101.724621681067</c:v>
                </c:pt>
                <c:pt idx="3">
                  <c:v>15027.705416151295</c:v>
                </c:pt>
                <c:pt idx="4">
                  <c:v>13628.058453746027</c:v>
                </c:pt>
                <c:pt idx="5">
                  <c:v>15108.482709738069</c:v>
                </c:pt>
                <c:pt idx="6">
                  <c:v>16940.009847061367</c:v>
                </c:pt>
                <c:pt idx="7">
                  <c:v>17382.344938440001</c:v>
                </c:pt>
                <c:pt idx="8">
                  <c:v>19723.720052502118</c:v>
                </c:pt>
                <c:pt idx="9">
                  <c:v>21651.142803894814</c:v>
                </c:pt>
                <c:pt idx="10">
                  <c:v>23240.980838158142</c:v>
                </c:pt>
              </c:numCache>
              <c:extLst/>
            </c:numRef>
          </c:val>
          <c:extLst>
            <c:ext xmlns:c16="http://schemas.microsoft.com/office/drawing/2014/chart" uri="{C3380CC4-5D6E-409C-BE32-E72D297353CC}">
              <c16:uniqueId val="{00000001-9C53-4F2A-9521-AD855EA4A976}"/>
            </c:ext>
          </c:extLst>
        </c:ser>
        <c:dLbls>
          <c:showLegendKey val="0"/>
          <c:showVal val="0"/>
          <c:showCatName val="0"/>
          <c:showSerName val="0"/>
          <c:showPercent val="0"/>
          <c:showBubbleSize val="0"/>
        </c:dLbls>
        <c:gapWidth val="114"/>
        <c:overlap val="-22"/>
        <c:axId val="1357058848"/>
        <c:axId val="1357079232"/>
      </c:barChart>
      <c:catAx>
        <c:axId val="13570588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7079232"/>
        <c:crosses val="autoZero"/>
        <c:auto val="1"/>
        <c:lblAlgn val="ctr"/>
        <c:lblOffset val="100"/>
        <c:noMultiLvlLbl val="0"/>
      </c:catAx>
      <c:valAx>
        <c:axId val="1357079232"/>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b="0"/>
                  <a:t>Millones de COP$</a:t>
                </a:r>
              </a:p>
            </c:rich>
          </c:tx>
          <c:layout>
            <c:manualLayout>
              <c:xMode val="edge"/>
              <c:yMode val="edge"/>
              <c:x val="8.7799897907095456E-2"/>
              <c:y val="0.2884187123668364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quot;$&quot;\ #,##0" sourceLinked="1"/>
        <c:majorTickMark val="none"/>
        <c:minorTickMark val="none"/>
        <c:tickLblPos val="nextTo"/>
        <c:crossAx val="13570588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s-CO"/>
          </a:p>
        </c:txPr>
      </c:dTable>
      <c:spPr>
        <a:noFill/>
        <a:ln>
          <a:solidFill>
            <a:schemeClr val="bg1">
              <a:lumMod val="65000"/>
            </a:schemeClr>
          </a:solid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CO"/>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72141681308644"/>
          <c:y val="8.324223373034062E-2"/>
          <c:w val="0.84261806104821602"/>
          <c:h val="0.57404926903685261"/>
        </c:manualLayout>
      </c:layout>
      <c:lineChart>
        <c:grouping val="standard"/>
        <c:varyColors val="0"/>
        <c:ser>
          <c:idx val="0"/>
          <c:order val="0"/>
          <c:tx>
            <c:strRef>
              <c:f>'Gráficas informe 3'!$B$33</c:f>
              <c:strCache>
                <c:ptCount val="1"/>
                <c:pt idx="0">
                  <c:v>Total Individual</c:v>
                </c:pt>
              </c:strCache>
            </c:strRef>
          </c:tx>
          <c:spPr>
            <a:ln w="25400" cap="rnd">
              <a:solidFill>
                <a:schemeClr val="tx2"/>
              </a:solidFill>
              <a:round/>
            </a:ln>
            <a:effectLst/>
          </c:spPr>
          <c:marker>
            <c:symbol val="none"/>
          </c:marker>
          <c:cat>
            <c:numRef>
              <c:f>'Gráficas informe 3'!$C$32:$J$32</c:f>
              <c:numCache>
                <c:formatCode>0</c:formatCode>
                <c:ptCount val="8"/>
                <c:pt idx="0">
                  <c:v>2014</c:v>
                </c:pt>
                <c:pt idx="1">
                  <c:v>2015</c:v>
                </c:pt>
                <c:pt idx="2">
                  <c:v>2016</c:v>
                </c:pt>
                <c:pt idx="3">
                  <c:v>2017</c:v>
                </c:pt>
                <c:pt idx="4">
                  <c:v>2018</c:v>
                </c:pt>
                <c:pt idx="5">
                  <c:v>2019</c:v>
                </c:pt>
                <c:pt idx="6">
                  <c:v>2020</c:v>
                </c:pt>
                <c:pt idx="7">
                  <c:v>2021</c:v>
                </c:pt>
              </c:numCache>
            </c:numRef>
          </c:cat>
          <c:val>
            <c:numRef>
              <c:f>'Gráficas informe 3'!$C$33:$J$33</c:f>
              <c:numCache>
                <c:formatCode>#,##0</c:formatCode>
                <c:ptCount val="8"/>
                <c:pt idx="0">
                  <c:v>113027.82680000001</c:v>
                </c:pt>
                <c:pt idx="1">
                  <c:v>88811.311229999992</c:v>
                </c:pt>
                <c:pt idx="2">
                  <c:v>92971.82577999997</c:v>
                </c:pt>
                <c:pt idx="3">
                  <c:v>91120.62318000001</c:v>
                </c:pt>
                <c:pt idx="4">
                  <c:v>98591.10394999999</c:v>
                </c:pt>
                <c:pt idx="5">
                  <c:v>102638.25900000001</c:v>
                </c:pt>
                <c:pt idx="6">
                  <c:v>109049.33873999998</c:v>
                </c:pt>
                <c:pt idx="7">
                  <c:v>119140.62768999999</c:v>
                </c:pt>
              </c:numCache>
            </c:numRef>
          </c:val>
          <c:smooth val="1"/>
          <c:extLst>
            <c:ext xmlns:c16="http://schemas.microsoft.com/office/drawing/2014/chart" uri="{C3380CC4-5D6E-409C-BE32-E72D297353CC}">
              <c16:uniqueId val="{00000000-03C2-4A49-804D-C7D2F1DF67BD}"/>
            </c:ext>
          </c:extLst>
        </c:ser>
        <c:ser>
          <c:idx val="1"/>
          <c:order val="1"/>
          <c:tx>
            <c:strRef>
              <c:f>'Gráficas informe 3'!$B$34</c:f>
              <c:strCache>
                <c:ptCount val="1"/>
                <c:pt idx="0">
                  <c:v>Envíos &lt; 2 kilos</c:v>
                </c:pt>
              </c:strCache>
            </c:strRef>
          </c:tx>
          <c:spPr>
            <a:ln w="22225" cap="rnd">
              <a:solidFill>
                <a:srgbClr val="C00000"/>
              </a:solidFill>
              <a:round/>
            </a:ln>
            <a:effectLst/>
          </c:spPr>
          <c:marker>
            <c:symbol val="none"/>
          </c:marker>
          <c:val>
            <c:numRef>
              <c:f>'Gráficas informe 3'!$C$34:$J$34</c:f>
              <c:numCache>
                <c:formatCode>#,##0</c:formatCode>
                <c:ptCount val="8"/>
                <c:pt idx="0">
                  <c:v>98967.965018154835</c:v>
                </c:pt>
                <c:pt idx="1">
                  <c:v>76078.470529999991</c:v>
                </c:pt>
                <c:pt idx="2">
                  <c:v>78713.094689999998</c:v>
                </c:pt>
                <c:pt idx="3">
                  <c:v>73776.746079999997</c:v>
                </c:pt>
                <c:pt idx="4">
                  <c:v>76487.361250000002</c:v>
                </c:pt>
                <c:pt idx="5">
                  <c:v>77292.189499999993</c:v>
                </c:pt>
                <c:pt idx="6">
                  <c:v>79305.860660000006</c:v>
                </c:pt>
                <c:pt idx="7">
                  <c:v>92363.596739999994</c:v>
                </c:pt>
              </c:numCache>
            </c:numRef>
          </c:val>
          <c:smooth val="1"/>
          <c:extLst>
            <c:ext xmlns:c16="http://schemas.microsoft.com/office/drawing/2014/chart" uri="{C3380CC4-5D6E-409C-BE32-E72D297353CC}">
              <c16:uniqueId val="{00000001-03C2-4A49-804D-C7D2F1DF67BD}"/>
            </c:ext>
          </c:extLst>
        </c:ser>
        <c:ser>
          <c:idx val="2"/>
          <c:order val="2"/>
          <c:tx>
            <c:strRef>
              <c:f>'Gráficas informe 3'!$B$35</c:f>
              <c:strCache>
                <c:ptCount val="1"/>
                <c:pt idx="0">
                  <c:v>M/E 2-5 K</c:v>
                </c:pt>
              </c:strCache>
            </c:strRef>
          </c:tx>
          <c:spPr>
            <a:ln w="22225" cap="rnd">
              <a:solidFill>
                <a:schemeClr val="accent3"/>
              </a:solidFill>
              <a:round/>
            </a:ln>
            <a:effectLst/>
          </c:spPr>
          <c:marker>
            <c:symbol val="none"/>
          </c:marker>
          <c:val>
            <c:numRef>
              <c:f>'Gráficas informe 3'!$C$35:$J$35</c:f>
              <c:numCache>
                <c:formatCode>#,##0</c:formatCode>
                <c:ptCount val="8"/>
                <c:pt idx="0">
                  <c:v>10538.021419999999</c:v>
                </c:pt>
                <c:pt idx="1">
                  <c:v>12732.840700000001</c:v>
                </c:pt>
                <c:pt idx="2">
                  <c:v>14258.731089999999</c:v>
                </c:pt>
                <c:pt idx="3">
                  <c:v>17343.877100000002</c:v>
                </c:pt>
                <c:pt idx="4">
                  <c:v>22103.742700000003</c:v>
                </c:pt>
                <c:pt idx="5">
                  <c:v>25346.069499999998</c:v>
                </c:pt>
                <c:pt idx="6">
                  <c:v>29743.478080000001</c:v>
                </c:pt>
                <c:pt idx="7">
                  <c:v>26777.030949999997</c:v>
                </c:pt>
              </c:numCache>
            </c:numRef>
          </c:val>
          <c:smooth val="1"/>
          <c:extLst>
            <c:ext xmlns:c16="http://schemas.microsoft.com/office/drawing/2014/chart" uri="{C3380CC4-5D6E-409C-BE32-E72D297353CC}">
              <c16:uniqueId val="{00000002-03C2-4A49-804D-C7D2F1DF67BD}"/>
            </c:ext>
          </c:extLst>
        </c:ser>
        <c:dLbls>
          <c:showLegendKey val="0"/>
          <c:showVal val="0"/>
          <c:showCatName val="0"/>
          <c:showSerName val="0"/>
          <c:showPercent val="0"/>
          <c:showBubbleSize val="0"/>
        </c:dLbls>
        <c:smooth val="0"/>
        <c:axId val="93317184"/>
        <c:axId val="93311776"/>
      </c:lineChart>
      <c:catAx>
        <c:axId val="933171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93311776"/>
        <c:crosses val="autoZero"/>
        <c:auto val="1"/>
        <c:lblAlgn val="ctr"/>
        <c:lblOffset val="100"/>
        <c:noMultiLvlLbl val="0"/>
      </c:catAx>
      <c:valAx>
        <c:axId val="93311776"/>
        <c:scaling>
          <c:orientation val="minMax"/>
          <c:max val="120000"/>
          <c:min val="1000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CO" b="0"/>
                  <a:t>Número de envíos (000´s)</a:t>
                </a:r>
              </a:p>
            </c:rich>
          </c:tx>
          <c:layout>
            <c:manualLayout>
              <c:xMode val="edge"/>
              <c:yMode val="edge"/>
              <c:x val="4.8586055053831859E-2"/>
              <c:y val="0.1887030070716647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CO"/>
          </a:p>
        </c:txPr>
        <c:crossAx val="9331718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81449667276439"/>
          <c:y val="0.1782047043363523"/>
          <c:w val="0.89718550332723557"/>
          <c:h val="0.64123172709755361"/>
        </c:manualLayout>
      </c:layout>
      <c:barChart>
        <c:barDir val="col"/>
        <c:grouping val="clustered"/>
        <c:varyColors val="0"/>
        <c:ser>
          <c:idx val="0"/>
          <c:order val="0"/>
          <c:tx>
            <c:strRef>
              <c:f>'Gráficas informe 3'!$B$170</c:f>
              <c:strCache>
                <c:ptCount val="1"/>
                <c:pt idx="0">
                  <c:v>Envíos &lt; 2 K</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'Gráficas informe 3'!$C$169:$J$169</c:f>
              <c:numCache>
                <c:formatCode>0</c:formatCode>
                <c:ptCount val="8"/>
                <c:pt idx="0">
                  <c:v>2014</c:v>
                </c:pt>
                <c:pt idx="1">
                  <c:v>2015</c:v>
                </c:pt>
                <c:pt idx="2">
                  <c:v>2016</c:v>
                </c:pt>
                <c:pt idx="3">
                  <c:v>2017</c:v>
                </c:pt>
                <c:pt idx="4">
                  <c:v>2018</c:v>
                </c:pt>
                <c:pt idx="5">
                  <c:v>2019</c:v>
                </c:pt>
                <c:pt idx="6">
                  <c:v>2020</c:v>
                </c:pt>
                <c:pt idx="7">
                  <c:v>2021</c:v>
                </c:pt>
              </c:numCache>
            </c:numRef>
          </c:cat>
          <c:val>
            <c:numRef>
              <c:f>'Gráficas informe 3'!$C$170:$J$170</c:f>
              <c:numCache>
                <c:formatCode>"$"\ #,##0</c:formatCode>
                <c:ptCount val="8"/>
                <c:pt idx="0">
                  <c:v>587236.64249136497</c:v>
                </c:pt>
                <c:pt idx="1">
                  <c:v>545225.73164244043</c:v>
                </c:pt>
                <c:pt idx="2">
                  <c:v>587003.96202557522</c:v>
                </c:pt>
                <c:pt idx="3">
                  <c:v>575099.06229035195</c:v>
                </c:pt>
                <c:pt idx="4">
                  <c:v>608452.68456438696</c:v>
                </c:pt>
                <c:pt idx="5">
                  <c:v>648470.36867709574</c:v>
                </c:pt>
                <c:pt idx="6">
                  <c:v>711879.35275742225</c:v>
                </c:pt>
                <c:pt idx="7">
                  <c:v>811424.57569299999</c:v>
                </c:pt>
              </c:numCache>
            </c:numRef>
          </c:val>
          <c:extLst>
            <c:ext xmlns:c16="http://schemas.microsoft.com/office/drawing/2014/chart" uri="{C3380CC4-5D6E-409C-BE32-E72D297353CC}">
              <c16:uniqueId val="{00000000-2FFB-45C3-9D9E-D426B5DEC7C2}"/>
            </c:ext>
          </c:extLst>
        </c:ser>
        <c:ser>
          <c:idx val="1"/>
          <c:order val="1"/>
          <c:tx>
            <c:strRef>
              <c:f>'Gráficas informe 3'!$B$171</c:f>
              <c:strCache>
                <c:ptCount val="1"/>
                <c:pt idx="0">
                  <c:v>Envíos 2-5 K</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numRef>
              <c:f>'Gráficas informe 3'!$C$169:$J$169</c:f>
              <c:numCache>
                <c:formatCode>0</c:formatCode>
                <c:ptCount val="8"/>
                <c:pt idx="0">
                  <c:v>2014</c:v>
                </c:pt>
                <c:pt idx="1">
                  <c:v>2015</c:v>
                </c:pt>
                <c:pt idx="2">
                  <c:v>2016</c:v>
                </c:pt>
                <c:pt idx="3">
                  <c:v>2017</c:v>
                </c:pt>
                <c:pt idx="4">
                  <c:v>2018</c:v>
                </c:pt>
                <c:pt idx="5">
                  <c:v>2019</c:v>
                </c:pt>
                <c:pt idx="6">
                  <c:v>2020</c:v>
                </c:pt>
                <c:pt idx="7">
                  <c:v>2021</c:v>
                </c:pt>
              </c:numCache>
            </c:numRef>
          </c:cat>
          <c:val>
            <c:numRef>
              <c:f>'Gráficas informe 3'!$C$171:$J$171</c:f>
              <c:numCache>
                <c:formatCode>"$"\ #,##0</c:formatCode>
                <c:ptCount val="8"/>
                <c:pt idx="0">
                  <c:v>177480.02354319789</c:v>
                </c:pt>
                <c:pt idx="1">
                  <c:v>179215.5360648848</c:v>
                </c:pt>
                <c:pt idx="2">
                  <c:v>196402.40035414617</c:v>
                </c:pt>
                <c:pt idx="3">
                  <c:v>210796.62530586121</c:v>
                </c:pt>
                <c:pt idx="4">
                  <c:v>250071.30360033122</c:v>
                </c:pt>
                <c:pt idx="5">
                  <c:v>296865.31756376626</c:v>
                </c:pt>
                <c:pt idx="6">
                  <c:v>434256.52870295208</c:v>
                </c:pt>
                <c:pt idx="7">
                  <c:v>439211.393254</c:v>
                </c:pt>
              </c:numCache>
            </c:numRef>
          </c:val>
          <c:extLst>
            <c:ext xmlns:c16="http://schemas.microsoft.com/office/drawing/2014/chart" uri="{C3380CC4-5D6E-409C-BE32-E72D297353CC}">
              <c16:uniqueId val="{00000001-2FFB-45C3-9D9E-D426B5DEC7C2}"/>
            </c:ext>
          </c:extLst>
        </c:ser>
        <c:dLbls>
          <c:showLegendKey val="0"/>
          <c:showVal val="0"/>
          <c:showCatName val="0"/>
          <c:showSerName val="0"/>
          <c:showPercent val="0"/>
          <c:showBubbleSize val="0"/>
        </c:dLbls>
        <c:gapWidth val="164"/>
        <c:overlap val="-22"/>
        <c:axId val="384680112"/>
        <c:axId val="384682608"/>
      </c:barChart>
      <c:catAx>
        <c:axId val="384680112"/>
        <c:scaling>
          <c:orientation val="minMax"/>
        </c:scaling>
        <c:delete val="0"/>
        <c:axPos val="b"/>
        <c:numFmt formatCode="0"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4682608"/>
        <c:crosses val="autoZero"/>
        <c:auto val="1"/>
        <c:lblAlgn val="ctr"/>
        <c:lblOffset val="100"/>
        <c:noMultiLvlLbl val="0"/>
      </c:catAx>
      <c:valAx>
        <c:axId val="384682608"/>
        <c:scaling>
          <c:orientation val="minMax"/>
        </c:scaling>
        <c:delete val="1"/>
        <c:axPos val="l"/>
        <c:numFmt formatCode="&quot;$&quot;\ #,##0" sourceLinked="1"/>
        <c:majorTickMark val="none"/>
        <c:minorTickMark val="none"/>
        <c:tickLblPos val="nextTo"/>
        <c:crossAx val="3846801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t"/>
      <c:layout>
        <c:manualLayout>
          <c:xMode val="edge"/>
          <c:yMode val="edge"/>
          <c:x val="1.3741747327176809E-2"/>
          <c:y val="6.3648972924947589E-2"/>
          <c:w val="0.2651015733012097"/>
          <c:h val="6.4065090423627027E-2"/>
        </c:manualLayout>
      </c:layout>
      <c:overlay val="0"/>
      <c:spPr>
        <a:noFill/>
        <a:ln>
          <a:solidFill>
            <a:schemeClr val="bg1">
              <a:lumMod val="6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percentStacked"/>
        <c:varyColors val="0"/>
        <c:ser>
          <c:idx val="0"/>
          <c:order val="0"/>
          <c:tx>
            <c:strRef>
              <c:f>'Gráficas informe 3'!$B$170</c:f>
              <c:strCache>
                <c:ptCount val="1"/>
                <c:pt idx="0">
                  <c:v>Envíos &lt; 2 K</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('Gráficas informe 3'!$C$169,'Gráficas informe 3'!$F$169,'Gráficas informe 3'!$H$169,'Gráficas informe 3'!$J$169)</c:f>
              <c:numCache>
                <c:formatCode>0</c:formatCode>
                <c:ptCount val="4"/>
                <c:pt idx="0">
                  <c:v>2014</c:v>
                </c:pt>
                <c:pt idx="1">
                  <c:v>2017</c:v>
                </c:pt>
                <c:pt idx="2">
                  <c:v>2019</c:v>
                </c:pt>
                <c:pt idx="3">
                  <c:v>2021</c:v>
                </c:pt>
              </c:numCache>
              <c:extLst/>
            </c:numRef>
          </c:cat>
          <c:val>
            <c:numRef>
              <c:f>('Gráficas informe 3'!$C$170,'Gráficas informe 3'!$F$170,'Gráficas informe 3'!$H$170,'Gráficas informe 3'!$J$170)</c:f>
              <c:numCache>
                <c:formatCode>"$"\ #,##0</c:formatCode>
                <c:ptCount val="4"/>
                <c:pt idx="0">
                  <c:v>587236.64249136497</c:v>
                </c:pt>
                <c:pt idx="1">
                  <c:v>575099.06229035195</c:v>
                </c:pt>
                <c:pt idx="2">
                  <c:v>648470.36867709574</c:v>
                </c:pt>
                <c:pt idx="3">
                  <c:v>811424.57569299999</c:v>
                </c:pt>
              </c:numCache>
              <c:extLst/>
            </c:numRef>
          </c:val>
          <c:extLst>
            <c:ext xmlns:c16="http://schemas.microsoft.com/office/drawing/2014/chart" uri="{C3380CC4-5D6E-409C-BE32-E72D297353CC}">
              <c16:uniqueId val="{00000000-A807-40CD-90C7-7204DAD80857}"/>
            </c:ext>
          </c:extLst>
        </c:ser>
        <c:ser>
          <c:idx val="1"/>
          <c:order val="1"/>
          <c:tx>
            <c:strRef>
              <c:f>'Gráficas informe 3'!$B$171</c:f>
              <c:strCache>
                <c:ptCount val="1"/>
                <c:pt idx="0">
                  <c:v>Envíos 2-5 K</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('Gráficas informe 3'!$C$169,'Gráficas informe 3'!$F$169,'Gráficas informe 3'!$H$169,'Gráficas informe 3'!$J$169)</c:f>
              <c:numCache>
                <c:formatCode>0</c:formatCode>
                <c:ptCount val="4"/>
                <c:pt idx="0">
                  <c:v>2014</c:v>
                </c:pt>
                <c:pt idx="1">
                  <c:v>2017</c:v>
                </c:pt>
                <c:pt idx="2">
                  <c:v>2019</c:v>
                </c:pt>
                <c:pt idx="3">
                  <c:v>2021</c:v>
                </c:pt>
              </c:numCache>
              <c:extLst/>
            </c:numRef>
          </c:cat>
          <c:val>
            <c:numRef>
              <c:f>('Gráficas informe 3'!$C$171,'Gráficas informe 3'!$F$171,'Gráficas informe 3'!$H$171,'Gráficas informe 3'!$J$171)</c:f>
              <c:numCache>
                <c:formatCode>"$"\ #,##0</c:formatCode>
                <c:ptCount val="4"/>
                <c:pt idx="0">
                  <c:v>177480.02354319789</c:v>
                </c:pt>
                <c:pt idx="1">
                  <c:v>210796.62530586121</c:v>
                </c:pt>
                <c:pt idx="2">
                  <c:v>296865.31756376626</c:v>
                </c:pt>
                <c:pt idx="3">
                  <c:v>439211.393254</c:v>
                </c:pt>
              </c:numCache>
              <c:extLst/>
            </c:numRef>
          </c:val>
          <c:extLst>
            <c:ext xmlns:c16="http://schemas.microsoft.com/office/drawing/2014/chart" uri="{C3380CC4-5D6E-409C-BE32-E72D297353CC}">
              <c16:uniqueId val="{00000001-A807-40CD-90C7-7204DAD80857}"/>
            </c:ext>
          </c:extLst>
        </c:ser>
        <c:dLbls>
          <c:dLblPos val="ctr"/>
          <c:showLegendKey val="0"/>
          <c:showVal val="1"/>
          <c:showCatName val="0"/>
          <c:showSerName val="0"/>
          <c:showPercent val="0"/>
          <c:showBubbleSize val="0"/>
        </c:dLbls>
        <c:gapWidth val="79"/>
        <c:overlap val="100"/>
        <c:axId val="263245391"/>
        <c:axId val="263247055"/>
      </c:barChart>
      <c:catAx>
        <c:axId val="26324539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mn-lt"/>
                <a:ea typeface="+mn-ea"/>
                <a:cs typeface="+mn-cs"/>
              </a:defRPr>
            </a:pPr>
            <a:endParaRPr lang="es-CO"/>
          </a:p>
        </c:txPr>
        <c:crossAx val="263247055"/>
        <c:crosses val="autoZero"/>
        <c:auto val="1"/>
        <c:lblAlgn val="ctr"/>
        <c:lblOffset val="100"/>
        <c:noMultiLvlLbl val="0"/>
      </c:catAx>
      <c:valAx>
        <c:axId val="263247055"/>
        <c:scaling>
          <c:orientation val="minMax"/>
        </c:scaling>
        <c:delete val="1"/>
        <c:axPos val="l"/>
        <c:numFmt formatCode="0%" sourceLinked="1"/>
        <c:majorTickMark val="none"/>
        <c:minorTickMark val="none"/>
        <c:tickLblPos val="nextTo"/>
        <c:crossAx val="263245391"/>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'Proyección Demanda'!$B$679</c:f>
              <c:strCache>
                <c:ptCount val="1"/>
                <c:pt idx="0">
                  <c:v>Individuales</c:v>
                </c:pt>
              </c:strCache>
            </c:strRef>
          </c:tx>
          <c:spPr>
            <a:ln w="25400" cap="rnd">
              <a:solidFill>
                <a:schemeClr val="accent1"/>
              </a:solidFill>
              <a:round/>
            </a:ln>
            <a:effectLst/>
          </c:spPr>
          <c:marker>
            <c:symbol val="none"/>
          </c:marker>
          <c:cat>
            <c:numRef>
              <c:f>'Proyección Demanda'!$C$6:$M$6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'Proyección Demanda'!$C$679:$M$679</c:f>
              <c:numCache>
                <c:formatCode>#,##0</c:formatCode>
                <c:ptCount val="11"/>
                <c:pt idx="0">
                  <c:v>98967.965018154835</c:v>
                </c:pt>
                <c:pt idx="1">
                  <c:v>72912.787037209797</c:v>
                </c:pt>
                <c:pt idx="2">
                  <c:v>75330.771925809706</c:v>
                </c:pt>
                <c:pt idx="3">
                  <c:v>71286.026028060893</c:v>
                </c:pt>
                <c:pt idx="4">
                  <c:v>76487.361250000002</c:v>
                </c:pt>
                <c:pt idx="5">
                  <c:v>77292.189499999993</c:v>
                </c:pt>
                <c:pt idx="6">
                  <c:v>79305.860660000006</c:v>
                </c:pt>
                <c:pt idx="7">
                  <c:v>92363.596739999979</c:v>
                </c:pt>
                <c:pt idx="8">
                  <c:v>94801.188975025012</c:v>
                </c:pt>
                <c:pt idx="9">
                  <c:v>95804.735669425922</c:v>
                </c:pt>
                <c:pt idx="10">
                  <c:v>96940.04881761744</c:v>
                </c:pt>
              </c:numCache>
            </c:numRef>
          </c:val>
          <c:smooth val="1"/>
          <c:extLst>
            <c:ext xmlns:c16="http://schemas.microsoft.com/office/drawing/2014/chart" uri="{C3380CC4-5D6E-409C-BE32-E72D297353CC}">
              <c16:uniqueId val="{00000000-916F-44DE-AEE7-301065326147}"/>
            </c:ext>
          </c:extLst>
        </c:ser>
        <c:dLbls>
          <c:showLegendKey val="0"/>
          <c:showVal val="0"/>
          <c:showCatName val="0"/>
          <c:showSerName val="0"/>
          <c:showPercent val="0"/>
          <c:showBubbleSize val="0"/>
        </c:dLbls>
        <c:smooth val="0"/>
        <c:axId val="648197520"/>
        <c:axId val="648203344"/>
      </c:lineChart>
      <c:catAx>
        <c:axId val="6481975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648203344"/>
        <c:crosses val="autoZero"/>
        <c:auto val="1"/>
        <c:lblAlgn val="ctr"/>
        <c:lblOffset val="100"/>
        <c:noMultiLvlLbl val="0"/>
      </c:catAx>
      <c:valAx>
        <c:axId val="648203344"/>
        <c:scaling>
          <c:orientation val="minMax"/>
          <c:min val="7000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CO"/>
                  <a:t>Número de Envíos (000´s)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648197520"/>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56321084864391"/>
          <c:y val="8.9704065062227445E-2"/>
          <c:w val="0.5718182414698163"/>
          <c:h val="0.8673038421282235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DA-4D57-80F9-B25B03B35C8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9DA-4D57-80F9-B25B03B35C8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9DA-4D57-80F9-B25B03B35C8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B9DA-4D57-80F9-B25B03B35C81}"/>
              </c:ext>
            </c:extLst>
          </c:dPt>
          <c:dLbls>
            <c:dLbl>
              <c:idx val="0"/>
              <c:layout>
                <c:manualLayout>
                  <c:x val="9.7725284339457569E-2"/>
                  <c:y val="1.1793689709264352E-2"/>
                </c:manualLayout>
              </c:layout>
              <c:tx>
                <c:rich>
                  <a:bodyPr/>
                  <a:lstStyle/>
                  <a:p>
                    <a:fld id="{B7A29EBA-262B-4398-BF03-865A6987E526}" type="CATEGORYNAME">
                      <a:rPr lang="en-US">
                        <a:solidFill>
                          <a:sysClr val="windowText" lastClr="000000"/>
                        </a:solidFill>
                      </a:rPr>
                      <a:pPr/>
                      <a:t>[NOMBRE DE CATEGORÍA]</a:t>
                    </a:fld>
                    <a:r>
                      <a:rPr lang="en-US" baseline="0">
                        <a:solidFill>
                          <a:sysClr val="windowText" lastClr="000000"/>
                        </a:solidFill>
                      </a:rPr>
                      <a:t>; </a:t>
                    </a:r>
                    <a:fld id="{8CA0B833-97A4-4945-956B-597D9F7CBACF}" type="VALUE">
                      <a:rPr lang="en-US" baseline="0">
                        <a:solidFill>
                          <a:sysClr val="windowText" lastClr="000000"/>
                        </a:solidFill>
                      </a:rPr>
                      <a:pPr/>
                      <a:t>[VALOR]</a:t>
                    </a:fld>
                    <a:endParaRPr lang="en-US" baseline="0">
                      <a:solidFill>
                        <a:sysClr val="windowText" lastClr="000000"/>
                      </a:solidFill>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DA-4D57-80F9-B25B03B35C81}"/>
                </c:ext>
              </c:extLst>
            </c:dLbl>
            <c:dLbl>
              <c:idx val="2"/>
              <c:layout>
                <c:manualLayout>
                  <c:x val="-0.16686767279090114"/>
                  <c:y val="-0.2534391385193134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DA-4D57-80F9-B25B03B35C81}"/>
                </c:ext>
              </c:extLst>
            </c:dLbl>
            <c:dLbl>
              <c:idx val="3"/>
              <c:layout>
                <c:manualLayout>
                  <c:x val="0.18116732283464568"/>
                  <c:y val="0.1655178819942640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DA-4D57-80F9-B25B03B35C8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'Gráficas Real'!$B$26:$B$29</c:f>
              <c:strCache>
                <c:ptCount val="4"/>
                <c:pt idx="0">
                  <c:v>Correo</c:v>
                </c:pt>
                <c:pt idx="1">
                  <c:v>Mensajería especializada</c:v>
                </c:pt>
                <c:pt idx="2">
                  <c:v>Mensajería expresa</c:v>
                </c:pt>
                <c:pt idx="3">
                  <c:v>Giros postales</c:v>
                </c:pt>
              </c:strCache>
            </c:strRef>
          </c:cat>
          <c:val>
            <c:numRef>
              <c:f>'Gráficas Real'!$M$26:$M$29</c:f>
              <c:numCache>
                <c:formatCode>General</c:formatCode>
                <c:ptCount val="4"/>
                <c:pt idx="0" formatCode="0.0%">
                  <c:v>4.9132455044690014E-2</c:v>
                </c:pt>
                <c:pt idx="2" formatCode="0.0%">
                  <c:v>0.63601059361137979</c:v>
                </c:pt>
                <c:pt idx="3" formatCode="0.0%">
                  <c:v>0.3148569513439301</c:v>
                </c:pt>
              </c:numCache>
            </c:numRef>
          </c:val>
          <c:extLst>
            <c:ext xmlns:c16="http://schemas.microsoft.com/office/drawing/2014/chart" uri="{C3380CC4-5D6E-409C-BE32-E72D297353CC}">
              <c16:uniqueId val="{00000008-B9DA-4D57-80F9-B25B03B35C8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6664330332569"/>
          <c:y val="5.6497175141242938E-2"/>
          <c:w val="0.85764110744875632"/>
          <c:h val="0.75181522956779878"/>
        </c:manualLayout>
      </c:layout>
      <c:barChart>
        <c:barDir val="col"/>
        <c:grouping val="clustered"/>
        <c:varyColors val="0"/>
        <c:ser>
          <c:idx val="0"/>
          <c:order val="0"/>
          <c:tx>
            <c:strRef>
              <c:f>'Gráficas Ingresos '!$B$17</c:f>
              <c:strCache>
                <c:ptCount val="1"/>
                <c:pt idx="0">
                  <c:v>Individuales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'Gráficas Ingresos '!$C$6:$P$6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extLst/>
            </c:numRef>
          </c:cat>
          <c:val>
            <c:numRef>
              <c:f>'Gráficas Ingresos '!$C$17:$P$17</c:f>
              <c:numCache>
                <c:formatCode>"$"\ #,##0</c:formatCode>
                <c:ptCount val="11"/>
                <c:pt idx="0">
                  <c:v>642846.25653439155</c:v>
                </c:pt>
                <c:pt idx="1">
                  <c:v>603132.43105639436</c:v>
                </c:pt>
                <c:pt idx="2">
                  <c:v>644082.11557248374</c:v>
                </c:pt>
                <c:pt idx="3">
                  <c:v>633295.69434036862</c:v>
                </c:pt>
                <c:pt idx="4">
                  <c:v>608452.68456438719</c:v>
                </c:pt>
                <c:pt idx="5">
                  <c:v>648470.36867709598</c:v>
                </c:pt>
                <c:pt idx="6">
                  <c:v>711879.35275742237</c:v>
                </c:pt>
                <c:pt idx="7">
                  <c:v>811424.57569300011</c:v>
                </c:pt>
                <c:pt idx="8">
                  <c:v>847241.61932614318</c:v>
                </c:pt>
                <c:pt idx="9">
                  <c:v>871826.94158502249</c:v>
                </c:pt>
                <c:pt idx="10">
                  <c:v>897487.10007530754</c:v>
                </c:pt>
              </c:numCache>
              <c:extLst/>
            </c:numRef>
          </c:val>
          <c:extLst>
            <c:ext xmlns:c16="http://schemas.microsoft.com/office/drawing/2014/chart" uri="{C3380CC4-5D6E-409C-BE32-E72D297353CC}">
              <c16:uniqueId val="{00000000-4687-487E-884F-BAF90645135A}"/>
            </c:ext>
          </c:extLst>
        </c:ser>
        <c:dLbls>
          <c:showLegendKey val="0"/>
          <c:showVal val="0"/>
          <c:showCatName val="0"/>
          <c:showSerName val="0"/>
          <c:showPercent val="0"/>
          <c:showBubbleSize val="0"/>
        </c:dLbls>
        <c:gapWidth val="164"/>
        <c:overlap val="-22"/>
        <c:axId val="981186864"/>
        <c:axId val="981182704"/>
      </c:barChart>
      <c:catAx>
        <c:axId val="981186864"/>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81182704"/>
        <c:crosses val="autoZero"/>
        <c:auto val="1"/>
        <c:lblAlgn val="ctr"/>
        <c:lblOffset val="100"/>
        <c:noMultiLvlLbl val="0"/>
      </c:catAx>
      <c:valAx>
        <c:axId val="981182704"/>
        <c:scaling>
          <c:orientation val="minMax"/>
          <c:max val="1000000"/>
          <c:min val="400000"/>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b="0"/>
                  <a:t>Millones de COP$</a:t>
                </a:r>
              </a:p>
            </c:rich>
          </c:tx>
          <c:layout>
            <c:manualLayout>
              <c:xMode val="edge"/>
              <c:yMode val="edge"/>
              <c:x val="7.8453130288805073E-2"/>
              <c:y val="0.2265892610881266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quot;$&quot;\ #,##0" sourceLinked="1"/>
        <c:majorTickMark val="out"/>
        <c:minorTickMark val="none"/>
        <c:tickLblPos val="nextTo"/>
        <c:crossAx val="9811868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s-CO"/>
          </a:p>
        </c:txPr>
      </c:dTable>
      <c:spPr>
        <a:noFill/>
        <a:ln>
          <a:solidFill>
            <a:schemeClr val="bg1">
              <a:lumMod val="65000"/>
            </a:schemeClr>
          </a:solid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'Proyección Demanda'!$B$825</c:f>
              <c:strCache>
                <c:ptCount val="1"/>
                <c:pt idx="0">
                  <c:v>Individual Nacional</c:v>
                </c:pt>
              </c:strCache>
            </c:strRef>
          </c:tx>
          <c:spPr>
            <a:ln w="25400" cap="rnd">
              <a:solidFill>
                <a:schemeClr val="accent1"/>
              </a:solidFill>
              <a:round/>
            </a:ln>
            <a:effectLst/>
          </c:spPr>
          <c:marker>
            <c:symbol val="none"/>
          </c:marker>
          <c:cat>
            <c:numRef>
              <c:f>'Proyección Demanda'!$C$6:$M$6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'Proyección Demanda'!$C$825:$M$825</c:f>
              <c:numCache>
                <c:formatCode>#,##0</c:formatCode>
                <c:ptCount val="11"/>
                <c:pt idx="0">
                  <c:v>8313.132311914731</c:v>
                </c:pt>
                <c:pt idx="1">
                  <c:v>10412.468867054622</c:v>
                </c:pt>
                <c:pt idx="2">
                  <c:v>11716.596235355162</c:v>
                </c:pt>
                <c:pt idx="3">
                  <c:v>13571.487813231952</c:v>
                </c:pt>
                <c:pt idx="4">
                  <c:v>16646.22813</c:v>
                </c:pt>
                <c:pt idx="5">
                  <c:v>20446.366999999995</c:v>
                </c:pt>
                <c:pt idx="6">
                  <c:v>24500.79046</c:v>
                </c:pt>
                <c:pt idx="7">
                  <c:v>23103.538249999998</c:v>
                </c:pt>
                <c:pt idx="8">
                  <c:v>34481.321283491634</c:v>
                </c:pt>
                <c:pt idx="9">
                  <c:v>41240.642863835594</c:v>
                </c:pt>
                <c:pt idx="10">
                  <c:v>46849.222957455931</c:v>
                </c:pt>
              </c:numCache>
            </c:numRef>
          </c:val>
          <c:smooth val="1"/>
          <c:extLst>
            <c:ext xmlns:c16="http://schemas.microsoft.com/office/drawing/2014/chart" uri="{C3380CC4-5D6E-409C-BE32-E72D297353CC}">
              <c16:uniqueId val="{00000000-31F1-415B-A4DA-C1FC255BDCD1}"/>
            </c:ext>
          </c:extLst>
        </c:ser>
        <c:ser>
          <c:idx val="1"/>
          <c:order val="1"/>
          <c:tx>
            <c:strRef>
              <c:f>'Proyección Demanda'!$B$826</c:f>
              <c:strCache>
                <c:ptCount val="1"/>
                <c:pt idx="0">
                  <c:v>M/E 2-5 K</c:v>
                </c:pt>
              </c:strCache>
            </c:strRef>
          </c:tx>
          <c:spPr>
            <a:ln w="25400" cap="rnd">
              <a:solidFill>
                <a:schemeClr val="tx1">
                  <a:lumMod val="50000"/>
                  <a:lumOff val="50000"/>
                </a:schemeClr>
              </a:solidFill>
              <a:round/>
            </a:ln>
            <a:effectLst/>
          </c:spPr>
          <c:marker>
            <c:symbol val="none"/>
          </c:marker>
          <c:cat>
            <c:numRef>
              <c:f>'Proyección Demanda'!$C$6:$M$6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'Proyección Demanda'!$C$826:$M$826</c:f>
              <c:numCache>
                <c:formatCode>#,##0</c:formatCode>
                <c:ptCount val="11"/>
                <c:pt idx="0">
                  <c:v>10903.478420000001</c:v>
                </c:pt>
                <c:pt idx="1">
                  <c:v>13656.9617</c:v>
                </c:pt>
                <c:pt idx="2">
                  <c:v>15367.45109</c:v>
                </c:pt>
                <c:pt idx="3">
                  <c:v>17800.321100000001</c:v>
                </c:pt>
                <c:pt idx="4">
                  <c:v>22299.528849999999</c:v>
                </c:pt>
                <c:pt idx="5">
                  <c:v>25524.376249999994</c:v>
                </c:pt>
                <c:pt idx="6">
                  <c:v>29902.964080000002</c:v>
                </c:pt>
                <c:pt idx="7">
                  <c:v>27043.562949991578</c:v>
                </c:pt>
                <c:pt idx="8">
                  <c:v>39301.515965084829</c:v>
                </c:pt>
                <c:pt idx="9">
                  <c:v>46645.782359028024</c:v>
                </c:pt>
                <c:pt idx="10">
                  <c:v>52761.344187980343</c:v>
                </c:pt>
              </c:numCache>
            </c:numRef>
          </c:val>
          <c:smooth val="1"/>
          <c:extLst>
            <c:ext xmlns:c16="http://schemas.microsoft.com/office/drawing/2014/chart" uri="{C3380CC4-5D6E-409C-BE32-E72D297353CC}">
              <c16:uniqueId val="{00000001-31F1-415B-A4DA-C1FC255BDCD1}"/>
            </c:ext>
          </c:extLst>
        </c:ser>
        <c:dLbls>
          <c:showLegendKey val="0"/>
          <c:showVal val="0"/>
          <c:showCatName val="0"/>
          <c:showSerName val="0"/>
          <c:showPercent val="0"/>
          <c:showBubbleSize val="0"/>
        </c:dLbls>
        <c:smooth val="0"/>
        <c:axId val="386527888"/>
        <c:axId val="386531632"/>
      </c:lineChart>
      <c:catAx>
        <c:axId val="3865278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86531632"/>
        <c:crosses val="autoZero"/>
        <c:auto val="1"/>
        <c:lblAlgn val="ctr"/>
        <c:lblOffset val="100"/>
        <c:noMultiLvlLbl val="0"/>
      </c:catAx>
      <c:valAx>
        <c:axId val="38653163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CO" b="0"/>
                  <a:t>Número de Envíos (000´s)</a:t>
                </a:r>
              </a:p>
            </c:rich>
          </c:tx>
          <c:layout>
            <c:manualLayout>
              <c:xMode val="edge"/>
              <c:yMode val="edge"/>
              <c:x val="5.267938237965486E-2"/>
              <c:y val="0.2512066223763452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8652788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accent1"/>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9337119334247357E-2"/>
          <c:y val="7.4922286152016543E-2"/>
          <c:w val="0.95752647180500616"/>
          <c:h val="0.78426466511626913"/>
        </c:manualLayout>
      </c:layout>
      <c:barChart>
        <c:barDir val="col"/>
        <c:grouping val="clustered"/>
        <c:varyColors val="0"/>
        <c:ser>
          <c:idx val="0"/>
          <c:order val="0"/>
          <c:tx>
            <c:strRef>
              <c:f>'Gráficas Ingresos '!$B$67</c:f>
              <c:strCache>
                <c:ptCount val="1"/>
                <c:pt idx="0">
                  <c:v>M/E 2-5 K</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1.5197568389057751E-2"/>
                  <c:y val="1.806643290792618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18-4FDF-BB62-5C028A074BBA}"/>
                </c:ext>
              </c:extLst>
            </c:dLbl>
            <c:dLbl>
              <c:idx val="1"/>
              <c:delete val="1"/>
              <c:extLst>
                <c:ext xmlns:c15="http://schemas.microsoft.com/office/drawing/2012/chart" uri="{CE6537A1-D6FC-4f65-9D91-7224C49458BB}"/>
                <c:ext xmlns:c16="http://schemas.microsoft.com/office/drawing/2014/chart" uri="{C3380CC4-5D6E-409C-BE32-E72D297353CC}">
                  <c16:uniqueId val="{00000001-6C18-4FDF-BB62-5C028A074BBA}"/>
                </c:ext>
              </c:extLst>
            </c:dLbl>
            <c:dLbl>
              <c:idx val="2"/>
              <c:layout>
                <c:manualLayout>
                  <c:x val="0"/>
                  <c:y val="2.34411626816690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18-4FDF-BB62-5C028A074BBA}"/>
                </c:ext>
              </c:extLst>
            </c:dLbl>
            <c:dLbl>
              <c:idx val="3"/>
              <c:delete val="1"/>
              <c:extLst>
                <c:ext xmlns:c15="http://schemas.microsoft.com/office/drawing/2012/chart" uri="{CE6537A1-D6FC-4f65-9D91-7224C49458BB}"/>
                <c:ext xmlns:c16="http://schemas.microsoft.com/office/drawing/2014/chart" uri="{C3380CC4-5D6E-409C-BE32-E72D297353CC}">
                  <c16:uniqueId val="{00000003-6C18-4FDF-BB62-5C028A074BBA}"/>
                </c:ext>
              </c:extLst>
            </c:dLbl>
            <c:dLbl>
              <c:idx val="4"/>
              <c:layout>
                <c:manualLayout>
                  <c:x val="3.2566217976551927E-3"/>
                  <c:y val="2.1499385272352817E-2"/>
                </c:manualLayout>
              </c:layout>
              <c:numFmt formatCode="&quot;$&quot;\ #,##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9.5017454125225234E-2"/>
                      <c:h val="8.7879602257457654E-2"/>
                    </c:manualLayout>
                  </c15:layout>
                </c:ext>
                <c:ext xmlns:c16="http://schemas.microsoft.com/office/drawing/2014/chart" uri="{C3380CC4-5D6E-409C-BE32-E72D297353CC}">
                  <c16:uniqueId val="{00000004-6C18-4FDF-BB62-5C028A074BBA}"/>
                </c:ext>
              </c:extLst>
            </c:dLbl>
            <c:dLbl>
              <c:idx val="5"/>
              <c:delete val="1"/>
              <c:extLst>
                <c:ext xmlns:c15="http://schemas.microsoft.com/office/drawing/2012/chart" uri="{CE6537A1-D6FC-4f65-9D91-7224C49458BB}"/>
                <c:ext xmlns:c16="http://schemas.microsoft.com/office/drawing/2014/chart" uri="{C3380CC4-5D6E-409C-BE32-E72D297353CC}">
                  <c16:uniqueId val="{00000005-6C18-4FDF-BB62-5C028A074BBA}"/>
                </c:ext>
              </c:extLst>
            </c:dLbl>
            <c:dLbl>
              <c:idx val="6"/>
              <c:layout>
                <c:manualLayout>
                  <c:x val="-7.9605391001080283E-17"/>
                  <c:y val="0.312626383290209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18-4FDF-BB62-5C028A074BBA}"/>
                </c:ext>
              </c:extLst>
            </c:dLbl>
            <c:dLbl>
              <c:idx val="7"/>
              <c:layout>
                <c:manualLayout>
                  <c:x val="0"/>
                  <c:y val="0.3104039690325990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18-4FDF-BB62-5C028A074BBA}"/>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numRef>
              <c:f>'Gráficas Ingresos '!$C$6:$P$6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extLst/>
            </c:numRef>
          </c:cat>
          <c:val>
            <c:numRef>
              <c:f>'Gráficas Ingresos '!$C$67:$P$67</c:f>
              <c:numCache>
                <c:formatCode>"$"\ #,##0</c:formatCode>
                <c:ptCount val="11"/>
                <c:pt idx="0">
                  <c:v>179074.40529862049</c:v>
                </c:pt>
                <c:pt idx="1">
                  <c:v>180729.4186504329</c:v>
                </c:pt>
                <c:pt idx="2">
                  <c:v>198658.35125944982</c:v>
                </c:pt>
                <c:pt idx="3">
                  <c:v>212793.96160206338</c:v>
                </c:pt>
                <c:pt idx="4">
                  <c:v>251757.49458425416</c:v>
                </c:pt>
                <c:pt idx="5">
                  <c:v>299172.34985655185</c:v>
                </c:pt>
                <c:pt idx="6">
                  <c:v>435887.83560452994</c:v>
                </c:pt>
                <c:pt idx="7">
                  <c:v>442320.18647000002</c:v>
                </c:pt>
                <c:pt idx="8">
                  <c:v>661035.29368921998</c:v>
                </c:pt>
                <c:pt idx="9">
                  <c:v>807809.26188110898</c:v>
                </c:pt>
                <c:pt idx="10">
                  <c:v>941250.32697823958</c:v>
                </c:pt>
              </c:numCache>
              <c:extLst/>
            </c:numRef>
          </c:val>
          <c:extLst>
            <c:ext xmlns:c16="http://schemas.microsoft.com/office/drawing/2014/chart" uri="{C3380CC4-5D6E-409C-BE32-E72D297353CC}">
              <c16:uniqueId val="{00000008-6C18-4FDF-BB62-5C028A074BBA}"/>
            </c:ext>
          </c:extLst>
        </c:ser>
        <c:dLbls>
          <c:showLegendKey val="0"/>
          <c:showVal val="0"/>
          <c:showCatName val="0"/>
          <c:showSerName val="0"/>
          <c:showPercent val="0"/>
          <c:showBubbleSize val="0"/>
        </c:dLbls>
        <c:gapWidth val="100"/>
        <c:overlap val="-24"/>
        <c:axId val="1079278352"/>
        <c:axId val="1079290416"/>
      </c:barChart>
      <c:catAx>
        <c:axId val="107927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079290416"/>
        <c:crosses val="autoZero"/>
        <c:auto val="1"/>
        <c:lblAlgn val="ctr"/>
        <c:lblOffset val="100"/>
        <c:noMultiLvlLbl val="0"/>
      </c:catAx>
      <c:valAx>
        <c:axId val="1079290416"/>
        <c:scaling>
          <c:orientation val="minMax"/>
        </c:scaling>
        <c:delete val="1"/>
        <c:axPos val="l"/>
        <c:numFmt formatCode="&quot;$&quot;\ #,##0" sourceLinked="1"/>
        <c:majorTickMark val="none"/>
        <c:minorTickMark val="none"/>
        <c:tickLblPos val="nextTo"/>
        <c:crossAx val="1079278352"/>
        <c:crosses val="autoZero"/>
        <c:crossBetween val="between"/>
      </c:valAx>
      <c:spPr>
        <a:noFill/>
        <a:ln>
          <a:solidFill>
            <a:schemeClr val="bg1">
              <a:lumMod val="65000"/>
            </a:schemeClr>
          </a:solid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CO"/>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474657125819918E-2"/>
          <c:y val="3.2455360555658695E-2"/>
          <c:w val="0.90697674418604646"/>
          <c:h val="0.84402459401312691"/>
        </c:manualLayout>
      </c:layout>
      <c:barChart>
        <c:barDir val="col"/>
        <c:grouping val="clustered"/>
        <c:varyColors val="0"/>
        <c:ser>
          <c:idx val="0"/>
          <c:order val="0"/>
          <c:tx>
            <c:strRef>
              <c:f>'Flujo de Caja'!$C$6</c:f>
              <c:strCache>
                <c:ptCount val="1"/>
                <c:pt idx="0">
                  <c:v>2021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2"/>
              <c:layout>
                <c:manualLayout>
                  <c:x val="0"/>
                  <c:y val="0.174194633437810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9D-4BE7-B908-78299307F74F}"/>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'Flujo de Caja'!$B$56:$B$58</c:f>
              <c:strCache>
                <c:ptCount val="3"/>
                <c:pt idx="0">
                  <c:v>Tasa Actual : 2,50%</c:v>
                </c:pt>
                <c:pt idx="1">
                  <c:v>Escenario 1 : 1,25%</c:v>
                </c:pt>
                <c:pt idx="2">
                  <c:v>Escenario 2 : 0,75%</c:v>
                </c:pt>
              </c:strCache>
            </c:strRef>
          </c:cat>
          <c:val>
            <c:numRef>
              <c:f>'Flujo de Caja'!$C$56:$C$58</c:f>
              <c:numCache>
                <c:formatCode>#,##0</c:formatCode>
                <c:ptCount val="3"/>
                <c:pt idx="0">
                  <c:v>38458.351411178402</c:v>
                </c:pt>
                <c:pt idx="1">
                  <c:v>19229.175705589201</c:v>
                </c:pt>
                <c:pt idx="2">
                  <c:v>11537.505423353519</c:v>
                </c:pt>
              </c:numCache>
            </c:numRef>
          </c:val>
          <c:extLst>
            <c:ext xmlns:c16="http://schemas.microsoft.com/office/drawing/2014/chart" uri="{C3380CC4-5D6E-409C-BE32-E72D297353CC}">
              <c16:uniqueId val="{00000001-E59D-4BE7-B908-78299307F74F}"/>
            </c:ext>
          </c:extLst>
        </c:ser>
        <c:ser>
          <c:idx val="1"/>
          <c:order val="1"/>
          <c:tx>
            <c:strRef>
              <c:f>'Flujo de Caja'!$D$6</c:f>
              <c:strCache>
                <c:ptCount val="1"/>
                <c:pt idx="0">
                  <c:v>2022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2"/>
              <c:layout>
                <c:manualLayout>
                  <c:x val="0"/>
                  <c:y val="0.183330239059923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9D-4BE7-B908-78299307F74F}"/>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'Flujo de Caja'!$B$56:$B$58</c:f>
              <c:strCache>
                <c:ptCount val="3"/>
                <c:pt idx="0">
                  <c:v>Tasa Actual : 2,50%</c:v>
                </c:pt>
                <c:pt idx="1">
                  <c:v>Escenario 1 : 1,25%</c:v>
                </c:pt>
                <c:pt idx="2">
                  <c:v>Escenario 2 : 0,75%</c:v>
                </c:pt>
              </c:strCache>
            </c:strRef>
          </c:cat>
          <c:val>
            <c:numRef>
              <c:f>'Flujo de Caja'!$D$56:$D$58</c:f>
              <c:numCache>
                <c:formatCode>#,##0</c:formatCode>
                <c:ptCount val="3"/>
                <c:pt idx="0">
                  <c:v>42202.974092584511</c:v>
                </c:pt>
                <c:pt idx="1">
                  <c:v>21101.487046292255</c:v>
                </c:pt>
                <c:pt idx="2">
                  <c:v>12660.892227775354</c:v>
                </c:pt>
              </c:numCache>
            </c:numRef>
          </c:val>
          <c:extLst>
            <c:ext xmlns:c16="http://schemas.microsoft.com/office/drawing/2014/chart" uri="{C3380CC4-5D6E-409C-BE32-E72D297353CC}">
              <c16:uniqueId val="{00000003-E59D-4BE7-B908-78299307F74F}"/>
            </c:ext>
          </c:extLst>
        </c:ser>
        <c:ser>
          <c:idx val="2"/>
          <c:order val="2"/>
          <c:tx>
            <c:strRef>
              <c:f>'Flujo de Caja'!$E$6</c:f>
              <c:strCache>
                <c:ptCount val="1"/>
                <c:pt idx="0">
                  <c:v>2023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'Flujo de Caja'!$B$56:$B$58</c:f>
              <c:strCache>
                <c:ptCount val="3"/>
                <c:pt idx="0">
                  <c:v>Tasa Actual : 2,50%</c:v>
                </c:pt>
                <c:pt idx="1">
                  <c:v>Escenario 1 : 1,25%</c:v>
                </c:pt>
                <c:pt idx="2">
                  <c:v>Escenario 2 : 0,75%</c:v>
                </c:pt>
              </c:strCache>
            </c:strRef>
          </c:cat>
          <c:val>
            <c:numRef>
              <c:f>'Flujo de Caja'!$E$56:$E$58</c:f>
              <c:numCache>
                <c:formatCode>#,##0</c:formatCode>
                <c:ptCount val="3"/>
                <c:pt idx="0">
                  <c:v>45996.220648957482</c:v>
                </c:pt>
                <c:pt idx="1">
                  <c:v>22998.110324478741</c:v>
                </c:pt>
                <c:pt idx="2">
                  <c:v>13798.866194687242</c:v>
                </c:pt>
              </c:numCache>
            </c:numRef>
          </c:val>
          <c:extLst>
            <c:ext xmlns:c16="http://schemas.microsoft.com/office/drawing/2014/chart" uri="{C3380CC4-5D6E-409C-BE32-E72D297353CC}">
              <c16:uniqueId val="{00000004-E59D-4BE7-B908-78299307F74F}"/>
            </c:ext>
          </c:extLst>
        </c:ser>
        <c:ser>
          <c:idx val="3"/>
          <c:order val="3"/>
          <c:tx>
            <c:strRef>
              <c:f>'Flujo de Caja'!$F$6</c:f>
              <c:strCache>
                <c:ptCount val="1"/>
                <c:pt idx="0">
                  <c:v>2024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'Flujo de Caja'!$B$56:$B$58</c:f>
              <c:strCache>
                <c:ptCount val="3"/>
                <c:pt idx="0">
                  <c:v>Tasa Actual : 2,50%</c:v>
                </c:pt>
                <c:pt idx="1">
                  <c:v>Escenario 1 : 1,25%</c:v>
                </c:pt>
                <c:pt idx="2">
                  <c:v>Escenario 2 : 0,75%</c:v>
                </c:pt>
              </c:strCache>
            </c:strRef>
          </c:cat>
          <c:val>
            <c:numRef>
              <c:f>'Flujo de Caja'!$F$56:$F$58</c:f>
              <c:numCache>
                <c:formatCode>#,##0</c:formatCode>
                <c:ptCount val="3"/>
                <c:pt idx="0">
                  <c:v>49494.463423428053</c:v>
                </c:pt>
                <c:pt idx="1">
                  <c:v>24747.231711714026</c:v>
                </c:pt>
                <c:pt idx="2">
                  <c:v>14848.339027028414</c:v>
                </c:pt>
              </c:numCache>
            </c:numRef>
          </c:val>
          <c:extLst>
            <c:ext xmlns:c16="http://schemas.microsoft.com/office/drawing/2014/chart" uri="{C3380CC4-5D6E-409C-BE32-E72D297353CC}">
              <c16:uniqueId val="{00000005-E59D-4BE7-B908-78299307F74F}"/>
            </c:ext>
          </c:extLst>
        </c:ser>
        <c:dLbls>
          <c:dLblPos val="outEnd"/>
          <c:showLegendKey val="0"/>
          <c:showVal val="1"/>
          <c:showCatName val="0"/>
          <c:showSerName val="0"/>
          <c:showPercent val="0"/>
          <c:showBubbleSize val="0"/>
        </c:dLbls>
        <c:gapWidth val="100"/>
        <c:overlap val="-24"/>
        <c:axId val="1357072576"/>
        <c:axId val="1357080480"/>
      </c:barChart>
      <c:catAx>
        <c:axId val="135707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357080480"/>
        <c:crosses val="autoZero"/>
        <c:auto val="1"/>
        <c:lblAlgn val="ctr"/>
        <c:lblOffset val="100"/>
        <c:noMultiLvlLbl val="0"/>
      </c:catAx>
      <c:valAx>
        <c:axId val="1357080480"/>
        <c:scaling>
          <c:orientation val="minMax"/>
        </c:scaling>
        <c:delete val="1"/>
        <c:axPos val="l"/>
        <c:numFmt formatCode="#,##0" sourceLinked="1"/>
        <c:majorTickMark val="none"/>
        <c:minorTickMark val="none"/>
        <c:tickLblPos val="nextTo"/>
        <c:crossAx val="1357072576"/>
        <c:crosses val="autoZero"/>
        <c:crossBetween val="between"/>
      </c:valAx>
      <c:spPr>
        <a:noFill/>
        <a:ln>
          <a:solidFill>
            <a:schemeClr val="bg1">
              <a:lumMod val="65000"/>
            </a:schemeClr>
          </a:solidFill>
        </a:ln>
        <a:effectLst/>
      </c:spPr>
    </c:plotArea>
    <c:legend>
      <c:legendPos val="b"/>
      <c:layout>
        <c:manualLayout>
          <c:xMode val="edge"/>
          <c:yMode val="edge"/>
          <c:x val="0.47184811118468345"/>
          <c:y val="0.18005379085399792"/>
          <c:w val="0.30396785508194457"/>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10118842681104"/>
          <c:y val="6.4383962540239981E-2"/>
          <c:w val="0.80682937206613836"/>
          <c:h val="0.66423832666219607"/>
        </c:manualLayout>
      </c:layout>
      <c:barChart>
        <c:barDir val="bar"/>
        <c:grouping val="stacked"/>
        <c:varyColors val="0"/>
        <c:ser>
          <c:idx val="0"/>
          <c:order val="0"/>
          <c:tx>
            <c:strRef>
              <c:f>Parámetros!$B$83</c:f>
              <c:strCache>
                <c:ptCount val="1"/>
                <c:pt idx="0">
                  <c:v>Giros postales</c:v>
                </c:pt>
              </c:strCache>
            </c:strRef>
          </c:tx>
          <c:spPr>
            <a:solidFill>
              <a:schemeClr val="tx2"/>
            </a:solidFill>
            <a:ln>
              <a:noFill/>
            </a:ln>
            <a:effectLst/>
          </c:spPr>
          <c:invertIfNegative val="0"/>
          <c:cat>
            <c:numRef>
              <c:f>Parámetros!$G$6:$J$6</c:f>
              <c:numCache>
                <c:formatCode>General</c:formatCode>
                <c:ptCount val="4"/>
                <c:pt idx="0">
                  <c:v>2018</c:v>
                </c:pt>
                <c:pt idx="1">
                  <c:v>2019</c:v>
                </c:pt>
                <c:pt idx="2">
                  <c:v>2020</c:v>
                </c:pt>
                <c:pt idx="3">
                  <c:v>2021</c:v>
                </c:pt>
              </c:numCache>
            </c:numRef>
          </c:cat>
          <c:val>
            <c:numRef>
              <c:f>Parámetros!$G$83:$J$83</c:f>
              <c:numCache>
                <c:formatCode>#,##0</c:formatCode>
                <c:ptCount val="4"/>
                <c:pt idx="0">
                  <c:v>118029.41899999999</c:v>
                </c:pt>
                <c:pt idx="1">
                  <c:v>136121.217</c:v>
                </c:pt>
                <c:pt idx="2">
                  <c:v>134816.136</c:v>
                </c:pt>
                <c:pt idx="3">
                  <c:v>127691.806</c:v>
                </c:pt>
              </c:numCache>
            </c:numRef>
          </c:val>
          <c:extLst>
            <c:ext xmlns:c16="http://schemas.microsoft.com/office/drawing/2014/chart" uri="{C3380CC4-5D6E-409C-BE32-E72D297353CC}">
              <c16:uniqueId val="{00000000-F31C-4F3B-B13E-FAD712F53F80}"/>
            </c:ext>
          </c:extLst>
        </c:ser>
        <c:ser>
          <c:idx val="1"/>
          <c:order val="1"/>
          <c:tx>
            <c:strRef>
              <c:f>Parámetros!$B$84</c:f>
              <c:strCache>
                <c:ptCount val="1"/>
                <c:pt idx="0">
                  <c:v>Giros fintech</c:v>
                </c:pt>
              </c:strCache>
            </c:strRef>
          </c:tx>
          <c:spPr>
            <a:solidFill>
              <a:schemeClr val="accent1"/>
            </a:solidFill>
            <a:ln>
              <a:noFill/>
            </a:ln>
            <a:effectLst/>
          </c:spPr>
          <c:invertIfNegative val="0"/>
          <c:cat>
            <c:numRef>
              <c:f>Parámetros!$G$6:$J$6</c:f>
              <c:numCache>
                <c:formatCode>General</c:formatCode>
                <c:ptCount val="4"/>
                <c:pt idx="0">
                  <c:v>2018</c:v>
                </c:pt>
                <c:pt idx="1">
                  <c:v>2019</c:v>
                </c:pt>
                <c:pt idx="2">
                  <c:v>2020</c:v>
                </c:pt>
                <c:pt idx="3">
                  <c:v>2021</c:v>
                </c:pt>
              </c:numCache>
            </c:numRef>
          </c:cat>
          <c:val>
            <c:numRef>
              <c:f>Parámetros!$G$84:$J$84</c:f>
              <c:numCache>
                <c:formatCode>#,##0</c:formatCode>
                <c:ptCount val="4"/>
                <c:pt idx="0">
                  <c:v>10007.973</c:v>
                </c:pt>
                <c:pt idx="1">
                  <c:v>432418.94187837845</c:v>
                </c:pt>
                <c:pt idx="2">
                  <c:v>874845.8567567569</c:v>
                </c:pt>
                <c:pt idx="3">
                  <c:v>1942157.8020000001</c:v>
                </c:pt>
              </c:numCache>
            </c:numRef>
          </c:val>
          <c:extLst>
            <c:ext xmlns:c16="http://schemas.microsoft.com/office/drawing/2014/chart" uri="{C3380CC4-5D6E-409C-BE32-E72D297353CC}">
              <c16:uniqueId val="{00000001-F31C-4F3B-B13E-FAD712F53F80}"/>
            </c:ext>
          </c:extLst>
        </c:ser>
        <c:dLbls>
          <c:showLegendKey val="0"/>
          <c:showVal val="0"/>
          <c:showCatName val="0"/>
          <c:showSerName val="0"/>
          <c:showPercent val="0"/>
          <c:showBubbleSize val="0"/>
        </c:dLbls>
        <c:gapWidth val="150"/>
        <c:overlap val="100"/>
        <c:axId val="365210528"/>
        <c:axId val="365207616"/>
      </c:barChart>
      <c:catAx>
        <c:axId val="3652105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CO" b="0"/>
                  <a:t>Número de Giros (000´s)</a:t>
                </a:r>
              </a:p>
            </c:rich>
          </c:tx>
          <c:layout>
            <c:manualLayout>
              <c:xMode val="edge"/>
              <c:yMode val="edge"/>
              <c:x val="4.037721377966752E-2"/>
              <c:y val="9.734928875769371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65207616"/>
        <c:crosses val="autoZero"/>
        <c:auto val="1"/>
        <c:lblAlgn val="ctr"/>
        <c:lblOffset val="100"/>
        <c:noMultiLvlLbl val="0"/>
      </c:catAx>
      <c:valAx>
        <c:axId val="365207616"/>
        <c:scaling>
          <c:orientation val="minMax"/>
        </c:scaling>
        <c:delete val="1"/>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36521052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67241632789823"/>
          <c:y val="4.9516092730137296E-2"/>
          <c:w val="0.77444569048929679"/>
          <c:h val="0.77600011342268915"/>
        </c:manualLayout>
      </c:layout>
      <c:lineChart>
        <c:grouping val="standard"/>
        <c:varyColors val="0"/>
        <c:ser>
          <c:idx val="0"/>
          <c:order val="0"/>
          <c:tx>
            <c:strRef>
              <c:f>'Proyección Demanda'!$B$338</c:f>
              <c:strCache>
                <c:ptCount val="1"/>
                <c:pt idx="0">
                  <c:v>No giros (000s)</c:v>
                </c:pt>
              </c:strCache>
            </c:strRef>
          </c:tx>
          <c:spPr>
            <a:ln w="25400" cap="rnd">
              <a:solidFill>
                <a:schemeClr val="tx1"/>
              </a:solidFill>
              <a:round/>
            </a:ln>
            <a:effectLst/>
          </c:spPr>
          <c:marker>
            <c:symbol val="none"/>
          </c:marker>
          <c:cat>
            <c:numRef>
              <c:f>'Proyección Demanda'!$F$6:$M$6</c:f>
              <c:numCache>
                <c:formatCode>General</c:formatCode>
                <c:ptCount val="8"/>
                <c:pt idx="0">
                  <c:v>2017</c:v>
                </c:pt>
                <c:pt idx="1">
                  <c:v>2018</c:v>
                </c:pt>
                <c:pt idx="2">
                  <c:v>2019</c:v>
                </c:pt>
                <c:pt idx="3">
                  <c:v>2020</c:v>
                </c:pt>
                <c:pt idx="4">
                  <c:v>2021</c:v>
                </c:pt>
                <c:pt idx="5">
                  <c:v>2022</c:v>
                </c:pt>
                <c:pt idx="6">
                  <c:v>2023</c:v>
                </c:pt>
                <c:pt idx="7">
                  <c:v>2024</c:v>
                </c:pt>
              </c:numCache>
            </c:numRef>
          </c:cat>
          <c:val>
            <c:numRef>
              <c:f>'Proyección Demanda'!$F$338:$M$338</c:f>
              <c:numCache>
                <c:formatCode>#,##0</c:formatCode>
                <c:ptCount val="8"/>
                <c:pt idx="0">
                  <c:v>104308.29675118919</c:v>
                </c:pt>
                <c:pt idx="1">
                  <c:v>118029.41899999999</c:v>
                </c:pt>
                <c:pt idx="2">
                  <c:v>136121.217</c:v>
                </c:pt>
                <c:pt idx="3">
                  <c:v>134816.136</c:v>
                </c:pt>
                <c:pt idx="4">
                  <c:v>127691.806</c:v>
                </c:pt>
                <c:pt idx="5">
                  <c:v>125542.44903390369</c:v>
                </c:pt>
                <c:pt idx="6">
                  <c:v>123700.70392704404</c:v>
                </c:pt>
                <c:pt idx="7">
                  <c:v>122158.19667577525</c:v>
                </c:pt>
              </c:numCache>
            </c:numRef>
          </c:val>
          <c:smooth val="1"/>
          <c:extLst>
            <c:ext xmlns:c16="http://schemas.microsoft.com/office/drawing/2014/chart" uri="{C3380CC4-5D6E-409C-BE32-E72D297353CC}">
              <c16:uniqueId val="{00000000-D324-4CC0-8826-733B5D8AC303}"/>
            </c:ext>
          </c:extLst>
        </c:ser>
        <c:dLbls>
          <c:showLegendKey val="0"/>
          <c:showVal val="0"/>
          <c:showCatName val="0"/>
          <c:showSerName val="0"/>
          <c:showPercent val="0"/>
          <c:showBubbleSize val="0"/>
        </c:dLbls>
        <c:smooth val="0"/>
        <c:axId val="584538256"/>
        <c:axId val="584538672"/>
      </c:lineChart>
      <c:catAx>
        <c:axId val="5845382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584538672"/>
        <c:crosses val="autoZero"/>
        <c:auto val="1"/>
        <c:lblAlgn val="ctr"/>
        <c:lblOffset val="100"/>
        <c:noMultiLvlLbl val="0"/>
      </c:catAx>
      <c:valAx>
        <c:axId val="584538672"/>
        <c:scaling>
          <c:orientation val="minMax"/>
          <c:max val="150000"/>
          <c:min val="8000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CO"/>
                  <a:t>Número de Giros (000´s)</a:t>
                </a:r>
              </a:p>
            </c:rich>
          </c:tx>
          <c:layout>
            <c:manualLayout>
              <c:xMode val="edge"/>
              <c:yMode val="edge"/>
              <c:x val="5.7613168724279837E-2"/>
              <c:y val="0.2195531240413130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584538256"/>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bg1">
          <a:lumMod val="65000"/>
        </a:schemeClr>
      </a:solidFill>
      <a:round/>
    </a:ln>
    <a:effectLst/>
  </c:spPr>
  <c:txPr>
    <a:bodyPr/>
    <a:lstStyle/>
    <a:p>
      <a:pPr>
        <a:defRPr/>
      </a:pPr>
      <a:endParaRPr lang="es-CO"/>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22191185068434"/>
          <c:y val="5.9171597633136092E-2"/>
          <c:w val="0.83089619496651068"/>
          <c:h val="0.75082531036498323"/>
        </c:manualLayout>
      </c:layout>
      <c:barChart>
        <c:barDir val="col"/>
        <c:grouping val="clustered"/>
        <c:varyColors val="0"/>
        <c:ser>
          <c:idx val="0"/>
          <c:order val="0"/>
          <c:tx>
            <c:strRef>
              <c:f>'Gráficas Ingresos '!$B$90</c:f>
              <c:strCache>
                <c:ptCount val="1"/>
                <c:pt idx="0">
                  <c:v>Giros Postales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'Gráficas Ingresos '!$F$6:$P$6</c:f>
              <c:numCache>
                <c:formatCode>General</c:formatCode>
                <c:ptCount val="8"/>
                <c:pt idx="0">
                  <c:v>2017</c:v>
                </c:pt>
                <c:pt idx="1">
                  <c:v>2018</c:v>
                </c:pt>
                <c:pt idx="2">
                  <c:v>2019</c:v>
                </c:pt>
                <c:pt idx="3">
                  <c:v>2020</c:v>
                </c:pt>
                <c:pt idx="4">
                  <c:v>2021</c:v>
                </c:pt>
                <c:pt idx="5">
                  <c:v>2022</c:v>
                </c:pt>
                <c:pt idx="6">
                  <c:v>2023</c:v>
                </c:pt>
                <c:pt idx="7">
                  <c:v>2024</c:v>
                </c:pt>
              </c:numCache>
              <c:extLst/>
            </c:numRef>
          </c:cat>
          <c:val>
            <c:numRef>
              <c:f>'Gráficas Ingresos '!$F$90:$P$90</c:f>
              <c:numCache>
                <c:formatCode>"$"\ #,##0</c:formatCode>
                <c:ptCount val="8"/>
                <c:pt idx="0">
                  <c:v>893641.14213000145</c:v>
                </c:pt>
                <c:pt idx="1">
                  <c:v>939586.02944637754</c:v>
                </c:pt>
                <c:pt idx="2">
                  <c:v>962866.0311950685</c:v>
                </c:pt>
                <c:pt idx="3">
                  <c:v>860662.45826043794</c:v>
                </c:pt>
                <c:pt idx="4">
                  <c:v>718446.98246700002</c:v>
                </c:pt>
                <c:pt idx="5">
                  <c:v>699290.27194686234</c:v>
                </c:pt>
                <c:pt idx="6">
                  <c:v>682141.16069332231</c:v>
                </c:pt>
                <c:pt idx="7">
                  <c:v>666898.73306286556</c:v>
                </c:pt>
              </c:numCache>
              <c:extLst/>
            </c:numRef>
          </c:val>
          <c:extLst>
            <c:ext xmlns:c16="http://schemas.microsoft.com/office/drawing/2014/chart" uri="{C3380CC4-5D6E-409C-BE32-E72D297353CC}">
              <c16:uniqueId val="{00000000-5773-443C-A21E-1CE3753D2BB7}"/>
            </c:ext>
          </c:extLst>
        </c:ser>
        <c:dLbls>
          <c:showLegendKey val="0"/>
          <c:showVal val="0"/>
          <c:showCatName val="0"/>
          <c:showSerName val="0"/>
          <c:showPercent val="0"/>
          <c:showBubbleSize val="0"/>
        </c:dLbls>
        <c:gapWidth val="164"/>
        <c:overlap val="-22"/>
        <c:axId val="212542640"/>
        <c:axId val="212526416"/>
      </c:barChart>
      <c:catAx>
        <c:axId val="2125426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2526416"/>
        <c:crosses val="autoZero"/>
        <c:auto val="1"/>
        <c:lblAlgn val="ctr"/>
        <c:lblOffset val="100"/>
        <c:noMultiLvlLbl val="0"/>
      </c:catAx>
      <c:valAx>
        <c:axId val="212526416"/>
        <c:scaling>
          <c:orientation val="minMax"/>
          <c:max val="1000000"/>
          <c:min val="4000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b="0"/>
                  <a:t>Millones de COP$</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2125426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CO"/>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97271648873072E-2"/>
          <c:y val="5.0925925925925923E-2"/>
          <c:w val="0.9478054567022538"/>
          <c:h val="0.80521580635753864"/>
        </c:manualLayout>
      </c:layout>
      <c:barChart>
        <c:barDir val="col"/>
        <c:grouping val="clustered"/>
        <c:varyColors val="0"/>
        <c:ser>
          <c:idx val="0"/>
          <c:order val="0"/>
          <c:tx>
            <c:strRef>
              <c:f>'Flujo de Caja'!$C$6</c:f>
              <c:strCache>
                <c:ptCount val="1"/>
                <c:pt idx="0">
                  <c:v>2021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'Flujo de Caja'!$B$105:$B$107</c:f>
              <c:strCache>
                <c:ptCount val="3"/>
                <c:pt idx="0">
                  <c:v>Base : 2,50%</c:v>
                </c:pt>
                <c:pt idx="1">
                  <c:v>Tasa 1 : 1,25%</c:v>
                </c:pt>
                <c:pt idx="2">
                  <c:v>Tasa 2 : 0,75%</c:v>
                </c:pt>
              </c:strCache>
            </c:strRef>
          </c:cat>
          <c:val>
            <c:numRef>
              <c:f>'Flujo de Caja'!$C$105:$C$107</c:f>
              <c:numCache>
                <c:formatCode>#,##0</c:formatCode>
                <c:ptCount val="3"/>
                <c:pt idx="0">
                  <c:v>17961.174561675001</c:v>
                </c:pt>
                <c:pt idx="1">
                  <c:v>8980.5872808375007</c:v>
                </c:pt>
                <c:pt idx="2">
                  <c:v>5388.3523685025002</c:v>
                </c:pt>
              </c:numCache>
            </c:numRef>
          </c:val>
          <c:extLst>
            <c:ext xmlns:c16="http://schemas.microsoft.com/office/drawing/2014/chart" uri="{C3380CC4-5D6E-409C-BE32-E72D297353CC}">
              <c16:uniqueId val="{00000000-8E43-4FD7-A36F-F122B8CB352C}"/>
            </c:ext>
          </c:extLst>
        </c:ser>
        <c:ser>
          <c:idx val="1"/>
          <c:order val="1"/>
          <c:tx>
            <c:strRef>
              <c:f>'Flujo de Caja'!$D$6</c:f>
              <c:strCache>
                <c:ptCount val="1"/>
                <c:pt idx="0">
                  <c:v>2022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'Flujo de Caja'!$B$105:$B$107</c:f>
              <c:strCache>
                <c:ptCount val="3"/>
                <c:pt idx="0">
                  <c:v>Base : 2,50%</c:v>
                </c:pt>
                <c:pt idx="1">
                  <c:v>Tasa 1 : 1,25%</c:v>
                </c:pt>
                <c:pt idx="2">
                  <c:v>Tasa 2 : 0,75%</c:v>
                </c:pt>
              </c:strCache>
            </c:strRef>
          </c:cat>
          <c:val>
            <c:numRef>
              <c:f>'Flujo de Caja'!$D$105:$D$107</c:f>
              <c:numCache>
                <c:formatCode>#,##0</c:formatCode>
                <c:ptCount val="3"/>
                <c:pt idx="0">
                  <c:v>17482.256798671558</c:v>
                </c:pt>
                <c:pt idx="1">
                  <c:v>8741.1283993357792</c:v>
                </c:pt>
                <c:pt idx="2">
                  <c:v>5244.6770396014672</c:v>
                </c:pt>
              </c:numCache>
            </c:numRef>
          </c:val>
          <c:extLst>
            <c:ext xmlns:c16="http://schemas.microsoft.com/office/drawing/2014/chart" uri="{C3380CC4-5D6E-409C-BE32-E72D297353CC}">
              <c16:uniqueId val="{00000001-8E43-4FD7-A36F-F122B8CB352C}"/>
            </c:ext>
          </c:extLst>
        </c:ser>
        <c:ser>
          <c:idx val="2"/>
          <c:order val="2"/>
          <c:tx>
            <c:strRef>
              <c:f>'Flujo de Caja'!$E$6</c:f>
              <c:strCache>
                <c:ptCount val="1"/>
                <c:pt idx="0">
                  <c:v>2023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'Flujo de Caja'!$B$105:$B$107</c:f>
              <c:strCache>
                <c:ptCount val="3"/>
                <c:pt idx="0">
                  <c:v>Base : 2,50%</c:v>
                </c:pt>
                <c:pt idx="1">
                  <c:v>Tasa 1 : 1,25%</c:v>
                </c:pt>
                <c:pt idx="2">
                  <c:v>Tasa 2 : 0,75%</c:v>
                </c:pt>
              </c:strCache>
            </c:strRef>
          </c:cat>
          <c:val>
            <c:numRef>
              <c:f>'Flujo de Caja'!$E$105:$E$107</c:f>
              <c:numCache>
                <c:formatCode>#,##0</c:formatCode>
                <c:ptCount val="3"/>
                <c:pt idx="0">
                  <c:v>17053.529017333058</c:v>
                </c:pt>
                <c:pt idx="1">
                  <c:v>8526.7645086665289</c:v>
                </c:pt>
                <c:pt idx="2">
                  <c:v>5116.0587051999173</c:v>
                </c:pt>
              </c:numCache>
            </c:numRef>
          </c:val>
          <c:extLst>
            <c:ext xmlns:c16="http://schemas.microsoft.com/office/drawing/2014/chart" uri="{C3380CC4-5D6E-409C-BE32-E72D297353CC}">
              <c16:uniqueId val="{00000002-8E43-4FD7-A36F-F122B8CB352C}"/>
            </c:ext>
          </c:extLst>
        </c:ser>
        <c:ser>
          <c:idx val="3"/>
          <c:order val="3"/>
          <c:tx>
            <c:strRef>
              <c:f>'Flujo de Caja'!$F$6</c:f>
              <c:strCache>
                <c:ptCount val="1"/>
                <c:pt idx="0">
                  <c:v>2024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'Flujo de Caja'!$B$105:$B$107</c:f>
              <c:strCache>
                <c:ptCount val="3"/>
                <c:pt idx="0">
                  <c:v>Base : 2,50%</c:v>
                </c:pt>
                <c:pt idx="1">
                  <c:v>Tasa 1 : 1,25%</c:v>
                </c:pt>
                <c:pt idx="2">
                  <c:v>Tasa 2 : 0,75%</c:v>
                </c:pt>
              </c:strCache>
            </c:strRef>
          </c:cat>
          <c:val>
            <c:numRef>
              <c:f>'Flujo de Caja'!$F$105:$F$107</c:f>
              <c:numCache>
                <c:formatCode>#,##0</c:formatCode>
                <c:ptCount val="3"/>
                <c:pt idx="0">
                  <c:v>16672.468326571641</c:v>
                </c:pt>
                <c:pt idx="1">
                  <c:v>8336.2341632858206</c:v>
                </c:pt>
                <c:pt idx="2">
                  <c:v>5001.7404979714911</c:v>
                </c:pt>
              </c:numCache>
            </c:numRef>
          </c:val>
          <c:extLst>
            <c:ext xmlns:c16="http://schemas.microsoft.com/office/drawing/2014/chart" uri="{C3380CC4-5D6E-409C-BE32-E72D297353CC}">
              <c16:uniqueId val="{00000003-8E43-4FD7-A36F-F122B8CB352C}"/>
            </c:ext>
          </c:extLst>
        </c:ser>
        <c:dLbls>
          <c:dLblPos val="outEnd"/>
          <c:showLegendKey val="0"/>
          <c:showVal val="1"/>
          <c:showCatName val="0"/>
          <c:showSerName val="0"/>
          <c:showPercent val="0"/>
          <c:showBubbleSize val="0"/>
        </c:dLbls>
        <c:gapWidth val="100"/>
        <c:overlap val="-24"/>
        <c:axId val="1508979408"/>
        <c:axId val="1508974000"/>
      </c:barChart>
      <c:catAx>
        <c:axId val="150897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508974000"/>
        <c:crosses val="autoZero"/>
        <c:auto val="1"/>
        <c:lblAlgn val="ctr"/>
        <c:lblOffset val="100"/>
        <c:noMultiLvlLbl val="0"/>
      </c:catAx>
      <c:valAx>
        <c:axId val="1508974000"/>
        <c:scaling>
          <c:orientation val="minMax"/>
        </c:scaling>
        <c:delete val="1"/>
        <c:axPos val="l"/>
        <c:numFmt formatCode="#,##0" sourceLinked="1"/>
        <c:majorTickMark val="none"/>
        <c:minorTickMark val="none"/>
        <c:tickLblPos val="nextTo"/>
        <c:crossAx val="1508979408"/>
        <c:crosses val="autoZero"/>
        <c:crossBetween val="between"/>
      </c:valAx>
      <c:spPr>
        <a:noFill/>
        <a:ln>
          <a:noFill/>
        </a:ln>
        <a:effectLst/>
      </c:spPr>
    </c:plotArea>
    <c:legend>
      <c:legendPos val="b"/>
      <c:layout>
        <c:manualLayout>
          <c:xMode val="edge"/>
          <c:yMode val="edge"/>
          <c:x val="0.57709679528493107"/>
          <c:y val="0.13483741615631376"/>
          <c:w val="0.355889259394177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'Proyección Demanda'!$G$6</c:f>
              <c:strCache>
                <c:ptCount val="1"/>
                <c:pt idx="0">
                  <c:v>2018</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Demanda'!$G$605</c:f>
              <c:numCache>
                <c:formatCode>#,##0</c:formatCode>
                <c:ptCount val="1"/>
                <c:pt idx="0">
                  <c:v>785.54000000000008</c:v>
                </c:pt>
              </c:numCache>
            </c:numRef>
          </c:val>
          <c:extLst>
            <c:ext xmlns:c16="http://schemas.microsoft.com/office/drawing/2014/chart" uri="{C3380CC4-5D6E-409C-BE32-E72D297353CC}">
              <c16:uniqueId val="{00000000-0FB9-4699-94A8-A5597B6FA29C}"/>
            </c:ext>
          </c:extLst>
        </c:ser>
        <c:ser>
          <c:idx val="1"/>
          <c:order val="1"/>
          <c:tx>
            <c:strRef>
              <c:f>'Proyección Demanda'!$H$6</c:f>
              <c:strCache>
                <c:ptCount val="1"/>
                <c:pt idx="0">
                  <c:v>2019</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Demanda'!$H$605</c:f>
              <c:numCache>
                <c:formatCode>#,##0</c:formatCode>
                <c:ptCount val="1"/>
                <c:pt idx="0">
                  <c:v>906.81200000000013</c:v>
                </c:pt>
              </c:numCache>
            </c:numRef>
          </c:val>
          <c:extLst>
            <c:ext xmlns:c16="http://schemas.microsoft.com/office/drawing/2014/chart" uri="{C3380CC4-5D6E-409C-BE32-E72D297353CC}">
              <c16:uniqueId val="{00000001-0FB9-4699-94A8-A5597B6FA29C}"/>
            </c:ext>
          </c:extLst>
        </c:ser>
        <c:ser>
          <c:idx val="2"/>
          <c:order val="2"/>
          <c:tx>
            <c:strRef>
              <c:f>'Proyección Demanda'!$I$6</c:f>
              <c:strCache>
                <c:ptCount val="1"/>
                <c:pt idx="0">
                  <c:v>2020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Demanda'!$I$605</c:f>
              <c:numCache>
                <c:formatCode>#,##0</c:formatCode>
                <c:ptCount val="1"/>
                <c:pt idx="0">
                  <c:v>1028.0839999999998</c:v>
                </c:pt>
              </c:numCache>
            </c:numRef>
          </c:val>
          <c:extLst>
            <c:ext xmlns:c16="http://schemas.microsoft.com/office/drawing/2014/chart" uri="{C3380CC4-5D6E-409C-BE32-E72D297353CC}">
              <c16:uniqueId val="{00000002-0FB9-4699-94A8-A5597B6FA29C}"/>
            </c:ext>
          </c:extLst>
        </c:ser>
        <c:ser>
          <c:idx val="3"/>
          <c:order val="3"/>
          <c:tx>
            <c:strRef>
              <c:f>'Proyección Demanda'!$J$6</c:f>
              <c:strCache>
                <c:ptCount val="1"/>
                <c:pt idx="0">
                  <c:v>2021</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Demanda'!$J$605</c:f>
              <c:numCache>
                <c:formatCode>#,##0</c:formatCode>
                <c:ptCount val="1"/>
                <c:pt idx="0">
                  <c:v>1176.1392630633613</c:v>
                </c:pt>
              </c:numCache>
            </c:numRef>
          </c:val>
          <c:extLst>
            <c:ext xmlns:c16="http://schemas.microsoft.com/office/drawing/2014/chart" uri="{C3380CC4-5D6E-409C-BE32-E72D297353CC}">
              <c16:uniqueId val="{00000003-0FB9-4699-94A8-A5597B6FA29C}"/>
            </c:ext>
          </c:extLst>
        </c:ser>
        <c:ser>
          <c:idx val="4"/>
          <c:order val="4"/>
          <c:tx>
            <c:strRef>
              <c:f>'Proyección Demanda'!$K$6</c:f>
              <c:strCache>
                <c:ptCount val="1"/>
                <c:pt idx="0">
                  <c:v>2022</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Demanda'!$K$605</c:f>
              <c:numCache>
                <c:formatCode>#,##0</c:formatCode>
                <c:ptCount val="1"/>
                <c:pt idx="0">
                  <c:v>1333.6591085623056</c:v>
                </c:pt>
              </c:numCache>
            </c:numRef>
          </c:val>
          <c:extLst>
            <c:ext xmlns:c16="http://schemas.microsoft.com/office/drawing/2014/chart" uri="{C3380CC4-5D6E-409C-BE32-E72D297353CC}">
              <c16:uniqueId val="{00000004-0FB9-4699-94A8-A5597B6FA29C}"/>
            </c:ext>
          </c:extLst>
        </c:ser>
        <c:ser>
          <c:idx val="5"/>
          <c:order val="5"/>
          <c:tx>
            <c:strRef>
              <c:f>'Proyección Demanda'!$L$6</c:f>
              <c:strCache>
                <c:ptCount val="1"/>
                <c:pt idx="0">
                  <c:v>2023</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Demanda'!$L$605</c:f>
              <c:numCache>
                <c:formatCode>#,##0</c:formatCode>
                <c:ptCount val="1"/>
                <c:pt idx="0">
                  <c:v>1511.6794700736273</c:v>
                </c:pt>
              </c:numCache>
            </c:numRef>
          </c:val>
          <c:extLst>
            <c:ext xmlns:c16="http://schemas.microsoft.com/office/drawing/2014/chart" uri="{C3380CC4-5D6E-409C-BE32-E72D297353CC}">
              <c16:uniqueId val="{00000005-0FB9-4699-94A8-A5597B6FA29C}"/>
            </c:ext>
          </c:extLst>
        </c:ser>
        <c:ser>
          <c:idx val="6"/>
          <c:order val="6"/>
          <c:tx>
            <c:strRef>
              <c:f>'Proyección Demanda'!$M$6</c:f>
              <c:strCache>
                <c:ptCount val="1"/>
                <c:pt idx="0">
                  <c:v>2024</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Demanda'!$M$605</c:f>
              <c:numCache>
                <c:formatCode>#,##0</c:formatCode>
                <c:ptCount val="1"/>
                <c:pt idx="0">
                  <c:v>1712.71990383509</c:v>
                </c:pt>
              </c:numCache>
            </c:numRef>
          </c:val>
          <c:extLst>
            <c:ext xmlns:c16="http://schemas.microsoft.com/office/drawing/2014/chart" uri="{C3380CC4-5D6E-409C-BE32-E72D297353CC}">
              <c16:uniqueId val="{00000006-0FB9-4699-94A8-A5597B6FA29C}"/>
            </c:ext>
          </c:extLst>
        </c:ser>
        <c:dLbls>
          <c:showLegendKey val="0"/>
          <c:showVal val="0"/>
          <c:showCatName val="0"/>
          <c:showSerName val="0"/>
          <c:showPercent val="0"/>
          <c:showBubbleSize val="0"/>
        </c:dLbls>
        <c:gapWidth val="164"/>
        <c:overlap val="-22"/>
        <c:axId val="1509572256"/>
        <c:axId val="1509558112"/>
      </c:barChart>
      <c:catAx>
        <c:axId val="1509572256"/>
        <c:scaling>
          <c:orientation val="minMax"/>
        </c:scaling>
        <c:delete val="1"/>
        <c:axPos val="b"/>
        <c:numFmt formatCode="General" sourceLinked="1"/>
        <c:majorTickMark val="none"/>
        <c:minorTickMark val="none"/>
        <c:tickLblPos val="nextTo"/>
        <c:crossAx val="1509558112"/>
        <c:crosses val="autoZero"/>
        <c:auto val="1"/>
        <c:lblAlgn val="ctr"/>
        <c:lblOffset val="100"/>
        <c:noMultiLvlLbl val="0"/>
      </c:catAx>
      <c:valAx>
        <c:axId val="1509558112"/>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b="0"/>
                  <a:t>Millones de COP$</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crossAx val="1509572256"/>
        <c:crosses val="autoZero"/>
        <c:crossBetween val="between"/>
      </c:valAx>
      <c:spPr>
        <a:noFill/>
        <a:ln>
          <a:noFill/>
        </a:ln>
        <a:effectLst/>
      </c:spPr>
    </c:plotArea>
    <c:legend>
      <c:legendPos val="b"/>
      <c:layout>
        <c:manualLayout>
          <c:xMode val="edge"/>
          <c:yMode val="edge"/>
          <c:x val="6.5475526085555097E-2"/>
          <c:y val="0.90389928278463805"/>
          <c:w val="0.86203140396924072"/>
          <c:h val="6.26745333713508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0959014738542"/>
          <c:y val="8.2645153886574702E-2"/>
          <c:w val="0.81772630728851203"/>
          <c:h val="0.76104788231054343"/>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8.2051282051282051E-3"/>
                  <c:y val="-3.82043935052534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60-49CC-A830-093ADCCC4027}"/>
                </c:ext>
              </c:extLst>
            </c:dLbl>
            <c:dLbl>
              <c:idx val="2"/>
              <c:layout>
                <c:manualLayout>
                  <c:x val="-3.9802695500540142E-17"/>
                  <c:y val="1.3540961408259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60-49CC-A830-093ADCCC4027}"/>
                </c:ext>
              </c:extLst>
            </c:dLbl>
            <c:dLbl>
              <c:idx val="3"/>
              <c:layout>
                <c:manualLayout>
                  <c:x val="-2.1710811984368612E-3"/>
                  <c:y val="1.805461521101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60-49CC-A830-093ADCCC4027}"/>
                </c:ext>
              </c:extLst>
            </c:dLbl>
            <c:dLbl>
              <c:idx val="4"/>
              <c:layout>
                <c:manualLayout>
                  <c:x val="-1.8117416174042074E-3"/>
                  <c:y val="2.77287613929783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60-49CC-A830-093ADCCC4027}"/>
                </c:ext>
              </c:extLst>
            </c:dLbl>
            <c:dLbl>
              <c:idx val="6"/>
              <c:layout>
                <c:manualLayout>
                  <c:x val="0"/>
                  <c:y val="1.8054615211013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60-49CC-A830-093ADCCC40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'Gráficas Ingresos '!$E$6:$Q$6</c:f>
              <c:numCache>
                <c:formatCode>General</c:formatCode>
                <c:ptCount val="10"/>
                <c:pt idx="0">
                  <c:v>2016</c:v>
                </c:pt>
                <c:pt idx="1">
                  <c:v>2017</c:v>
                </c:pt>
                <c:pt idx="2">
                  <c:v>2018</c:v>
                </c:pt>
                <c:pt idx="3">
                  <c:v>2019</c:v>
                </c:pt>
                <c:pt idx="4">
                  <c:v>2020</c:v>
                </c:pt>
                <c:pt idx="5">
                  <c:v>2021</c:v>
                </c:pt>
                <c:pt idx="6">
                  <c:v>2022</c:v>
                </c:pt>
                <c:pt idx="7">
                  <c:v>2023</c:v>
                </c:pt>
                <c:pt idx="8">
                  <c:v>2024</c:v>
                </c:pt>
              </c:numCache>
              <c:extLst/>
            </c:numRef>
          </c:cat>
          <c:val>
            <c:numRef>
              <c:f>'Gráficas Ingresos '!$E$114:$P$114</c:f>
              <c:numCache>
                <c:formatCode>"$"\ #,##0</c:formatCode>
                <c:ptCount val="9"/>
                <c:pt idx="0">
                  <c:v>16360.957589585192</c:v>
                </c:pt>
                <c:pt idx="1">
                  <c:v>14673.796774055709</c:v>
                </c:pt>
                <c:pt idx="2">
                  <c:v>13734.478854381756</c:v>
                </c:pt>
                <c:pt idx="3">
                  <c:v>17368.386264669673</c:v>
                </c:pt>
                <c:pt idx="4">
                  <c:v>4897.671324295261</c:v>
                </c:pt>
                <c:pt idx="5">
                  <c:v>7368.93710981</c:v>
                </c:pt>
                <c:pt idx="6">
                  <c:v>8481.1936491208944</c:v>
                </c:pt>
                <c:pt idx="7">
                  <c:v>9757.4852017016474</c:v>
                </c:pt>
                <c:pt idx="8">
                  <c:v>11220.974445230477</c:v>
                </c:pt>
              </c:numCache>
              <c:extLst/>
            </c:numRef>
          </c:val>
          <c:extLst>
            <c:ext xmlns:c16="http://schemas.microsoft.com/office/drawing/2014/chart" uri="{C3380CC4-5D6E-409C-BE32-E72D297353CC}">
              <c16:uniqueId val="{00000005-F760-49CC-A830-093ADCCC4027}"/>
            </c:ext>
          </c:extLst>
        </c:ser>
        <c:dLbls>
          <c:showLegendKey val="0"/>
          <c:showVal val="0"/>
          <c:showCatName val="0"/>
          <c:showSerName val="0"/>
          <c:showPercent val="0"/>
          <c:showBubbleSize val="0"/>
        </c:dLbls>
        <c:gapWidth val="100"/>
        <c:overlap val="-24"/>
        <c:axId val="978785392"/>
        <c:axId val="978785808"/>
      </c:barChart>
      <c:catAx>
        <c:axId val="97878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978785808"/>
        <c:crosses val="autoZero"/>
        <c:auto val="1"/>
        <c:lblAlgn val="ctr"/>
        <c:lblOffset val="100"/>
        <c:noMultiLvlLbl val="0"/>
      </c:catAx>
      <c:valAx>
        <c:axId val="978785808"/>
        <c:scaling>
          <c:orientation val="minMax"/>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s-CO" sz="900" cap="none" baseline="0" dirty="0"/>
                  <a:t>Encomiendas – MM de $ reales</a:t>
                </a:r>
              </a:p>
            </c:rich>
          </c:tx>
          <c:layout>
            <c:manualLayout>
              <c:xMode val="edge"/>
              <c:yMode val="edge"/>
              <c:x val="1.654363873208858E-2"/>
              <c:y val="0.1525007241393404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O"/>
            </a:p>
          </c:txPr>
        </c:title>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978785392"/>
        <c:crosses val="autoZero"/>
        <c:crossBetween val="between"/>
        <c:majorUnit val="4000"/>
      </c:valAx>
      <c:spPr>
        <a:noFill/>
        <a:ln>
          <a:solidFill>
            <a:schemeClr val="bg1">
              <a:lumMod val="65000"/>
            </a:schemeClr>
          </a:solidFill>
        </a:ln>
        <a:effectLst/>
      </c:spPr>
    </c:plotArea>
    <c:plotVisOnly val="1"/>
    <c:dispBlanksAs val="gap"/>
    <c:showDLblsOverMax val="0"/>
  </c:chart>
  <c:spPr>
    <a:noFill/>
    <a:ln w="9525" cap="flat" cmpd="sng" algn="ctr">
      <a:solidFill>
        <a:schemeClr val="bg1">
          <a:lumMod val="50000"/>
        </a:schemeClr>
      </a:solidFill>
      <a:round/>
    </a:ln>
    <a:effectLst/>
  </c:spPr>
  <c:txPr>
    <a:bodyPr/>
    <a:lstStyle/>
    <a:p>
      <a:pPr>
        <a:defRPr/>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11299278383508"/>
          <c:y val="5.8253912563340102E-2"/>
          <c:w val="0.85033149672374608"/>
          <c:h val="0.59321189672328201"/>
        </c:manualLayout>
      </c:layout>
      <c:barChart>
        <c:barDir val="col"/>
        <c:grouping val="clustered"/>
        <c:varyColors val="0"/>
        <c:ser>
          <c:idx val="2"/>
          <c:order val="0"/>
          <c:tx>
            <c:strRef>
              <c:f>'Gráficas Real'!$AC$26</c:f>
              <c:strCache>
                <c:ptCount val="1"/>
                <c:pt idx="0">
                  <c:v>Individual</c:v>
                </c:pt>
              </c:strCache>
            </c:strRef>
          </c:tx>
          <c:spPr>
            <a:solidFill>
              <a:schemeClr val="accent5"/>
            </a:solidFill>
            <a:ln>
              <a:noFill/>
            </a:ln>
            <a:effectLst/>
          </c:spPr>
          <c:invertIfNegative val="0"/>
          <c:cat>
            <c:numRef>
              <c:f>'Gráficas Real'!$AD$25:$AK$25</c:f>
              <c:numCache>
                <c:formatCode>0</c:formatCode>
                <c:ptCount val="8"/>
                <c:pt idx="0">
                  <c:v>2014</c:v>
                </c:pt>
                <c:pt idx="1">
                  <c:v>2015</c:v>
                </c:pt>
                <c:pt idx="2">
                  <c:v>2016</c:v>
                </c:pt>
                <c:pt idx="3">
                  <c:v>2017</c:v>
                </c:pt>
                <c:pt idx="4">
                  <c:v>2018</c:v>
                </c:pt>
                <c:pt idx="5">
                  <c:v>2019</c:v>
                </c:pt>
                <c:pt idx="6">
                  <c:v>2020</c:v>
                </c:pt>
                <c:pt idx="7">
                  <c:v>2021</c:v>
                </c:pt>
              </c:numCache>
            </c:numRef>
          </c:cat>
          <c:val>
            <c:numRef>
              <c:f>'Gráficas Real'!$AD$26:$AK$26</c:f>
              <c:numCache>
                <c:formatCode>#,##0</c:formatCode>
                <c:ptCount val="8"/>
                <c:pt idx="0">
                  <c:v>956930.72837315453</c:v>
                </c:pt>
                <c:pt idx="1">
                  <c:v>919093.13060598855</c:v>
                </c:pt>
                <c:pt idx="2">
                  <c:v>965660.3331145281</c:v>
                </c:pt>
                <c:pt idx="3">
                  <c:v>964632.68951990618</c:v>
                </c:pt>
                <c:pt idx="4">
                  <c:v>1029468.8417607363</c:v>
                </c:pt>
                <c:pt idx="5">
                  <c:v>1118240.5658882342</c:v>
                </c:pt>
                <c:pt idx="6">
                  <c:v>1297370.3951194845</c:v>
                </c:pt>
                <c:pt idx="7">
                  <c:v>1345365.05720825</c:v>
                </c:pt>
              </c:numCache>
            </c:numRef>
          </c:val>
          <c:extLst>
            <c:ext xmlns:c16="http://schemas.microsoft.com/office/drawing/2014/chart" uri="{C3380CC4-5D6E-409C-BE32-E72D297353CC}">
              <c16:uniqueId val="{00000000-595B-4B8E-89C1-BF7FBBFDF4B7}"/>
            </c:ext>
          </c:extLst>
        </c:ser>
        <c:ser>
          <c:idx val="1"/>
          <c:order val="1"/>
          <c:tx>
            <c:strRef>
              <c:f>'Gráficas Real'!$AC$27</c:f>
              <c:strCache>
                <c:ptCount val="1"/>
                <c:pt idx="0">
                  <c:v>Masivo</c:v>
                </c:pt>
              </c:strCache>
            </c:strRef>
          </c:tx>
          <c:spPr>
            <a:solidFill>
              <a:schemeClr val="accent3"/>
            </a:solidFill>
            <a:ln>
              <a:noFill/>
            </a:ln>
            <a:effectLst/>
          </c:spPr>
          <c:invertIfNegative val="0"/>
          <c:cat>
            <c:numRef>
              <c:f>'Gráficas Real'!$AD$25:$AK$25</c:f>
              <c:numCache>
                <c:formatCode>0</c:formatCode>
                <c:ptCount val="8"/>
                <c:pt idx="0">
                  <c:v>2014</c:v>
                </c:pt>
                <c:pt idx="1">
                  <c:v>2015</c:v>
                </c:pt>
                <c:pt idx="2">
                  <c:v>2016</c:v>
                </c:pt>
                <c:pt idx="3">
                  <c:v>2017</c:v>
                </c:pt>
                <c:pt idx="4">
                  <c:v>2018</c:v>
                </c:pt>
                <c:pt idx="5">
                  <c:v>2019</c:v>
                </c:pt>
                <c:pt idx="6">
                  <c:v>2020</c:v>
                </c:pt>
                <c:pt idx="7">
                  <c:v>2021</c:v>
                </c:pt>
              </c:numCache>
            </c:numRef>
          </c:cat>
          <c:val>
            <c:numRef>
              <c:f>'Gráficas Real'!$AD$27:$AK$27</c:f>
              <c:numCache>
                <c:formatCode>#,##0</c:formatCode>
                <c:ptCount val="8"/>
                <c:pt idx="0">
                  <c:v>430616.55231854157</c:v>
                </c:pt>
                <c:pt idx="1">
                  <c:v>415734.4409176897</c:v>
                </c:pt>
                <c:pt idx="2">
                  <c:v>342907.93527283095</c:v>
                </c:pt>
                <c:pt idx="3">
                  <c:v>323074.39416180545</c:v>
                </c:pt>
                <c:pt idx="4">
                  <c:v>286074.69126219122</c:v>
                </c:pt>
                <c:pt idx="5">
                  <c:v>260707.1155419767</c:v>
                </c:pt>
                <c:pt idx="6">
                  <c:v>212381.28264519264</c:v>
                </c:pt>
                <c:pt idx="7">
                  <c:v>218008.25808344001</c:v>
                </c:pt>
              </c:numCache>
            </c:numRef>
          </c:val>
          <c:extLst>
            <c:ext xmlns:c16="http://schemas.microsoft.com/office/drawing/2014/chart" uri="{C3380CC4-5D6E-409C-BE32-E72D297353CC}">
              <c16:uniqueId val="{00000001-595B-4B8E-89C1-BF7FBBFDF4B7}"/>
            </c:ext>
          </c:extLst>
        </c:ser>
        <c:ser>
          <c:idx val="0"/>
          <c:order val="2"/>
          <c:tx>
            <c:strRef>
              <c:f>'Gráficas Real'!$AC$28</c:f>
              <c:strCache>
                <c:ptCount val="1"/>
                <c:pt idx="0">
                  <c:v>Total mercado postal</c:v>
                </c:pt>
              </c:strCache>
            </c:strRef>
          </c:tx>
          <c:spPr>
            <a:solidFill>
              <a:schemeClr val="accent1"/>
            </a:solidFill>
            <a:ln>
              <a:noFill/>
            </a:ln>
            <a:effectLst/>
          </c:spPr>
          <c:invertIfNegative val="0"/>
          <c:cat>
            <c:numRef>
              <c:f>'Gráficas Real'!$AD$25:$AK$25</c:f>
              <c:numCache>
                <c:formatCode>0</c:formatCode>
                <c:ptCount val="8"/>
                <c:pt idx="0">
                  <c:v>2014</c:v>
                </c:pt>
                <c:pt idx="1">
                  <c:v>2015</c:v>
                </c:pt>
                <c:pt idx="2">
                  <c:v>2016</c:v>
                </c:pt>
                <c:pt idx="3">
                  <c:v>2017</c:v>
                </c:pt>
                <c:pt idx="4">
                  <c:v>2018</c:v>
                </c:pt>
                <c:pt idx="5">
                  <c:v>2019</c:v>
                </c:pt>
                <c:pt idx="6">
                  <c:v>2020</c:v>
                </c:pt>
                <c:pt idx="7">
                  <c:v>2021</c:v>
                </c:pt>
              </c:numCache>
            </c:numRef>
          </c:cat>
          <c:val>
            <c:numRef>
              <c:f>'Gráficas Real'!$AD$28:$AK$28</c:f>
              <c:numCache>
                <c:formatCode>"$"#,##0</c:formatCode>
                <c:ptCount val="8"/>
                <c:pt idx="0">
                  <c:v>1387547.2806916959</c:v>
                </c:pt>
                <c:pt idx="1">
                  <c:v>1334827.5715236783</c:v>
                </c:pt>
                <c:pt idx="2">
                  <c:v>1308568.2683873591</c:v>
                </c:pt>
                <c:pt idx="3">
                  <c:v>1287707.0836817117</c:v>
                </c:pt>
                <c:pt idx="4">
                  <c:v>1315543.5330229276</c:v>
                </c:pt>
                <c:pt idx="5">
                  <c:v>1378947.6814302111</c:v>
                </c:pt>
                <c:pt idx="6">
                  <c:v>1509751.6777646774</c:v>
                </c:pt>
                <c:pt idx="7">
                  <c:v>1563373.3152916902</c:v>
                </c:pt>
              </c:numCache>
            </c:numRef>
          </c:val>
          <c:extLst>
            <c:ext xmlns:c16="http://schemas.microsoft.com/office/drawing/2014/chart" uri="{C3380CC4-5D6E-409C-BE32-E72D297353CC}">
              <c16:uniqueId val="{00000002-595B-4B8E-89C1-BF7FBBFDF4B7}"/>
            </c:ext>
          </c:extLst>
        </c:ser>
        <c:dLbls>
          <c:showLegendKey val="0"/>
          <c:showVal val="0"/>
          <c:showCatName val="0"/>
          <c:showSerName val="0"/>
          <c:showPercent val="0"/>
          <c:showBubbleSize val="0"/>
        </c:dLbls>
        <c:gapWidth val="267"/>
        <c:overlap val="-43"/>
        <c:axId val="519598192"/>
        <c:axId val="519599504"/>
      </c:barChart>
      <c:catAx>
        <c:axId val="519598192"/>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519599504"/>
        <c:crosses val="autoZero"/>
        <c:auto val="1"/>
        <c:lblAlgn val="ctr"/>
        <c:lblOffset val="100"/>
        <c:noMultiLvlLbl val="0"/>
      </c:catAx>
      <c:valAx>
        <c:axId val="5195995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CO" b="0"/>
                  <a:t>Millones de $ reales de 2021</a:t>
                </a:r>
              </a:p>
            </c:rich>
          </c:tx>
          <c:layout>
            <c:manualLayout>
              <c:xMode val="edge"/>
              <c:yMode val="edge"/>
              <c:x val="4.5592705167173252E-2"/>
              <c:y val="0.1816556714194509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519598192"/>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363845727099382E-2"/>
          <c:y val="4.7951176983435047E-2"/>
          <c:w val="0.86049948019375022"/>
          <c:h val="0.79915699290858022"/>
        </c:manualLayout>
      </c:layout>
      <c:barChart>
        <c:barDir val="bar"/>
        <c:grouping val="clustered"/>
        <c:varyColors val="0"/>
        <c:ser>
          <c:idx val="0"/>
          <c:order val="0"/>
          <c:tx>
            <c:strRef>
              <c:f>'Proyección Egresos FUTIC'!$B$107</c:f>
              <c:strCache>
                <c:ptCount val="1"/>
                <c:pt idx="0">
                  <c:v>Ingresos SPN</c:v>
                </c:pt>
              </c:strCache>
            </c:strRef>
          </c:tx>
          <c:spPr>
            <a:solidFill>
              <a:schemeClr val="accent1">
                <a:lumMod val="50000"/>
              </a:schemeClr>
            </a:solidFill>
            <a:ln>
              <a:noFill/>
            </a:ln>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9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'Proyección Egresos FUTIC'!$C$6:$I$6</c:f>
              <c:numCache>
                <c:formatCode>General</c:formatCode>
                <c:ptCount val="4"/>
                <c:pt idx="0">
                  <c:v>2021</c:v>
                </c:pt>
                <c:pt idx="1">
                  <c:v>2022</c:v>
                </c:pt>
                <c:pt idx="2">
                  <c:v>2023</c:v>
                </c:pt>
                <c:pt idx="3">
                  <c:v>2024</c:v>
                </c:pt>
              </c:numCache>
              <c:extLst/>
            </c:numRef>
          </c:cat>
          <c:val>
            <c:numRef>
              <c:f>'Proyección Egresos FUTIC'!$C$107:$I$107</c:f>
              <c:numCache>
                <c:formatCode>#,##0</c:formatCode>
                <c:ptCount val="4"/>
                <c:pt idx="0">
                  <c:v>112111.43319969001</c:v>
                </c:pt>
                <c:pt idx="1">
                  <c:v>111928.63075080409</c:v>
                </c:pt>
                <c:pt idx="2">
                  <c:v>118024.4131690819</c:v>
                </c:pt>
                <c:pt idx="3">
                  <c:v>123543.07221219142</c:v>
                </c:pt>
              </c:numCache>
              <c:extLst/>
            </c:numRef>
          </c:val>
          <c:extLst>
            <c:ext xmlns:c16="http://schemas.microsoft.com/office/drawing/2014/chart" uri="{C3380CC4-5D6E-409C-BE32-E72D297353CC}">
              <c16:uniqueId val="{00000000-2A50-431F-99A9-75C0F5BFB7D5}"/>
            </c:ext>
          </c:extLst>
        </c:ser>
        <c:ser>
          <c:idx val="1"/>
          <c:order val="1"/>
          <c:tx>
            <c:strRef>
              <c:f>'Proyección Egresos FUTIC'!$B$108</c:f>
              <c:strCache>
                <c:ptCount val="1"/>
                <c:pt idx="0">
                  <c:v>Ingresos SPU</c:v>
                </c:pt>
              </c:strCache>
            </c:strRef>
          </c:tx>
          <c:spPr>
            <a:solidFill>
              <a:schemeClr val="bg1">
                <a:lumMod val="75000"/>
              </a:schemeClr>
            </a:solidFill>
            <a:ln>
              <a:noFill/>
            </a:ln>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'Proyección Egresos FUTIC'!$C$6:$I$6</c:f>
              <c:numCache>
                <c:formatCode>General</c:formatCode>
                <c:ptCount val="4"/>
                <c:pt idx="0">
                  <c:v>2021</c:v>
                </c:pt>
                <c:pt idx="1">
                  <c:v>2022</c:v>
                </c:pt>
                <c:pt idx="2">
                  <c:v>2023</c:v>
                </c:pt>
                <c:pt idx="3">
                  <c:v>2024</c:v>
                </c:pt>
              </c:numCache>
              <c:extLst/>
            </c:numRef>
          </c:cat>
          <c:val>
            <c:numRef>
              <c:f>'Proyección Egresos FUTIC'!$C$108:$I$108</c:f>
              <c:numCache>
                <c:formatCode>#,##0</c:formatCode>
                <c:ptCount val="4"/>
                <c:pt idx="0">
                  <c:v>21965.418728543002</c:v>
                </c:pt>
                <c:pt idx="1">
                  <c:v>21587.849213861657</c:v>
                </c:pt>
                <c:pt idx="2">
                  <c:v>23309.895780391758</c:v>
                </c:pt>
                <c:pt idx="3">
                  <c:v>25004.685983444444</c:v>
                </c:pt>
              </c:numCache>
              <c:extLst/>
            </c:numRef>
          </c:val>
          <c:extLst>
            <c:ext xmlns:c16="http://schemas.microsoft.com/office/drawing/2014/chart" uri="{C3380CC4-5D6E-409C-BE32-E72D297353CC}">
              <c16:uniqueId val="{00000001-2A50-431F-99A9-75C0F5BFB7D5}"/>
            </c:ext>
          </c:extLst>
        </c:ser>
        <c:dLbls>
          <c:showLegendKey val="0"/>
          <c:showVal val="0"/>
          <c:showCatName val="0"/>
          <c:showSerName val="0"/>
          <c:showPercent val="0"/>
          <c:showBubbleSize val="0"/>
        </c:dLbls>
        <c:gapWidth val="112"/>
        <c:axId val="1277062239"/>
        <c:axId val="1277065567"/>
      </c:barChart>
      <c:catAx>
        <c:axId val="1277062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277065567"/>
        <c:crosses val="autoZero"/>
        <c:auto val="1"/>
        <c:lblAlgn val="ctr"/>
        <c:lblOffset val="100"/>
        <c:noMultiLvlLbl val="0"/>
      </c:catAx>
      <c:valAx>
        <c:axId val="1277065567"/>
        <c:scaling>
          <c:orientation val="minMax"/>
          <c:max val="140000"/>
        </c:scaling>
        <c:delete val="0"/>
        <c:axPos val="b"/>
        <c:majorGridlines>
          <c:spPr>
            <a:ln w="9525" cap="flat" cmpd="sng" algn="ctr">
              <a:solidFill>
                <a:schemeClr val="bg1">
                  <a:lumMod val="85000"/>
                </a:schemeClr>
              </a:solidFill>
              <a:round/>
            </a:ln>
            <a:effectLst/>
          </c:spPr>
        </c:majorGridlines>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277062239"/>
        <c:crosses val="autoZero"/>
        <c:crossBetween val="between"/>
      </c:valAx>
      <c:spPr>
        <a:noFill/>
        <a:ln>
          <a:solidFill>
            <a:schemeClr val="bg1">
              <a:lumMod val="65000"/>
            </a:schemeClr>
          </a:solidFill>
        </a:ln>
        <a:effectLst/>
      </c:spPr>
    </c:plotArea>
    <c:legend>
      <c:legendPos val="b"/>
      <c:layout>
        <c:manualLayout>
          <c:xMode val="edge"/>
          <c:yMode val="edge"/>
          <c:x val="0.33761504501102552"/>
          <c:y val="0.92643802044360846"/>
          <c:w val="0.40765919357771219"/>
          <c:h val="7.35619795563915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93260977512946"/>
          <c:y val="7.5396825396825393E-2"/>
          <c:w val="0.8202926154500958"/>
          <c:h val="0.58810898637670295"/>
        </c:manualLayout>
      </c:layout>
      <c:lineChart>
        <c:grouping val="standard"/>
        <c:varyColors val="0"/>
        <c:ser>
          <c:idx val="0"/>
          <c:order val="0"/>
          <c:tx>
            <c:strRef>
              <c:f>'Proyección Egresos FUTIC'!$B$62</c:f>
              <c:strCache>
                <c:ptCount val="1"/>
                <c:pt idx="0">
                  <c:v>Costos</c:v>
                </c:pt>
              </c:strCache>
            </c:strRef>
          </c:tx>
          <c:spPr>
            <a:ln w="28575" cap="rnd">
              <a:solidFill>
                <a:schemeClr val="accent1"/>
              </a:solidFill>
              <a:round/>
            </a:ln>
            <a:effectLst/>
          </c:spPr>
          <c:marker>
            <c:symbol val="none"/>
          </c:marker>
          <c:cat>
            <c:numRef>
              <c:f>'Proyección Egresos FUTIC'!$C$6:$I$6</c:f>
              <c:numCache>
                <c:formatCode>General</c:formatCode>
                <c:ptCount val="4"/>
                <c:pt idx="0">
                  <c:v>2021</c:v>
                </c:pt>
                <c:pt idx="1">
                  <c:v>2022</c:v>
                </c:pt>
                <c:pt idx="2">
                  <c:v>2023</c:v>
                </c:pt>
                <c:pt idx="3">
                  <c:v>2024</c:v>
                </c:pt>
              </c:numCache>
              <c:extLst/>
            </c:numRef>
          </c:cat>
          <c:val>
            <c:numRef>
              <c:f>'Proyección Egresos FUTIC'!$C$62:$I$62</c:f>
              <c:numCache>
                <c:formatCode>#,##0</c:formatCode>
                <c:ptCount val="4"/>
                <c:pt idx="0">
                  <c:v>23245.987000000001</c:v>
                </c:pt>
                <c:pt idx="1">
                  <c:v>23226.634682377087</c:v>
                </c:pt>
                <c:pt idx="2">
                  <c:v>23736.141910942228</c:v>
                </c:pt>
                <c:pt idx="3">
                  <c:v>24176.244865588615</c:v>
                </c:pt>
              </c:numCache>
              <c:extLst/>
            </c:numRef>
          </c:val>
          <c:smooth val="0"/>
          <c:extLst>
            <c:ext xmlns:c16="http://schemas.microsoft.com/office/drawing/2014/chart" uri="{C3380CC4-5D6E-409C-BE32-E72D297353CC}">
              <c16:uniqueId val="{00000000-BFCE-4C0A-AC23-994EA48AC040}"/>
            </c:ext>
          </c:extLst>
        </c:ser>
        <c:ser>
          <c:idx val="1"/>
          <c:order val="1"/>
          <c:tx>
            <c:strRef>
              <c:f>'Proyección Egresos FUTIC'!$B$63</c:f>
              <c:strCache>
                <c:ptCount val="1"/>
                <c:pt idx="0">
                  <c:v>Gastos</c:v>
                </c:pt>
              </c:strCache>
            </c:strRef>
          </c:tx>
          <c:spPr>
            <a:ln w="28575" cap="rnd">
              <a:solidFill>
                <a:schemeClr val="accent2"/>
              </a:solidFill>
              <a:round/>
            </a:ln>
            <a:effectLst/>
          </c:spPr>
          <c:marker>
            <c:symbol val="none"/>
          </c:marker>
          <c:cat>
            <c:numRef>
              <c:f>'Proyección Egresos FUTIC'!$C$6:$I$6</c:f>
              <c:numCache>
                <c:formatCode>General</c:formatCode>
                <c:ptCount val="4"/>
                <c:pt idx="0">
                  <c:v>2021</c:v>
                </c:pt>
                <c:pt idx="1">
                  <c:v>2022</c:v>
                </c:pt>
                <c:pt idx="2">
                  <c:v>2023</c:v>
                </c:pt>
                <c:pt idx="3">
                  <c:v>2024</c:v>
                </c:pt>
              </c:numCache>
              <c:extLst/>
            </c:numRef>
          </c:cat>
          <c:val>
            <c:numRef>
              <c:f>'Proyección Egresos FUTIC'!$C$63:$I$63</c:f>
              <c:numCache>
                <c:formatCode>#,##0</c:formatCode>
                <c:ptCount val="4"/>
                <c:pt idx="0">
                  <c:v>1468.2360000000001</c:v>
                </c:pt>
                <c:pt idx="1">
                  <c:v>1467.0136914175598</c:v>
                </c:pt>
                <c:pt idx="2">
                  <c:v>1499.1945945230966</c:v>
                </c:pt>
                <c:pt idx="3">
                  <c:v>1526.9918655840413</c:v>
                </c:pt>
              </c:numCache>
              <c:extLst/>
            </c:numRef>
          </c:val>
          <c:smooth val="0"/>
          <c:extLst>
            <c:ext xmlns:c16="http://schemas.microsoft.com/office/drawing/2014/chart" uri="{C3380CC4-5D6E-409C-BE32-E72D297353CC}">
              <c16:uniqueId val="{00000001-BFCE-4C0A-AC23-994EA48AC040}"/>
            </c:ext>
          </c:extLst>
        </c:ser>
        <c:ser>
          <c:idx val="2"/>
          <c:order val="2"/>
          <c:tx>
            <c:strRef>
              <c:f>'Proyección Egresos FUTIC'!$B$64</c:f>
              <c:strCache>
                <c:ptCount val="1"/>
                <c:pt idx="0">
                  <c:v>Total</c:v>
                </c:pt>
              </c:strCache>
            </c:strRef>
          </c:tx>
          <c:spPr>
            <a:ln w="28575" cap="rnd">
              <a:solidFill>
                <a:schemeClr val="accent3"/>
              </a:solidFill>
              <a:round/>
            </a:ln>
            <a:effectLst/>
          </c:spPr>
          <c:marker>
            <c:symbol val="none"/>
          </c:marker>
          <c:cat>
            <c:numRef>
              <c:f>'Proyección Egresos FUTIC'!$C$6:$I$6</c:f>
              <c:numCache>
                <c:formatCode>General</c:formatCode>
                <c:ptCount val="4"/>
                <c:pt idx="0">
                  <c:v>2021</c:v>
                </c:pt>
                <c:pt idx="1">
                  <c:v>2022</c:v>
                </c:pt>
                <c:pt idx="2">
                  <c:v>2023</c:v>
                </c:pt>
                <c:pt idx="3">
                  <c:v>2024</c:v>
                </c:pt>
              </c:numCache>
              <c:extLst/>
            </c:numRef>
          </c:cat>
          <c:val>
            <c:numRef>
              <c:f>'Proyección Egresos FUTIC'!$C$64:$I$64</c:f>
              <c:numCache>
                <c:formatCode>#,##0</c:formatCode>
                <c:ptCount val="4"/>
                <c:pt idx="0">
                  <c:v>24714.223000000002</c:v>
                </c:pt>
                <c:pt idx="1">
                  <c:v>24693.648373794647</c:v>
                </c:pt>
                <c:pt idx="2">
                  <c:v>25235.336505465326</c:v>
                </c:pt>
                <c:pt idx="3">
                  <c:v>25703.236731172656</c:v>
                </c:pt>
              </c:numCache>
              <c:extLst/>
            </c:numRef>
          </c:val>
          <c:smooth val="0"/>
          <c:extLst>
            <c:ext xmlns:c16="http://schemas.microsoft.com/office/drawing/2014/chart" uri="{C3380CC4-5D6E-409C-BE32-E72D297353CC}">
              <c16:uniqueId val="{00000002-BFCE-4C0A-AC23-994EA48AC040}"/>
            </c:ext>
          </c:extLst>
        </c:ser>
        <c:dLbls>
          <c:showLegendKey val="0"/>
          <c:showVal val="0"/>
          <c:showCatName val="0"/>
          <c:showSerName val="0"/>
          <c:showPercent val="0"/>
          <c:showBubbleSize val="0"/>
        </c:dLbls>
        <c:smooth val="0"/>
        <c:axId val="1277042687"/>
        <c:axId val="1277045183"/>
      </c:lineChart>
      <c:catAx>
        <c:axId val="127704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7045183"/>
        <c:crosses val="autoZero"/>
        <c:auto val="1"/>
        <c:lblAlgn val="ctr"/>
        <c:lblOffset val="100"/>
        <c:noMultiLvlLbl val="0"/>
      </c:catAx>
      <c:valAx>
        <c:axId val="1277045183"/>
        <c:scaling>
          <c:orientation val="minMax"/>
        </c:scaling>
        <c:delete val="0"/>
        <c:axPos val="l"/>
        <c:majorGridlines>
          <c:spPr>
            <a:ln w="9525" cap="flat" cmpd="sng" algn="ctr">
              <a:solidFill>
                <a:schemeClr val="bg1">
                  <a:lumMod val="85000"/>
                </a:schemeClr>
              </a:solidFill>
              <a:round/>
            </a:ln>
            <a:effectLst/>
          </c:spPr>
        </c:majorGridlines>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70426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solidFill>
            <a:schemeClr val="bg1">
              <a:lumMod val="6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'Proyección Egresos FUTIC'!$B$83</c:f>
              <c:strCache>
                <c:ptCount val="1"/>
                <c:pt idx="0">
                  <c:v>Ingresos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'Proyección Egresos FUTIC'!$C$6:$I$6</c:f>
              <c:numCache>
                <c:formatCode>General</c:formatCode>
                <c:ptCount val="4"/>
                <c:pt idx="0">
                  <c:v>2021</c:v>
                </c:pt>
                <c:pt idx="1">
                  <c:v>2022</c:v>
                </c:pt>
                <c:pt idx="2">
                  <c:v>2023</c:v>
                </c:pt>
                <c:pt idx="3">
                  <c:v>2024</c:v>
                </c:pt>
              </c:numCache>
              <c:extLst/>
            </c:numRef>
          </c:cat>
          <c:val>
            <c:numRef>
              <c:f>'Proyección Egresos FUTIC'!$C$83:$I$83</c:f>
              <c:numCache>
                <c:formatCode>#,##0</c:formatCode>
                <c:ptCount val="4"/>
                <c:pt idx="0">
                  <c:v>21965.418728543002</c:v>
                </c:pt>
                <c:pt idx="1">
                  <c:v>21587.849213861657</c:v>
                </c:pt>
                <c:pt idx="2">
                  <c:v>23309.895780391758</c:v>
                </c:pt>
                <c:pt idx="3">
                  <c:v>25004.685983444444</c:v>
                </c:pt>
              </c:numCache>
              <c:extLst/>
            </c:numRef>
          </c:val>
          <c:extLst>
            <c:ext xmlns:c16="http://schemas.microsoft.com/office/drawing/2014/chart" uri="{C3380CC4-5D6E-409C-BE32-E72D297353CC}">
              <c16:uniqueId val="{00000000-4770-4D20-9620-AEACB217F39D}"/>
            </c:ext>
          </c:extLst>
        </c:ser>
        <c:ser>
          <c:idx val="1"/>
          <c:order val="1"/>
          <c:tx>
            <c:strRef>
              <c:f>'Proyección Egresos FUTIC'!$B$84</c:f>
              <c:strCache>
                <c:ptCount val="1"/>
                <c:pt idx="0">
                  <c:v>Egresos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'Proyección Egresos FUTIC'!$C$6:$I$6</c:f>
              <c:numCache>
                <c:formatCode>General</c:formatCode>
                <c:ptCount val="4"/>
                <c:pt idx="0">
                  <c:v>2021</c:v>
                </c:pt>
                <c:pt idx="1">
                  <c:v>2022</c:v>
                </c:pt>
                <c:pt idx="2">
                  <c:v>2023</c:v>
                </c:pt>
                <c:pt idx="3">
                  <c:v>2024</c:v>
                </c:pt>
              </c:numCache>
              <c:extLst/>
            </c:numRef>
          </c:cat>
          <c:val>
            <c:numRef>
              <c:f>'Proyección Egresos FUTIC'!$C$84:$I$84</c:f>
              <c:numCache>
                <c:formatCode>#,##0</c:formatCode>
                <c:ptCount val="4"/>
                <c:pt idx="0">
                  <c:v>-24714.223000000002</c:v>
                </c:pt>
                <c:pt idx="1">
                  <c:v>-24693.648373794647</c:v>
                </c:pt>
                <c:pt idx="2">
                  <c:v>-25235.336505465326</c:v>
                </c:pt>
                <c:pt idx="3">
                  <c:v>-25703.236731172656</c:v>
                </c:pt>
              </c:numCache>
              <c:extLst/>
            </c:numRef>
          </c:val>
          <c:extLst>
            <c:ext xmlns:c16="http://schemas.microsoft.com/office/drawing/2014/chart" uri="{C3380CC4-5D6E-409C-BE32-E72D297353CC}">
              <c16:uniqueId val="{00000001-4770-4D20-9620-AEACB217F39D}"/>
            </c:ext>
          </c:extLst>
        </c:ser>
        <c:ser>
          <c:idx val="2"/>
          <c:order val="2"/>
          <c:tx>
            <c:strRef>
              <c:f>'Proyección Egresos FUTIC'!$B$85</c:f>
              <c:strCache>
                <c:ptCount val="1"/>
                <c:pt idx="0">
                  <c:v>Déficit(-) o Superávit(+)</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1.4134275618374581E-2"/>
                  <c:y val="7.384943221570509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70-4D20-9620-AEACB217F39D}"/>
                </c:ext>
              </c:extLst>
            </c:dLbl>
            <c:dLbl>
              <c:idx val="1"/>
              <c:layout>
                <c:manualLayout>
                  <c:x val="2.12014134275618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70-4D20-9620-AEACB217F39D}"/>
                </c:ext>
              </c:extLst>
            </c:dLbl>
            <c:dLbl>
              <c:idx val="2"/>
              <c:layout>
                <c:manualLayout>
                  <c:x val="1.4134275618374558E-2"/>
                  <c:y val="-4.02819738167170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70-4D20-9620-AEACB217F39D}"/>
                </c:ext>
              </c:extLst>
            </c:dLbl>
            <c:dLbl>
              <c:idx val="3"/>
              <c:layout>
                <c:manualLayout>
                  <c:x val="1.41342756183745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70-4D20-9620-AEACB217F3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'Proyección Egresos FUTIC'!$C$6:$I$6</c:f>
              <c:numCache>
                <c:formatCode>General</c:formatCode>
                <c:ptCount val="4"/>
                <c:pt idx="0">
                  <c:v>2021</c:v>
                </c:pt>
                <c:pt idx="1">
                  <c:v>2022</c:v>
                </c:pt>
                <c:pt idx="2">
                  <c:v>2023</c:v>
                </c:pt>
                <c:pt idx="3">
                  <c:v>2024</c:v>
                </c:pt>
              </c:numCache>
              <c:extLst/>
            </c:numRef>
          </c:cat>
          <c:val>
            <c:numRef>
              <c:f>'Proyección Egresos FUTIC'!$C$85:$I$85</c:f>
              <c:numCache>
                <c:formatCode>#,##0</c:formatCode>
                <c:ptCount val="4"/>
                <c:pt idx="0">
                  <c:v>-2748.8042714570001</c:v>
                </c:pt>
                <c:pt idx="1">
                  <c:v>-3105.7991599329907</c:v>
                </c:pt>
                <c:pt idx="2">
                  <c:v>-1925.4407250735676</c:v>
                </c:pt>
                <c:pt idx="3">
                  <c:v>-698.55074772821172</c:v>
                </c:pt>
              </c:numCache>
              <c:extLst/>
            </c:numRef>
          </c:val>
          <c:extLst>
            <c:ext xmlns:c16="http://schemas.microsoft.com/office/drawing/2014/chart" uri="{C3380CC4-5D6E-409C-BE32-E72D297353CC}">
              <c16:uniqueId val="{00000007-4770-4D20-9620-AEACB217F39D}"/>
            </c:ext>
          </c:extLst>
        </c:ser>
        <c:dLbls>
          <c:dLblPos val="outEnd"/>
          <c:showLegendKey val="0"/>
          <c:showVal val="1"/>
          <c:showCatName val="0"/>
          <c:showSerName val="0"/>
          <c:showPercent val="0"/>
          <c:showBubbleSize val="0"/>
        </c:dLbls>
        <c:gapWidth val="164"/>
        <c:overlap val="-22"/>
        <c:axId val="1509571424"/>
        <c:axId val="1509580160"/>
      </c:barChart>
      <c:catAx>
        <c:axId val="1509571424"/>
        <c:scaling>
          <c:orientation val="minMax"/>
        </c:scaling>
        <c:delete val="0"/>
        <c:axPos val="b"/>
        <c:numFmt formatCode="General" sourceLinked="1"/>
        <c:majorTickMark val="none"/>
        <c:minorTickMark val="none"/>
        <c:tickLblPos val="low"/>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09580160"/>
        <c:crosses val="autoZero"/>
        <c:auto val="1"/>
        <c:lblAlgn val="ctr"/>
        <c:lblOffset val="100"/>
        <c:noMultiLvlLbl val="0"/>
      </c:catAx>
      <c:valAx>
        <c:axId val="1509580160"/>
        <c:scaling>
          <c:orientation val="minMax"/>
          <c:max val="30000"/>
          <c:min val="-30000"/>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b="0"/>
                  <a:t>Millones de COP$</a:t>
                </a:r>
              </a:p>
            </c:rich>
          </c:tx>
          <c:layout>
            <c:manualLayout>
              <c:xMode val="edge"/>
              <c:yMode val="edge"/>
              <c:x val="1.884570082449941E-2"/>
              <c:y val="0.3645756516085036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crossAx val="1509571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881893182805036E-2"/>
          <c:y val="9.6666441816328871E-2"/>
          <c:w val="0.95223621363438993"/>
          <c:h val="0.75928774705430868"/>
        </c:manualLayout>
      </c:layout>
      <c:barChart>
        <c:barDir val="col"/>
        <c:grouping val="clustered"/>
        <c:varyColors val="0"/>
        <c:ser>
          <c:idx val="0"/>
          <c:order val="0"/>
          <c:tx>
            <c:strRef>
              <c:f>'Flujo de Caja'!$C$6</c:f>
              <c:strCache>
                <c:ptCount val="1"/>
                <c:pt idx="0">
                  <c:v>2021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elete val="1"/>
          </c:dLbls>
          <c:cat>
            <c:strRef>
              <c:f>'Flujo de Caja'!$B$129:$B$137</c:f>
              <c:strCache>
                <c:ptCount val="9"/>
                <c:pt idx="0">
                  <c:v>M/E 2,5%</c:v>
                </c:pt>
                <c:pt idx="1">
                  <c:v>Giros 2,5%</c:v>
                </c:pt>
                <c:pt idx="2">
                  <c:v>Total 2,5%</c:v>
                </c:pt>
                <c:pt idx="3">
                  <c:v>M/E 1,25%</c:v>
                </c:pt>
                <c:pt idx="4">
                  <c:v>Giros 1,25%</c:v>
                </c:pt>
                <c:pt idx="5">
                  <c:v>Total 1,25%</c:v>
                </c:pt>
                <c:pt idx="6">
                  <c:v>M/E 0,75%</c:v>
                </c:pt>
                <c:pt idx="7">
                  <c:v>Giros 0,75%</c:v>
                </c:pt>
                <c:pt idx="8">
                  <c:v>Total 0,75%</c:v>
                </c:pt>
              </c:strCache>
            </c:strRef>
          </c:cat>
          <c:val>
            <c:numRef>
              <c:f>'Flujo de Caja'!$C$129:$C$137</c:f>
              <c:numCache>
                <c:formatCode>#,##0</c:formatCode>
                <c:ptCount val="9"/>
                <c:pt idx="0">
                  <c:v>38458.351411178402</c:v>
                </c:pt>
                <c:pt idx="1">
                  <c:v>17961.174561675001</c:v>
                </c:pt>
                <c:pt idx="2">
                  <c:v>56419.5259728534</c:v>
                </c:pt>
                <c:pt idx="3">
                  <c:v>19229.175705589201</c:v>
                </c:pt>
                <c:pt idx="4">
                  <c:v>8980.5872808375007</c:v>
                </c:pt>
                <c:pt idx="5">
                  <c:v>28209.7629864267</c:v>
                </c:pt>
                <c:pt idx="6">
                  <c:v>11537.505423353519</c:v>
                </c:pt>
                <c:pt idx="7">
                  <c:v>5388.3523685025002</c:v>
                </c:pt>
                <c:pt idx="8">
                  <c:v>16925.857791856019</c:v>
                </c:pt>
              </c:numCache>
            </c:numRef>
          </c:val>
          <c:extLst>
            <c:ext xmlns:c16="http://schemas.microsoft.com/office/drawing/2014/chart" uri="{C3380CC4-5D6E-409C-BE32-E72D297353CC}">
              <c16:uniqueId val="{00000000-F200-430A-894A-A7DB74618044}"/>
            </c:ext>
          </c:extLst>
        </c:ser>
        <c:ser>
          <c:idx val="1"/>
          <c:order val="1"/>
          <c:tx>
            <c:strRef>
              <c:f>'Flujo de Caja'!$D$6</c:f>
              <c:strCache>
                <c:ptCount val="1"/>
                <c:pt idx="0">
                  <c:v>2022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elete val="1"/>
          </c:dLbls>
          <c:cat>
            <c:strRef>
              <c:f>'Flujo de Caja'!$B$129:$B$137</c:f>
              <c:strCache>
                <c:ptCount val="9"/>
                <c:pt idx="0">
                  <c:v>M/E 2,5%</c:v>
                </c:pt>
                <c:pt idx="1">
                  <c:v>Giros 2,5%</c:v>
                </c:pt>
                <c:pt idx="2">
                  <c:v>Total 2,5%</c:v>
                </c:pt>
                <c:pt idx="3">
                  <c:v>M/E 1,25%</c:v>
                </c:pt>
                <c:pt idx="4">
                  <c:v>Giros 1,25%</c:v>
                </c:pt>
                <c:pt idx="5">
                  <c:v>Total 1,25%</c:v>
                </c:pt>
                <c:pt idx="6">
                  <c:v>M/E 0,75%</c:v>
                </c:pt>
                <c:pt idx="7">
                  <c:v>Giros 0,75%</c:v>
                </c:pt>
                <c:pt idx="8">
                  <c:v>Total 0,75%</c:v>
                </c:pt>
              </c:strCache>
            </c:strRef>
          </c:cat>
          <c:val>
            <c:numRef>
              <c:f>'Flujo de Caja'!$D$129:$D$137</c:f>
              <c:numCache>
                <c:formatCode>#,##0</c:formatCode>
                <c:ptCount val="9"/>
                <c:pt idx="0">
                  <c:v>42202.974092584511</c:v>
                </c:pt>
                <c:pt idx="1">
                  <c:v>17482.256798671558</c:v>
                </c:pt>
                <c:pt idx="2">
                  <c:v>59685.230891256069</c:v>
                </c:pt>
                <c:pt idx="3">
                  <c:v>21101.487046292255</c:v>
                </c:pt>
                <c:pt idx="4">
                  <c:v>8741.1283993357792</c:v>
                </c:pt>
                <c:pt idx="5">
                  <c:v>29842.615445628035</c:v>
                </c:pt>
                <c:pt idx="6">
                  <c:v>12660.892227775354</c:v>
                </c:pt>
                <c:pt idx="7">
                  <c:v>5244.6770396014672</c:v>
                </c:pt>
                <c:pt idx="8">
                  <c:v>17905.569267376821</c:v>
                </c:pt>
              </c:numCache>
            </c:numRef>
          </c:val>
          <c:extLst>
            <c:ext xmlns:c16="http://schemas.microsoft.com/office/drawing/2014/chart" uri="{C3380CC4-5D6E-409C-BE32-E72D297353CC}">
              <c16:uniqueId val="{00000001-F200-430A-894A-A7DB74618044}"/>
            </c:ext>
          </c:extLst>
        </c:ser>
        <c:ser>
          <c:idx val="2"/>
          <c:order val="2"/>
          <c:tx>
            <c:strRef>
              <c:f>'Flujo de Caja'!$E$6</c:f>
              <c:strCache>
                <c:ptCount val="1"/>
                <c:pt idx="0">
                  <c:v>2023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elete val="1"/>
          </c:dLbls>
          <c:cat>
            <c:strRef>
              <c:f>'Flujo de Caja'!$B$129:$B$137</c:f>
              <c:strCache>
                <c:ptCount val="9"/>
                <c:pt idx="0">
                  <c:v>M/E 2,5%</c:v>
                </c:pt>
                <c:pt idx="1">
                  <c:v>Giros 2,5%</c:v>
                </c:pt>
                <c:pt idx="2">
                  <c:v>Total 2,5%</c:v>
                </c:pt>
                <c:pt idx="3">
                  <c:v>M/E 1,25%</c:v>
                </c:pt>
                <c:pt idx="4">
                  <c:v>Giros 1,25%</c:v>
                </c:pt>
                <c:pt idx="5">
                  <c:v>Total 1,25%</c:v>
                </c:pt>
                <c:pt idx="6">
                  <c:v>M/E 0,75%</c:v>
                </c:pt>
                <c:pt idx="7">
                  <c:v>Giros 0,75%</c:v>
                </c:pt>
                <c:pt idx="8">
                  <c:v>Total 0,75%</c:v>
                </c:pt>
              </c:strCache>
            </c:strRef>
          </c:cat>
          <c:val>
            <c:numRef>
              <c:f>'Flujo de Caja'!$E$129:$E$137</c:f>
              <c:numCache>
                <c:formatCode>#,##0</c:formatCode>
                <c:ptCount val="9"/>
                <c:pt idx="0">
                  <c:v>45996.220648957482</c:v>
                </c:pt>
                <c:pt idx="1">
                  <c:v>17053.529017333058</c:v>
                </c:pt>
                <c:pt idx="2">
                  <c:v>63049.74966629054</c:v>
                </c:pt>
                <c:pt idx="3">
                  <c:v>22998.110324478741</c:v>
                </c:pt>
                <c:pt idx="4">
                  <c:v>8526.7645086665289</c:v>
                </c:pt>
                <c:pt idx="5">
                  <c:v>31524.87483314527</c:v>
                </c:pt>
                <c:pt idx="6">
                  <c:v>13798.866194687242</c:v>
                </c:pt>
                <c:pt idx="7">
                  <c:v>5116.0587051999173</c:v>
                </c:pt>
                <c:pt idx="8">
                  <c:v>18914.924899887159</c:v>
                </c:pt>
              </c:numCache>
            </c:numRef>
          </c:val>
          <c:extLst>
            <c:ext xmlns:c16="http://schemas.microsoft.com/office/drawing/2014/chart" uri="{C3380CC4-5D6E-409C-BE32-E72D297353CC}">
              <c16:uniqueId val="{00000002-F200-430A-894A-A7DB74618044}"/>
            </c:ext>
          </c:extLst>
        </c:ser>
        <c:ser>
          <c:idx val="3"/>
          <c:order val="3"/>
          <c:tx>
            <c:strRef>
              <c:f>'Flujo de Caja'!$F$6</c:f>
              <c:strCache>
                <c:ptCount val="1"/>
                <c:pt idx="0">
                  <c:v>2024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delete val="1"/>
          </c:dLbls>
          <c:cat>
            <c:strRef>
              <c:f>'Flujo de Caja'!$B$129:$B$137</c:f>
              <c:strCache>
                <c:ptCount val="9"/>
                <c:pt idx="0">
                  <c:v>M/E 2,5%</c:v>
                </c:pt>
                <c:pt idx="1">
                  <c:v>Giros 2,5%</c:v>
                </c:pt>
                <c:pt idx="2">
                  <c:v>Total 2,5%</c:v>
                </c:pt>
                <c:pt idx="3">
                  <c:v>M/E 1,25%</c:v>
                </c:pt>
                <c:pt idx="4">
                  <c:v>Giros 1,25%</c:v>
                </c:pt>
                <c:pt idx="5">
                  <c:v>Total 1,25%</c:v>
                </c:pt>
                <c:pt idx="6">
                  <c:v>M/E 0,75%</c:v>
                </c:pt>
                <c:pt idx="7">
                  <c:v>Giros 0,75%</c:v>
                </c:pt>
                <c:pt idx="8">
                  <c:v>Total 0,75%</c:v>
                </c:pt>
              </c:strCache>
            </c:strRef>
          </c:cat>
          <c:val>
            <c:numRef>
              <c:f>'Flujo de Caja'!$F$129:$F$137</c:f>
              <c:numCache>
                <c:formatCode>#,##0</c:formatCode>
                <c:ptCount val="9"/>
                <c:pt idx="0">
                  <c:v>49494.463423428053</c:v>
                </c:pt>
                <c:pt idx="1">
                  <c:v>16672.468326571641</c:v>
                </c:pt>
                <c:pt idx="2">
                  <c:v>66166.931749999698</c:v>
                </c:pt>
                <c:pt idx="3">
                  <c:v>24747.231711714026</c:v>
                </c:pt>
                <c:pt idx="4">
                  <c:v>8336.2341632858206</c:v>
                </c:pt>
                <c:pt idx="5">
                  <c:v>33083.465874999849</c:v>
                </c:pt>
                <c:pt idx="6">
                  <c:v>14848.339027028414</c:v>
                </c:pt>
                <c:pt idx="7">
                  <c:v>5001.7404979714911</c:v>
                </c:pt>
                <c:pt idx="8">
                  <c:v>19850.079524999906</c:v>
                </c:pt>
              </c:numCache>
            </c:numRef>
          </c:val>
          <c:extLst>
            <c:ext xmlns:c16="http://schemas.microsoft.com/office/drawing/2014/chart" uri="{C3380CC4-5D6E-409C-BE32-E72D297353CC}">
              <c16:uniqueId val="{00000003-F200-430A-894A-A7DB74618044}"/>
            </c:ext>
          </c:extLst>
        </c:ser>
        <c:dLbls>
          <c:dLblPos val="outEnd"/>
          <c:showLegendKey val="0"/>
          <c:showVal val="1"/>
          <c:showCatName val="0"/>
          <c:showSerName val="0"/>
          <c:showPercent val="0"/>
          <c:showBubbleSize val="0"/>
        </c:dLbls>
        <c:gapWidth val="100"/>
        <c:overlap val="-24"/>
        <c:axId val="1277020223"/>
        <c:axId val="1277004831"/>
      </c:barChart>
      <c:catAx>
        <c:axId val="1277020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277004831"/>
        <c:crosses val="autoZero"/>
        <c:auto val="1"/>
        <c:lblAlgn val="ctr"/>
        <c:lblOffset val="100"/>
        <c:noMultiLvlLbl val="0"/>
      </c:catAx>
      <c:valAx>
        <c:axId val="1277004831"/>
        <c:scaling>
          <c:orientation val="minMax"/>
        </c:scaling>
        <c:delete val="1"/>
        <c:axPos val="l"/>
        <c:numFmt formatCode="#,##0" sourceLinked="1"/>
        <c:majorTickMark val="none"/>
        <c:minorTickMark val="none"/>
        <c:tickLblPos val="nextTo"/>
        <c:crossAx val="1277020223"/>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700" b="0" i="0" u="none" strike="noStrike" kern="1200" baseline="0">
                <a:solidFill>
                  <a:schemeClr val="tx1">
                    <a:lumMod val="50000"/>
                    <a:lumOff val="50000"/>
                  </a:schemeClr>
                </a:solidFill>
                <a:latin typeface="+mn-lt"/>
                <a:ea typeface="+mn-ea"/>
                <a:cs typeface="+mn-cs"/>
              </a:defRPr>
            </a:pPr>
            <a:endParaRPr lang="es-CO"/>
          </a:p>
        </c:txPr>
      </c:dTable>
      <c:spPr>
        <a:noFill/>
        <a:ln>
          <a:noFill/>
        </a:ln>
        <a:effectLst/>
      </c:spPr>
    </c:plotArea>
    <c:legend>
      <c:legendPos val="b"/>
      <c:layout>
        <c:manualLayout>
          <c:xMode val="edge"/>
          <c:yMode val="edge"/>
          <c:x val="0.7051591385423327"/>
          <c:y val="4.2023069644657469E-2"/>
          <c:w val="0.2931118602575894"/>
          <c:h val="7.814363561118881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'Proyección Demanda'!$E$6</c:f>
              <c:strCache>
                <c:ptCount val="1"/>
                <c:pt idx="0">
                  <c:v>2016</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Demanda'!$E$535</c:f>
              <c:numCache>
                <c:formatCode>#,##0</c:formatCode>
                <c:ptCount val="1"/>
                <c:pt idx="0">
                  <c:v>7264.0010048354889</c:v>
                </c:pt>
              </c:numCache>
            </c:numRef>
          </c:val>
          <c:extLst>
            <c:ext xmlns:c16="http://schemas.microsoft.com/office/drawing/2014/chart" uri="{C3380CC4-5D6E-409C-BE32-E72D297353CC}">
              <c16:uniqueId val="{00000000-A362-4E0E-A7C0-9E0C07182E54}"/>
            </c:ext>
          </c:extLst>
        </c:ser>
        <c:ser>
          <c:idx val="1"/>
          <c:order val="1"/>
          <c:tx>
            <c:strRef>
              <c:f>'Proyección Demanda'!$F$6</c:f>
              <c:strCache>
                <c:ptCount val="1"/>
                <c:pt idx="0">
                  <c:v>2017</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62-4E0E-A7C0-9E0C07182E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Demanda'!$F$535</c:f>
              <c:numCache>
                <c:formatCode>#,##0</c:formatCode>
                <c:ptCount val="1"/>
                <c:pt idx="0">
                  <c:v>7048.8241287274986</c:v>
                </c:pt>
              </c:numCache>
            </c:numRef>
          </c:val>
          <c:extLst>
            <c:ext xmlns:c16="http://schemas.microsoft.com/office/drawing/2014/chart" uri="{C3380CC4-5D6E-409C-BE32-E72D297353CC}">
              <c16:uniqueId val="{00000002-A362-4E0E-A7C0-9E0C07182E54}"/>
            </c:ext>
          </c:extLst>
        </c:ser>
        <c:ser>
          <c:idx val="2"/>
          <c:order val="2"/>
          <c:tx>
            <c:strRef>
              <c:f>'Proyección Demanda'!$G$6</c:f>
              <c:strCache>
                <c:ptCount val="1"/>
                <c:pt idx="0">
                  <c:v>2018</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62-4E0E-A7C0-9E0C07182E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Demanda'!$G$535</c:f>
              <c:numCache>
                <c:formatCode>#,##0</c:formatCode>
                <c:ptCount val="1"/>
                <c:pt idx="0">
                  <c:v>7198.6319999999996</c:v>
                </c:pt>
              </c:numCache>
            </c:numRef>
          </c:val>
          <c:extLst>
            <c:ext xmlns:c16="http://schemas.microsoft.com/office/drawing/2014/chart" uri="{C3380CC4-5D6E-409C-BE32-E72D297353CC}">
              <c16:uniqueId val="{00000004-A362-4E0E-A7C0-9E0C07182E54}"/>
            </c:ext>
          </c:extLst>
        </c:ser>
        <c:ser>
          <c:idx val="3"/>
          <c:order val="3"/>
          <c:tx>
            <c:strRef>
              <c:f>'Proyección Demanda'!$H$6</c:f>
              <c:strCache>
                <c:ptCount val="1"/>
                <c:pt idx="0">
                  <c:v>2019</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Demanda'!$H$535</c:f>
              <c:numCache>
                <c:formatCode>#,##0</c:formatCode>
                <c:ptCount val="1"/>
                <c:pt idx="0">
                  <c:v>7035.6884835495284</c:v>
                </c:pt>
              </c:numCache>
            </c:numRef>
          </c:val>
          <c:extLst>
            <c:ext xmlns:c16="http://schemas.microsoft.com/office/drawing/2014/chart" uri="{C3380CC4-5D6E-409C-BE32-E72D297353CC}">
              <c16:uniqueId val="{00000005-A362-4E0E-A7C0-9E0C07182E54}"/>
            </c:ext>
          </c:extLst>
        </c:ser>
        <c:ser>
          <c:idx val="4"/>
          <c:order val="4"/>
          <c:tx>
            <c:strRef>
              <c:f>'Proyección Demanda'!$I$6</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Demanda'!$I$535</c:f>
              <c:numCache>
                <c:formatCode>#,##0</c:formatCode>
                <c:ptCount val="1"/>
                <c:pt idx="0">
                  <c:v>1922.579</c:v>
                </c:pt>
              </c:numCache>
            </c:numRef>
          </c:val>
          <c:extLst>
            <c:ext xmlns:c16="http://schemas.microsoft.com/office/drawing/2014/chart" uri="{C3380CC4-5D6E-409C-BE32-E72D297353CC}">
              <c16:uniqueId val="{00000006-A362-4E0E-A7C0-9E0C07182E54}"/>
            </c:ext>
          </c:extLst>
        </c:ser>
        <c:ser>
          <c:idx val="5"/>
          <c:order val="5"/>
          <c:tx>
            <c:strRef>
              <c:f>'Proyección Demanda'!$J$6</c:f>
              <c:strCache>
                <c:ptCount val="1"/>
                <c:pt idx="0">
                  <c:v>2021</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Demanda'!$J$535</c:f>
              <c:numCache>
                <c:formatCode>#,##0</c:formatCode>
                <c:ptCount val="1"/>
                <c:pt idx="0">
                  <c:v>1385.5302224637187</c:v>
                </c:pt>
              </c:numCache>
            </c:numRef>
          </c:val>
          <c:extLst>
            <c:ext xmlns:c16="http://schemas.microsoft.com/office/drawing/2014/chart" uri="{C3380CC4-5D6E-409C-BE32-E72D297353CC}">
              <c16:uniqueId val="{00000007-A362-4E0E-A7C0-9E0C07182E54}"/>
            </c:ext>
          </c:extLst>
        </c:ser>
        <c:ser>
          <c:idx val="6"/>
          <c:order val="6"/>
          <c:tx>
            <c:strRef>
              <c:f>'Proyección Demanda'!$K$6</c:f>
              <c:strCache>
                <c:ptCount val="1"/>
                <c:pt idx="0">
                  <c:v>2022</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Demanda'!$K$535</c:f>
              <c:numCache>
                <c:formatCode>#,##0</c:formatCode>
                <c:ptCount val="1"/>
                <c:pt idx="0">
                  <c:v>1383.9730892421487</c:v>
                </c:pt>
              </c:numCache>
            </c:numRef>
          </c:val>
          <c:extLst>
            <c:ext xmlns:c16="http://schemas.microsoft.com/office/drawing/2014/chart" uri="{C3380CC4-5D6E-409C-BE32-E72D297353CC}">
              <c16:uniqueId val="{00000008-A362-4E0E-A7C0-9E0C07182E54}"/>
            </c:ext>
          </c:extLst>
        </c:ser>
        <c:ser>
          <c:idx val="7"/>
          <c:order val="7"/>
          <c:tx>
            <c:strRef>
              <c:f>'Proyección Demanda'!$L$6</c:f>
              <c:strCache>
                <c:ptCount val="1"/>
                <c:pt idx="0">
                  <c:v>2023</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Demanda'!$L$535</c:f>
              <c:numCache>
                <c:formatCode>#,##0</c:formatCode>
                <c:ptCount val="1"/>
                <c:pt idx="0">
                  <c:v>1381.8728366681048</c:v>
                </c:pt>
              </c:numCache>
            </c:numRef>
          </c:val>
          <c:extLst>
            <c:ext xmlns:c16="http://schemas.microsoft.com/office/drawing/2014/chart" uri="{C3380CC4-5D6E-409C-BE32-E72D297353CC}">
              <c16:uniqueId val="{00000009-A362-4E0E-A7C0-9E0C07182E54}"/>
            </c:ext>
          </c:extLst>
        </c:ser>
        <c:ser>
          <c:idx val="8"/>
          <c:order val="8"/>
          <c:tx>
            <c:strRef>
              <c:f>'Proyección Demanda'!$M$6</c:f>
              <c:strCache>
                <c:ptCount val="1"/>
                <c:pt idx="0">
                  <c:v>2024</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'Proyección Demanda'!$M$535</c:f>
              <c:numCache>
                <c:formatCode>#,##0</c:formatCode>
                <c:ptCount val="1"/>
                <c:pt idx="0">
                  <c:v>1379.1778216172361</c:v>
                </c:pt>
              </c:numCache>
            </c:numRef>
          </c:val>
          <c:extLst>
            <c:ext xmlns:c16="http://schemas.microsoft.com/office/drawing/2014/chart" uri="{C3380CC4-5D6E-409C-BE32-E72D297353CC}">
              <c16:uniqueId val="{0000000A-A362-4E0E-A7C0-9E0C07182E54}"/>
            </c:ext>
          </c:extLst>
        </c:ser>
        <c:dLbls>
          <c:showLegendKey val="0"/>
          <c:showVal val="0"/>
          <c:showCatName val="0"/>
          <c:showSerName val="0"/>
          <c:showPercent val="0"/>
          <c:showBubbleSize val="0"/>
        </c:dLbls>
        <c:gapWidth val="164"/>
        <c:overlap val="-22"/>
        <c:axId val="721999199"/>
        <c:axId val="722001279"/>
      </c:barChart>
      <c:catAx>
        <c:axId val="721999199"/>
        <c:scaling>
          <c:orientation val="minMax"/>
        </c:scaling>
        <c:delete val="1"/>
        <c:axPos val="b"/>
        <c:numFmt formatCode="General" sourceLinked="1"/>
        <c:majorTickMark val="none"/>
        <c:minorTickMark val="none"/>
        <c:tickLblPos val="nextTo"/>
        <c:crossAx val="722001279"/>
        <c:crosses val="autoZero"/>
        <c:auto val="1"/>
        <c:lblAlgn val="ctr"/>
        <c:lblOffset val="100"/>
        <c:noMultiLvlLbl val="0"/>
      </c:catAx>
      <c:valAx>
        <c:axId val="722001279"/>
        <c:scaling>
          <c:orientation val="minMax"/>
        </c:scaling>
        <c:delete val="1"/>
        <c:axPos val="l"/>
        <c:numFmt formatCode="#,##0" sourceLinked="1"/>
        <c:majorTickMark val="none"/>
        <c:minorTickMark val="none"/>
        <c:tickLblPos val="nextTo"/>
        <c:crossAx val="721999199"/>
        <c:crosses val="autoZero"/>
        <c:crossBetween val="between"/>
      </c:valAx>
      <c:spPr>
        <a:noFill/>
        <a:ln>
          <a:noFill/>
        </a:ln>
        <a:effectLst/>
      </c:spPr>
    </c:plotArea>
    <c:legend>
      <c:legendPos val="b"/>
      <c:layout>
        <c:manualLayout>
          <c:xMode val="edge"/>
          <c:yMode val="edge"/>
          <c:x val="8.9075968307699843E-2"/>
          <c:y val="0.89409667541557303"/>
          <c:w val="0.82434027522260667"/>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'Flujo de Caja'!$B$213</c:f>
              <c:strCache>
                <c:ptCount val="1"/>
                <c:pt idx="0">
                  <c:v>Franquicia Postal</c:v>
                </c:pt>
              </c:strCache>
            </c:strRef>
          </c:tx>
          <c:spPr>
            <a:ln w="25400" cap="rnd">
              <a:solidFill>
                <a:schemeClr val="tx2"/>
              </a:solidFill>
              <a:round/>
            </a:ln>
            <a:effectLst/>
          </c:spPr>
          <c:marker>
            <c:symbol val="none"/>
          </c:marker>
          <c:cat>
            <c:numRef>
              <c:f>'Flujo de Caja'!$C$6:$F$6</c:f>
              <c:numCache>
                <c:formatCode>General</c:formatCode>
                <c:ptCount val="4"/>
                <c:pt idx="0">
                  <c:v>2021</c:v>
                </c:pt>
                <c:pt idx="1">
                  <c:v>2022</c:v>
                </c:pt>
                <c:pt idx="2">
                  <c:v>2023</c:v>
                </c:pt>
                <c:pt idx="3">
                  <c:v>2024</c:v>
                </c:pt>
              </c:numCache>
            </c:numRef>
          </c:cat>
          <c:val>
            <c:numRef>
              <c:f>'Flujo de Caja'!$C$213:$F$213</c:f>
              <c:numCache>
                <c:formatCode>#,##0</c:formatCode>
                <c:ptCount val="4"/>
                <c:pt idx="0">
                  <c:v>7845.7016999999996</c:v>
                </c:pt>
                <c:pt idx="1">
                  <c:v>7836.8842793724843</c:v>
                </c:pt>
                <c:pt idx="2">
                  <c:v>7824.9913917808271</c:v>
                </c:pt>
                <c:pt idx="3">
                  <c:v>7809.7306029338488</c:v>
                </c:pt>
              </c:numCache>
            </c:numRef>
          </c:val>
          <c:smooth val="1"/>
          <c:extLst>
            <c:ext xmlns:c16="http://schemas.microsoft.com/office/drawing/2014/chart" uri="{C3380CC4-5D6E-409C-BE32-E72D297353CC}">
              <c16:uniqueId val="{00000000-82C6-47C6-97B5-DA4B998F45E5}"/>
            </c:ext>
          </c:extLst>
        </c:ser>
        <c:ser>
          <c:idx val="1"/>
          <c:order val="1"/>
          <c:tx>
            <c:strRef>
              <c:f>'Flujo de Caja'!$B$214</c:f>
              <c:strCache>
                <c:ptCount val="1"/>
                <c:pt idx="0">
                  <c:v>Franquicia Telegráfica</c:v>
                </c:pt>
              </c:strCache>
            </c:strRef>
          </c:tx>
          <c:spPr>
            <a:ln w="25400" cap="rnd">
              <a:solidFill>
                <a:schemeClr val="accent2"/>
              </a:solidFill>
              <a:round/>
            </a:ln>
            <a:effectLst/>
          </c:spPr>
          <c:marker>
            <c:symbol val="none"/>
          </c:marker>
          <c:cat>
            <c:numRef>
              <c:f>'Flujo de Caja'!$C$6:$F$6</c:f>
              <c:numCache>
                <c:formatCode>General</c:formatCode>
                <c:ptCount val="4"/>
                <c:pt idx="0">
                  <c:v>2021</c:v>
                </c:pt>
                <c:pt idx="1">
                  <c:v>2022</c:v>
                </c:pt>
                <c:pt idx="2">
                  <c:v>2023</c:v>
                </c:pt>
                <c:pt idx="3">
                  <c:v>2024</c:v>
                </c:pt>
              </c:numCache>
            </c:numRef>
          </c:cat>
          <c:val>
            <c:numRef>
              <c:f>'Flujo de Caja'!$C$214:$F$214</c:f>
              <c:numCache>
                <c:formatCode>#,##0</c:formatCode>
                <c:ptCount val="4"/>
                <c:pt idx="0">
                  <c:v>2669.3867515500001</c:v>
                </c:pt>
                <c:pt idx="1">
                  <c:v>2660.3529612386578</c:v>
                </c:pt>
                <c:pt idx="2">
                  <c:v>2650.304734077084</c:v>
                </c:pt>
                <c:pt idx="3">
                  <c:v>2639.1502420280917</c:v>
                </c:pt>
              </c:numCache>
            </c:numRef>
          </c:val>
          <c:smooth val="1"/>
          <c:extLst>
            <c:ext xmlns:c16="http://schemas.microsoft.com/office/drawing/2014/chart" uri="{C3380CC4-5D6E-409C-BE32-E72D297353CC}">
              <c16:uniqueId val="{00000001-82C6-47C6-97B5-DA4B998F45E5}"/>
            </c:ext>
          </c:extLst>
        </c:ser>
        <c:ser>
          <c:idx val="2"/>
          <c:order val="2"/>
          <c:tx>
            <c:strRef>
              <c:f>'Flujo de Caja'!$B$215</c:f>
              <c:strCache>
                <c:ptCount val="1"/>
                <c:pt idx="0">
                  <c:v>Pago al SPU</c:v>
                </c:pt>
              </c:strCache>
            </c:strRef>
          </c:tx>
          <c:spPr>
            <a:ln w="25400" cap="rnd">
              <a:solidFill>
                <a:schemeClr val="accent3"/>
              </a:solidFill>
              <a:round/>
            </a:ln>
            <a:effectLst/>
          </c:spPr>
          <c:marker>
            <c:symbol val="none"/>
          </c:marker>
          <c:cat>
            <c:numRef>
              <c:f>'Flujo de Caja'!$C$6:$F$6</c:f>
              <c:numCache>
                <c:formatCode>General</c:formatCode>
                <c:ptCount val="4"/>
                <c:pt idx="0">
                  <c:v>2021</c:v>
                </c:pt>
                <c:pt idx="1">
                  <c:v>2022</c:v>
                </c:pt>
                <c:pt idx="2">
                  <c:v>2023</c:v>
                </c:pt>
                <c:pt idx="3">
                  <c:v>2024</c:v>
                </c:pt>
              </c:numCache>
            </c:numRef>
          </c:cat>
          <c:val>
            <c:numRef>
              <c:f>'Flujo de Caja'!$C$215:$F$215</c:f>
              <c:numCache>
                <c:formatCode>#,##0</c:formatCode>
                <c:ptCount val="4"/>
                <c:pt idx="0">
                  <c:v>2750</c:v>
                </c:pt>
                <c:pt idx="1">
                  <c:v>3105.7991599329907</c:v>
                </c:pt>
                <c:pt idx="2">
                  <c:v>1925.4407250735676</c:v>
                </c:pt>
                <c:pt idx="3">
                  <c:v>698.55074772821172</c:v>
                </c:pt>
              </c:numCache>
            </c:numRef>
          </c:val>
          <c:smooth val="1"/>
          <c:extLst>
            <c:ext xmlns:c16="http://schemas.microsoft.com/office/drawing/2014/chart" uri="{C3380CC4-5D6E-409C-BE32-E72D297353CC}">
              <c16:uniqueId val="{00000002-82C6-47C6-97B5-DA4B998F45E5}"/>
            </c:ext>
          </c:extLst>
        </c:ser>
        <c:ser>
          <c:idx val="3"/>
          <c:order val="3"/>
          <c:tx>
            <c:strRef>
              <c:f>'Flujo de Caja'!$B$216</c:f>
              <c:strCache>
                <c:ptCount val="1"/>
                <c:pt idx="0">
                  <c:v>UPU, UDAEP, Consorcio, Otros</c:v>
                </c:pt>
              </c:strCache>
            </c:strRef>
          </c:tx>
          <c:spPr>
            <a:ln w="25400" cap="rnd">
              <a:solidFill>
                <a:schemeClr val="accent4"/>
              </a:solidFill>
              <a:round/>
            </a:ln>
            <a:effectLst/>
          </c:spPr>
          <c:marker>
            <c:symbol val="none"/>
          </c:marker>
          <c:cat>
            <c:numRef>
              <c:f>'Flujo de Caja'!$C$6:$F$6</c:f>
              <c:numCache>
                <c:formatCode>General</c:formatCode>
                <c:ptCount val="4"/>
                <c:pt idx="0">
                  <c:v>2021</c:v>
                </c:pt>
                <c:pt idx="1">
                  <c:v>2022</c:v>
                </c:pt>
                <c:pt idx="2">
                  <c:v>2023</c:v>
                </c:pt>
                <c:pt idx="3">
                  <c:v>2024</c:v>
                </c:pt>
              </c:numCache>
            </c:numRef>
          </c:cat>
          <c:val>
            <c:numRef>
              <c:f>'Flujo de Caja'!$C$216:$F$216</c:f>
              <c:numCache>
                <c:formatCode>#,##0</c:formatCode>
                <c:ptCount val="4"/>
                <c:pt idx="0">
                  <c:v>4949.1288279999999</c:v>
                </c:pt>
                <c:pt idx="1">
                  <c:v>4949.1288279999999</c:v>
                </c:pt>
                <c:pt idx="2">
                  <c:v>4949.1288279999999</c:v>
                </c:pt>
                <c:pt idx="3">
                  <c:v>4949.1288279999999</c:v>
                </c:pt>
              </c:numCache>
            </c:numRef>
          </c:val>
          <c:smooth val="1"/>
          <c:extLst>
            <c:ext xmlns:c16="http://schemas.microsoft.com/office/drawing/2014/chart" uri="{C3380CC4-5D6E-409C-BE32-E72D297353CC}">
              <c16:uniqueId val="{00000003-82C6-47C6-97B5-DA4B998F45E5}"/>
            </c:ext>
          </c:extLst>
        </c:ser>
        <c:ser>
          <c:idx val="4"/>
          <c:order val="4"/>
          <c:tx>
            <c:strRef>
              <c:f>'Flujo de Caja'!$B$217</c:f>
              <c:strCache>
                <c:ptCount val="1"/>
                <c:pt idx="0">
                  <c:v>Total Egresos</c:v>
                </c:pt>
              </c:strCache>
            </c:strRef>
          </c:tx>
          <c:spPr>
            <a:ln w="25400" cap="rnd">
              <a:solidFill>
                <a:srgbClr val="C00000"/>
              </a:solidFill>
              <a:round/>
            </a:ln>
            <a:effectLst/>
          </c:spPr>
          <c:marker>
            <c:symbol val="none"/>
          </c:marker>
          <c:cat>
            <c:numRef>
              <c:f>'Flujo de Caja'!$C$6:$F$6</c:f>
              <c:numCache>
                <c:formatCode>General</c:formatCode>
                <c:ptCount val="4"/>
                <c:pt idx="0">
                  <c:v>2021</c:v>
                </c:pt>
                <c:pt idx="1">
                  <c:v>2022</c:v>
                </c:pt>
                <c:pt idx="2">
                  <c:v>2023</c:v>
                </c:pt>
                <c:pt idx="3">
                  <c:v>2024</c:v>
                </c:pt>
              </c:numCache>
            </c:numRef>
          </c:cat>
          <c:val>
            <c:numRef>
              <c:f>'Flujo de Caja'!$C$217:$F$217</c:f>
              <c:numCache>
                <c:formatCode>#,##0</c:formatCode>
                <c:ptCount val="4"/>
                <c:pt idx="0">
                  <c:v>18213.021551006997</c:v>
                </c:pt>
                <c:pt idx="1">
                  <c:v>18552.165228544131</c:v>
                </c:pt>
                <c:pt idx="2">
                  <c:v>17349.865678931477</c:v>
                </c:pt>
                <c:pt idx="3">
                  <c:v>16096.560420690152</c:v>
                </c:pt>
              </c:numCache>
            </c:numRef>
          </c:val>
          <c:smooth val="1"/>
          <c:extLst>
            <c:ext xmlns:c16="http://schemas.microsoft.com/office/drawing/2014/chart" uri="{C3380CC4-5D6E-409C-BE32-E72D297353CC}">
              <c16:uniqueId val="{00000004-82C6-47C6-97B5-DA4B998F45E5}"/>
            </c:ext>
          </c:extLst>
        </c:ser>
        <c:dLbls>
          <c:showLegendKey val="0"/>
          <c:showVal val="0"/>
          <c:showCatName val="0"/>
          <c:showSerName val="0"/>
          <c:showPercent val="0"/>
          <c:showBubbleSize val="0"/>
        </c:dLbls>
        <c:smooth val="0"/>
        <c:axId val="1780247824"/>
        <c:axId val="1780245744"/>
      </c:lineChart>
      <c:catAx>
        <c:axId val="17802478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1780245744"/>
        <c:crosses val="autoZero"/>
        <c:auto val="1"/>
        <c:lblAlgn val="ctr"/>
        <c:lblOffset val="100"/>
        <c:noMultiLvlLbl val="0"/>
      </c:catAx>
      <c:valAx>
        <c:axId val="1780245744"/>
        <c:scaling>
          <c:orientation val="minMax"/>
          <c:max val="20000"/>
        </c:scaling>
        <c:delete val="1"/>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CO" b="0"/>
                  <a:t>Millones de COP$</a:t>
                </a:r>
              </a:p>
            </c:rich>
          </c:tx>
          <c:layout>
            <c:manualLayout>
              <c:xMode val="edge"/>
              <c:yMode val="edge"/>
              <c:x val="0.20718617672790898"/>
              <c:y val="0.1258054428532482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title>
        <c:numFmt formatCode="#,##0" sourceLinked="1"/>
        <c:majorTickMark val="none"/>
        <c:minorTickMark val="none"/>
        <c:tickLblPos val="nextTo"/>
        <c:crossAx val="178024782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7491489060556171E-2"/>
          <c:w val="0.98046129903315982"/>
          <c:h val="0.73788690320994654"/>
        </c:manualLayout>
      </c:layout>
      <c:barChart>
        <c:barDir val="col"/>
        <c:grouping val="clustered"/>
        <c:varyColors val="0"/>
        <c:ser>
          <c:idx val="0"/>
          <c:order val="0"/>
          <c:tx>
            <c:strRef>
              <c:f>Gráficas!$B$17</c:f>
              <c:strCache>
                <c:ptCount val="1"/>
                <c:pt idx="0">
                  <c:v> Pago UPU </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Gráficas!$H$17</c:f>
              <c:numCache>
                <c:formatCode>#,##0</c:formatCode>
                <c:ptCount val="1"/>
                <c:pt idx="0">
                  <c:v>220758048</c:v>
                </c:pt>
              </c:numCache>
            </c:numRef>
          </c:val>
          <c:extLst>
            <c:ext xmlns:c16="http://schemas.microsoft.com/office/drawing/2014/chart" uri="{C3380CC4-5D6E-409C-BE32-E72D297353CC}">
              <c16:uniqueId val="{00000000-7F90-4088-9F3D-14A38478E2C7}"/>
            </c:ext>
          </c:extLst>
        </c:ser>
        <c:ser>
          <c:idx val="1"/>
          <c:order val="1"/>
          <c:tx>
            <c:strRef>
              <c:f>Gráficas!$B$18</c:f>
              <c:strCache>
                <c:ptCount val="1"/>
                <c:pt idx="0">
                  <c:v> Pago UPAEP </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Gráficas!$H$18</c:f>
              <c:numCache>
                <c:formatCode>#,##0</c:formatCode>
                <c:ptCount val="1"/>
                <c:pt idx="0">
                  <c:v>150761200</c:v>
                </c:pt>
              </c:numCache>
            </c:numRef>
          </c:val>
          <c:extLst>
            <c:ext xmlns:c16="http://schemas.microsoft.com/office/drawing/2014/chart" uri="{C3380CC4-5D6E-409C-BE32-E72D297353CC}">
              <c16:uniqueId val="{00000001-7F90-4088-9F3D-14A38478E2C7}"/>
            </c:ext>
          </c:extLst>
        </c:ser>
        <c:ser>
          <c:idx val="2"/>
          <c:order val="2"/>
          <c:tx>
            <c:strRef>
              <c:f>Gráficas!$B$19</c:f>
              <c:strCache>
                <c:ptCount val="1"/>
                <c:pt idx="0">
                  <c:v> Inspección, Vigilancia y Control (Consorcio) </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Gráficas!$H$19</c:f>
              <c:numCache>
                <c:formatCode>#,##0</c:formatCode>
                <c:ptCount val="1"/>
                <c:pt idx="0">
                  <c:v>2932877004</c:v>
                </c:pt>
              </c:numCache>
            </c:numRef>
          </c:val>
          <c:extLst>
            <c:ext xmlns:c16="http://schemas.microsoft.com/office/drawing/2014/chart" uri="{C3380CC4-5D6E-409C-BE32-E72D297353CC}">
              <c16:uniqueId val="{00000002-7F90-4088-9F3D-14A38478E2C7}"/>
            </c:ext>
          </c:extLst>
        </c:ser>
        <c:ser>
          <c:idx val="3"/>
          <c:order val="3"/>
          <c:tx>
            <c:strRef>
              <c:f>Gráficas!$B$20</c:f>
              <c:strCache>
                <c:ptCount val="1"/>
                <c:pt idx="0">
                  <c:v> Personal, contratistas, otros </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dLbl>
              <c:idx val="0"/>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3-7F90-4088-9F3D-14A38478E2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Gráficas!$H$20</c:f>
              <c:numCache>
                <c:formatCode>#,##0</c:formatCode>
                <c:ptCount val="1"/>
                <c:pt idx="0">
                  <c:v>1669000000</c:v>
                </c:pt>
              </c:numCache>
            </c:numRef>
          </c:val>
          <c:extLst>
            <c:ext xmlns:c16="http://schemas.microsoft.com/office/drawing/2014/chart" uri="{C3380CC4-5D6E-409C-BE32-E72D297353CC}">
              <c16:uniqueId val="{00000004-7F90-4088-9F3D-14A38478E2C7}"/>
            </c:ext>
          </c:extLst>
        </c:ser>
        <c:dLbls>
          <c:dLblPos val="outEnd"/>
          <c:showLegendKey val="0"/>
          <c:showVal val="1"/>
          <c:showCatName val="0"/>
          <c:showSerName val="0"/>
          <c:showPercent val="0"/>
          <c:showBubbleSize val="0"/>
        </c:dLbls>
        <c:gapWidth val="227"/>
        <c:axId val="2119213039"/>
        <c:axId val="2119213455"/>
      </c:barChart>
      <c:catAx>
        <c:axId val="2119213039"/>
        <c:scaling>
          <c:orientation val="minMax"/>
        </c:scaling>
        <c:delete val="1"/>
        <c:axPos val="b"/>
        <c:numFmt formatCode="General" sourceLinked="1"/>
        <c:majorTickMark val="none"/>
        <c:minorTickMark val="none"/>
        <c:tickLblPos val="nextTo"/>
        <c:crossAx val="2119213455"/>
        <c:crosses val="autoZero"/>
        <c:auto val="1"/>
        <c:lblAlgn val="ctr"/>
        <c:lblOffset val="100"/>
        <c:noMultiLvlLbl val="0"/>
      </c:catAx>
      <c:valAx>
        <c:axId val="2119213455"/>
        <c:scaling>
          <c:orientation val="minMax"/>
        </c:scaling>
        <c:delete val="1"/>
        <c:axPos val="l"/>
        <c:numFmt formatCode="#,##0" sourceLinked="1"/>
        <c:majorTickMark val="none"/>
        <c:minorTickMark val="none"/>
        <c:tickLblPos val="nextTo"/>
        <c:crossAx val="2119213039"/>
        <c:crosses val="autoZero"/>
        <c:crossBetween val="between"/>
      </c:valAx>
      <c:spPr>
        <a:noFill/>
        <a:ln>
          <a:noFill/>
        </a:ln>
        <a:effectLst/>
      </c:spPr>
    </c:plotArea>
    <c:legend>
      <c:legendPos val="t"/>
      <c:layout>
        <c:manualLayout>
          <c:xMode val="edge"/>
          <c:yMode val="edge"/>
          <c:x val="0.10995814742370069"/>
          <c:y val="0.81925816780963756"/>
          <c:w val="0.89004185257629931"/>
          <c:h val="6.96599302796128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6.5746640327202913E-2"/>
          <c:w val="0.87232174103237092"/>
          <c:h val="0.80373067556624234"/>
        </c:manualLayout>
      </c:layout>
      <c:barChart>
        <c:barDir val="col"/>
        <c:grouping val="percentStacked"/>
        <c:varyColors val="0"/>
        <c:ser>
          <c:idx val="0"/>
          <c:order val="0"/>
          <c:tx>
            <c:strRef>
              <c:f>'Gráficas Real'!$AC$26</c:f>
              <c:strCache>
                <c:ptCount val="1"/>
                <c:pt idx="0">
                  <c:v>Individual</c:v>
                </c:pt>
              </c:strCache>
            </c:strRef>
          </c:tx>
          <c:spPr>
            <a:solidFill>
              <a:schemeClr val="tx2"/>
            </a:solidFill>
            <a:ln>
              <a:noFill/>
            </a:ln>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'Gráficas Real'!$AD$25:$AK$25</c:f>
              <c:numCache>
                <c:formatCode>0</c:formatCode>
                <c:ptCount val="2"/>
                <c:pt idx="0">
                  <c:v>2014</c:v>
                </c:pt>
                <c:pt idx="1">
                  <c:v>2021</c:v>
                </c:pt>
              </c:numCache>
              <c:extLst/>
            </c:numRef>
          </c:cat>
          <c:val>
            <c:numRef>
              <c:f>'Gráficas Real'!$AD$26:$AK$26</c:f>
              <c:numCache>
                <c:formatCode>#,##0</c:formatCode>
                <c:ptCount val="2"/>
                <c:pt idx="0">
                  <c:v>956930.72837315453</c:v>
                </c:pt>
                <c:pt idx="1">
                  <c:v>1345365.05720825</c:v>
                </c:pt>
              </c:numCache>
              <c:extLst/>
            </c:numRef>
          </c:val>
          <c:extLst>
            <c:ext xmlns:c16="http://schemas.microsoft.com/office/drawing/2014/chart" uri="{C3380CC4-5D6E-409C-BE32-E72D297353CC}">
              <c16:uniqueId val="{00000000-2E6D-4184-9128-5F5007B4408C}"/>
            </c:ext>
          </c:extLst>
        </c:ser>
        <c:ser>
          <c:idx val="1"/>
          <c:order val="1"/>
          <c:tx>
            <c:strRef>
              <c:f>'Gráficas Real'!$AC$27</c:f>
              <c:strCache>
                <c:ptCount val="1"/>
                <c:pt idx="0">
                  <c:v>Masivo</c:v>
                </c:pt>
              </c:strCache>
            </c:strRef>
          </c:tx>
          <c:spPr>
            <a:solidFill>
              <a:schemeClr val="accent1"/>
            </a:solidFill>
            <a:ln>
              <a:noFill/>
            </a:ln>
            <a:effectLst/>
          </c:spPr>
          <c:invertIfNegative val="0"/>
          <c:dLbls>
            <c:dLbl>
              <c:idx val="1"/>
              <c:layout>
                <c:manualLayout>
                  <c:x val="0"/>
                  <c:y val="-2.28862669365528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6D-4184-9128-5F5007B4408C}"/>
                </c:ext>
              </c:extLst>
            </c:dLbl>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'Gráficas Real'!$AD$25:$AK$25</c:f>
              <c:numCache>
                <c:formatCode>0</c:formatCode>
                <c:ptCount val="2"/>
                <c:pt idx="0">
                  <c:v>2014</c:v>
                </c:pt>
                <c:pt idx="1">
                  <c:v>2021</c:v>
                </c:pt>
              </c:numCache>
              <c:extLst/>
            </c:numRef>
          </c:cat>
          <c:val>
            <c:numRef>
              <c:f>'Gráficas Real'!$AD$27:$AK$27</c:f>
              <c:numCache>
                <c:formatCode>#,##0</c:formatCode>
                <c:ptCount val="2"/>
                <c:pt idx="0">
                  <c:v>430616.55231854157</c:v>
                </c:pt>
                <c:pt idx="1">
                  <c:v>218008.25808344001</c:v>
                </c:pt>
              </c:numCache>
              <c:extLst/>
            </c:numRef>
          </c:val>
          <c:extLst>
            <c:ext xmlns:c16="http://schemas.microsoft.com/office/drawing/2014/chart" uri="{C3380CC4-5D6E-409C-BE32-E72D297353CC}">
              <c16:uniqueId val="{00000002-2E6D-4184-9128-5F5007B4408C}"/>
            </c:ext>
          </c:extLst>
        </c:ser>
        <c:dLbls>
          <c:dLblPos val="inEnd"/>
          <c:showLegendKey val="0"/>
          <c:showVal val="1"/>
          <c:showCatName val="0"/>
          <c:showSerName val="0"/>
          <c:showPercent val="0"/>
          <c:showBubbleSize val="0"/>
        </c:dLbls>
        <c:gapWidth val="150"/>
        <c:overlap val="100"/>
        <c:axId val="457915744"/>
        <c:axId val="457921320"/>
      </c:barChart>
      <c:catAx>
        <c:axId val="45791574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457921320"/>
        <c:crosses val="autoZero"/>
        <c:auto val="1"/>
        <c:lblAlgn val="ctr"/>
        <c:lblOffset val="100"/>
        <c:noMultiLvlLbl val="0"/>
      </c:catAx>
      <c:valAx>
        <c:axId val="457921320"/>
        <c:scaling>
          <c:orientation val="minMax"/>
        </c:scaling>
        <c:delete val="1"/>
        <c:axPos val="l"/>
        <c:numFmt formatCode="0%" sourceLinked="1"/>
        <c:majorTickMark val="none"/>
        <c:minorTickMark val="none"/>
        <c:tickLblPos val="nextTo"/>
        <c:crossAx val="457915744"/>
        <c:crosses val="autoZero"/>
        <c:crossBetween val="between"/>
        <c:majorUnit val="0.2"/>
      </c:valAx>
      <c:spPr>
        <a:noFill/>
        <a:ln>
          <a:noFill/>
        </a:ln>
        <a:effectLst/>
      </c:spPr>
    </c:plotArea>
    <c:legend>
      <c:legendPos val="r"/>
      <c:layout>
        <c:manualLayout>
          <c:xMode val="edge"/>
          <c:yMode val="edge"/>
          <c:x val="0.36609681966401381"/>
          <c:y val="0.91351205704085203"/>
          <c:w val="0.3338239300905842"/>
          <c:h val="8.46088399262534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72141681308644"/>
          <c:y val="8.324223373034062E-2"/>
          <c:w val="0.84261806104821602"/>
          <c:h val="0.57404926903685261"/>
        </c:manualLayout>
      </c:layout>
      <c:lineChart>
        <c:grouping val="standard"/>
        <c:varyColors val="0"/>
        <c:ser>
          <c:idx val="0"/>
          <c:order val="0"/>
          <c:tx>
            <c:strRef>
              <c:f>'Gráficas informe 3'!$B$33</c:f>
              <c:strCache>
                <c:ptCount val="1"/>
                <c:pt idx="0">
                  <c:v>Total Individual</c:v>
                </c:pt>
              </c:strCache>
            </c:strRef>
          </c:tx>
          <c:spPr>
            <a:ln w="25400" cap="rnd">
              <a:solidFill>
                <a:schemeClr val="tx2"/>
              </a:solidFill>
              <a:round/>
            </a:ln>
            <a:effectLst/>
          </c:spPr>
          <c:marker>
            <c:symbol val="none"/>
          </c:marker>
          <c:cat>
            <c:numRef>
              <c:f>'Gráficas informe 3'!$C$32:$J$32</c:f>
              <c:numCache>
                <c:formatCode>0</c:formatCode>
                <c:ptCount val="8"/>
                <c:pt idx="0">
                  <c:v>2014</c:v>
                </c:pt>
                <c:pt idx="1">
                  <c:v>2015</c:v>
                </c:pt>
                <c:pt idx="2">
                  <c:v>2016</c:v>
                </c:pt>
                <c:pt idx="3">
                  <c:v>2017</c:v>
                </c:pt>
                <c:pt idx="4">
                  <c:v>2018</c:v>
                </c:pt>
                <c:pt idx="5">
                  <c:v>2019</c:v>
                </c:pt>
                <c:pt idx="6">
                  <c:v>2020</c:v>
                </c:pt>
                <c:pt idx="7">
                  <c:v>2021</c:v>
                </c:pt>
              </c:numCache>
            </c:numRef>
          </c:cat>
          <c:val>
            <c:numRef>
              <c:f>'Gráficas informe 3'!$C$33:$J$33</c:f>
              <c:numCache>
                <c:formatCode>#,##0</c:formatCode>
                <c:ptCount val="8"/>
                <c:pt idx="0">
                  <c:v>113027.82680000001</c:v>
                </c:pt>
                <c:pt idx="1">
                  <c:v>88811.311229999992</c:v>
                </c:pt>
                <c:pt idx="2">
                  <c:v>92971.82577999997</c:v>
                </c:pt>
                <c:pt idx="3">
                  <c:v>91120.62318000001</c:v>
                </c:pt>
                <c:pt idx="4">
                  <c:v>98591.10394999999</c:v>
                </c:pt>
                <c:pt idx="5">
                  <c:v>102638.25900000001</c:v>
                </c:pt>
                <c:pt idx="6">
                  <c:v>109049.33873999998</c:v>
                </c:pt>
                <c:pt idx="7">
                  <c:v>119140.62768999999</c:v>
                </c:pt>
              </c:numCache>
            </c:numRef>
          </c:val>
          <c:smooth val="1"/>
          <c:extLst>
            <c:ext xmlns:c16="http://schemas.microsoft.com/office/drawing/2014/chart" uri="{C3380CC4-5D6E-409C-BE32-E72D297353CC}">
              <c16:uniqueId val="{00000000-2A98-45B7-8097-34A56EB787A1}"/>
            </c:ext>
          </c:extLst>
        </c:ser>
        <c:ser>
          <c:idx val="1"/>
          <c:order val="1"/>
          <c:tx>
            <c:strRef>
              <c:f>'Gráficas informe 3'!$B$34</c:f>
              <c:strCache>
                <c:ptCount val="1"/>
                <c:pt idx="0">
                  <c:v>Envíos &lt; 2 kilos</c:v>
                </c:pt>
              </c:strCache>
            </c:strRef>
          </c:tx>
          <c:spPr>
            <a:ln w="22225" cap="rnd">
              <a:solidFill>
                <a:srgbClr val="C00000"/>
              </a:solidFill>
              <a:round/>
            </a:ln>
            <a:effectLst/>
          </c:spPr>
          <c:marker>
            <c:symbol val="none"/>
          </c:marker>
          <c:val>
            <c:numRef>
              <c:f>'Gráficas informe 3'!$C$34:$J$34</c:f>
              <c:numCache>
                <c:formatCode>#,##0</c:formatCode>
                <c:ptCount val="8"/>
                <c:pt idx="0">
                  <c:v>98967.965018154835</c:v>
                </c:pt>
                <c:pt idx="1">
                  <c:v>76078.470529999991</c:v>
                </c:pt>
                <c:pt idx="2">
                  <c:v>78713.094689999998</c:v>
                </c:pt>
                <c:pt idx="3">
                  <c:v>73776.746079999997</c:v>
                </c:pt>
                <c:pt idx="4">
                  <c:v>76487.361250000002</c:v>
                </c:pt>
                <c:pt idx="5">
                  <c:v>77292.189499999993</c:v>
                </c:pt>
                <c:pt idx="6">
                  <c:v>79305.860660000006</c:v>
                </c:pt>
                <c:pt idx="7">
                  <c:v>92363.596739999994</c:v>
                </c:pt>
              </c:numCache>
            </c:numRef>
          </c:val>
          <c:smooth val="1"/>
          <c:extLst>
            <c:ext xmlns:c16="http://schemas.microsoft.com/office/drawing/2014/chart" uri="{C3380CC4-5D6E-409C-BE32-E72D297353CC}">
              <c16:uniqueId val="{00000001-2A98-45B7-8097-34A56EB787A1}"/>
            </c:ext>
          </c:extLst>
        </c:ser>
        <c:ser>
          <c:idx val="2"/>
          <c:order val="2"/>
          <c:tx>
            <c:strRef>
              <c:f>'Gráficas informe 3'!$B$35</c:f>
              <c:strCache>
                <c:ptCount val="1"/>
                <c:pt idx="0">
                  <c:v>M/E 2-5 K</c:v>
                </c:pt>
              </c:strCache>
            </c:strRef>
          </c:tx>
          <c:spPr>
            <a:ln w="22225" cap="rnd">
              <a:solidFill>
                <a:schemeClr val="accent3"/>
              </a:solidFill>
              <a:round/>
            </a:ln>
            <a:effectLst/>
          </c:spPr>
          <c:marker>
            <c:symbol val="none"/>
          </c:marker>
          <c:val>
            <c:numRef>
              <c:f>'Gráficas informe 3'!$C$35:$J$35</c:f>
              <c:numCache>
                <c:formatCode>#,##0</c:formatCode>
                <c:ptCount val="8"/>
                <c:pt idx="0">
                  <c:v>10538.021419999999</c:v>
                </c:pt>
                <c:pt idx="1">
                  <c:v>12732.840700000001</c:v>
                </c:pt>
                <c:pt idx="2">
                  <c:v>14258.731089999999</c:v>
                </c:pt>
                <c:pt idx="3">
                  <c:v>17343.877100000002</c:v>
                </c:pt>
                <c:pt idx="4">
                  <c:v>22103.742700000003</c:v>
                </c:pt>
                <c:pt idx="5">
                  <c:v>25346.069499999998</c:v>
                </c:pt>
                <c:pt idx="6">
                  <c:v>29743.478080000001</c:v>
                </c:pt>
                <c:pt idx="7">
                  <c:v>26777.030949999997</c:v>
                </c:pt>
              </c:numCache>
            </c:numRef>
          </c:val>
          <c:smooth val="1"/>
          <c:extLst>
            <c:ext xmlns:c16="http://schemas.microsoft.com/office/drawing/2014/chart" uri="{C3380CC4-5D6E-409C-BE32-E72D297353CC}">
              <c16:uniqueId val="{00000002-2A98-45B7-8097-34A56EB787A1}"/>
            </c:ext>
          </c:extLst>
        </c:ser>
        <c:dLbls>
          <c:showLegendKey val="0"/>
          <c:showVal val="0"/>
          <c:showCatName val="0"/>
          <c:showSerName val="0"/>
          <c:showPercent val="0"/>
          <c:showBubbleSize val="0"/>
        </c:dLbls>
        <c:smooth val="0"/>
        <c:axId val="93317184"/>
        <c:axId val="93311776"/>
      </c:lineChart>
      <c:catAx>
        <c:axId val="933171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93311776"/>
        <c:crosses val="autoZero"/>
        <c:auto val="1"/>
        <c:lblAlgn val="ctr"/>
        <c:lblOffset val="100"/>
        <c:noMultiLvlLbl val="0"/>
      </c:catAx>
      <c:valAx>
        <c:axId val="93311776"/>
        <c:scaling>
          <c:orientation val="minMax"/>
          <c:max val="120000"/>
          <c:min val="1000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CO" b="0"/>
                  <a:t>Número de envíos (000´s)</a:t>
                </a:r>
              </a:p>
            </c:rich>
          </c:tx>
          <c:layout>
            <c:manualLayout>
              <c:xMode val="edge"/>
              <c:yMode val="edge"/>
              <c:x val="4.8586055053831859E-2"/>
              <c:y val="0.1887030070716647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CO"/>
          </a:p>
        </c:txPr>
        <c:crossAx val="9331718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8.3750000000000005E-2"/>
          <c:w val="0.93888888888888888"/>
          <c:h val="0.71312445319335083"/>
        </c:manualLayout>
      </c:layout>
      <c:barChart>
        <c:barDir val="col"/>
        <c:grouping val="clustered"/>
        <c:varyColors val="0"/>
        <c:ser>
          <c:idx val="0"/>
          <c:order val="0"/>
          <c:tx>
            <c:strRef>
              <c:f>'Gráficas Real'!$B$26</c:f>
              <c:strCache>
                <c:ptCount val="1"/>
                <c:pt idx="0">
                  <c:v>Correo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'Gráficas Real'!$J$26</c:f>
              <c:numCache>
                <c:formatCode>#,##0</c:formatCode>
                <c:ptCount val="1"/>
                <c:pt idx="0">
                  <c:v>112111.43319969001</c:v>
                </c:pt>
              </c:numCache>
            </c:numRef>
          </c:val>
          <c:extLst>
            <c:ext xmlns:c16="http://schemas.microsoft.com/office/drawing/2014/chart" uri="{C3380CC4-5D6E-409C-BE32-E72D297353CC}">
              <c16:uniqueId val="{00000000-A0B6-49BF-BEB5-1F1B88352CE6}"/>
            </c:ext>
          </c:extLst>
        </c:ser>
        <c:ser>
          <c:idx val="2"/>
          <c:order val="2"/>
          <c:tx>
            <c:strRef>
              <c:f>'Gráficas Real'!$B$28</c:f>
              <c:strCache>
                <c:ptCount val="1"/>
                <c:pt idx="0">
                  <c:v>Mensajería expresa</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'Gráficas Real'!$J$28</c:f>
              <c:numCache>
                <c:formatCode>#,##0</c:formatCode>
                <c:ptCount val="1"/>
                <c:pt idx="0">
                  <c:v>1451261.882092</c:v>
                </c:pt>
              </c:numCache>
            </c:numRef>
          </c:val>
          <c:extLst>
            <c:ext xmlns:c16="http://schemas.microsoft.com/office/drawing/2014/chart" uri="{C3380CC4-5D6E-409C-BE32-E72D297353CC}">
              <c16:uniqueId val="{00000001-A0B6-49BF-BEB5-1F1B88352CE6}"/>
            </c:ext>
          </c:extLst>
        </c:ser>
        <c:ser>
          <c:idx val="3"/>
          <c:order val="3"/>
          <c:tx>
            <c:strRef>
              <c:f>'Gráficas Real'!$B$29</c:f>
              <c:strCache>
                <c:ptCount val="1"/>
                <c:pt idx="0">
                  <c:v>Giros postales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'Gráficas Real'!$J$29</c:f>
              <c:numCache>
                <c:formatCode>#,##0</c:formatCode>
                <c:ptCount val="1"/>
                <c:pt idx="0">
                  <c:v>718446.98246700002</c:v>
                </c:pt>
              </c:numCache>
            </c:numRef>
          </c:val>
          <c:extLst>
            <c:ext xmlns:c16="http://schemas.microsoft.com/office/drawing/2014/chart" uri="{C3380CC4-5D6E-409C-BE32-E72D297353CC}">
              <c16:uniqueId val="{00000002-A0B6-49BF-BEB5-1F1B88352CE6}"/>
            </c:ext>
          </c:extLst>
        </c:ser>
        <c:dLbls>
          <c:dLblPos val="outEnd"/>
          <c:showLegendKey val="0"/>
          <c:showVal val="1"/>
          <c:showCatName val="0"/>
          <c:showSerName val="0"/>
          <c:showPercent val="0"/>
          <c:showBubbleSize val="0"/>
        </c:dLbls>
        <c:gapWidth val="100"/>
        <c:overlap val="-24"/>
        <c:axId val="637977920"/>
        <c:axId val="637976256"/>
        <c:extLst>
          <c:ext xmlns:c15="http://schemas.microsoft.com/office/drawing/2012/chart" uri="{02D57815-91ED-43cb-92C2-25804820EDAC}">
            <c15:filteredBarSeries>
              <c15:ser>
                <c:idx val="1"/>
                <c:order val="1"/>
                <c:tx>
                  <c:strRef>
                    <c:extLst>
                      <c:ext uri="{02D57815-91ED-43cb-92C2-25804820EDAC}">
                        <c15:formulaRef>
                          <c15:sqref>'Gráficas Real'!$B$27</c15:sqref>
                        </c15:formulaRef>
                      </c:ext>
                    </c:extLst>
                    <c:strCache>
                      <c:ptCount val="1"/>
                      <c:pt idx="0">
                        <c:v>Mensajería especializada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val>
                  <c:numRef>
                    <c:extLst>
                      <c:ext uri="{02D57815-91ED-43cb-92C2-25804820EDAC}">
                        <c15:formulaRef>
                          <c15:sqref>'Gráficas Real'!$J$27</c15:sqref>
                        </c15:formulaRef>
                      </c:ext>
                    </c:extLst>
                    <c:numCache>
                      <c:formatCode>#,##0</c:formatCode>
                      <c:ptCount val="1"/>
                      <c:pt idx="0">
                        <c:v>0</c:v>
                      </c:pt>
                    </c:numCache>
                  </c:numRef>
                </c:val>
                <c:extLst>
                  <c:ext xmlns:c16="http://schemas.microsoft.com/office/drawing/2014/chart" uri="{C3380CC4-5D6E-409C-BE32-E72D297353CC}">
                    <c16:uniqueId val="{00000003-A0B6-49BF-BEB5-1F1B88352CE6}"/>
                  </c:ext>
                </c:extLst>
              </c15:ser>
            </c15:filteredBarSeries>
          </c:ext>
        </c:extLst>
      </c:barChart>
      <c:catAx>
        <c:axId val="637977920"/>
        <c:scaling>
          <c:orientation val="minMax"/>
        </c:scaling>
        <c:delete val="1"/>
        <c:axPos val="b"/>
        <c:numFmt formatCode="General" sourceLinked="1"/>
        <c:majorTickMark val="none"/>
        <c:minorTickMark val="none"/>
        <c:tickLblPos val="nextTo"/>
        <c:crossAx val="637976256"/>
        <c:crosses val="autoZero"/>
        <c:auto val="1"/>
        <c:lblAlgn val="ctr"/>
        <c:lblOffset val="100"/>
        <c:noMultiLvlLbl val="0"/>
      </c:catAx>
      <c:valAx>
        <c:axId val="637976256"/>
        <c:scaling>
          <c:orientation val="minMax"/>
        </c:scaling>
        <c:delete val="1"/>
        <c:axPos val="l"/>
        <c:numFmt formatCode="#,##0" sourceLinked="1"/>
        <c:majorTickMark val="none"/>
        <c:minorTickMark val="none"/>
        <c:tickLblPos val="nextTo"/>
        <c:crossAx val="637977920"/>
        <c:crosses val="autoZero"/>
        <c:crossBetween val="between"/>
      </c:valAx>
      <c:spPr>
        <a:noFill/>
        <a:ln>
          <a:noFill/>
        </a:ln>
        <a:effectLst/>
      </c:spPr>
    </c:plotArea>
    <c:legend>
      <c:legendPos val="b"/>
      <c:layout>
        <c:manualLayout>
          <c:xMode val="edge"/>
          <c:yMode val="edge"/>
          <c:x val="0.1315109361329834"/>
          <c:y val="0.82465223097112861"/>
          <c:w val="0.8119779090113736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27739202352634"/>
          <c:y val="0.10858525037311513"/>
          <c:w val="0.8327799711930699"/>
          <c:h val="0.79468821299298376"/>
        </c:manualLayout>
      </c:layout>
      <c:barChart>
        <c:barDir val="col"/>
        <c:grouping val="percentStacked"/>
        <c:varyColors val="0"/>
        <c:ser>
          <c:idx val="0"/>
          <c:order val="0"/>
          <c:tx>
            <c:strRef>
              <c:f>'Tipo Servicio'!$A$20</c:f>
              <c:strCache>
                <c:ptCount val="1"/>
                <c:pt idx="0">
                  <c:v>Mensajería Expresa</c:v>
                </c:pt>
              </c:strCache>
            </c:strRef>
          </c:tx>
          <c:spPr>
            <a:solidFill>
              <a:schemeClr val="tx2"/>
            </a:solidFill>
            <a:ln>
              <a:noFill/>
            </a:ln>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('Tipo Servicio'!$E$19:$F$19,'Tipo Servicio'!$I$19,'Tipo Servicio'!$K$19:$L$19)</c:f>
              <c:numCache>
                <c:formatCode>General</c:formatCode>
                <c:ptCount val="5"/>
                <c:pt idx="0">
                  <c:v>2014</c:v>
                </c:pt>
                <c:pt idx="1">
                  <c:v>2015</c:v>
                </c:pt>
                <c:pt idx="2">
                  <c:v>2018</c:v>
                </c:pt>
                <c:pt idx="3">
                  <c:v>2020</c:v>
                </c:pt>
                <c:pt idx="4">
                  <c:v>2021</c:v>
                </c:pt>
              </c:numCache>
              <c:extLst/>
            </c:numRef>
          </c:cat>
          <c:val>
            <c:numRef>
              <c:f>('Tipo Servicio'!$E$20:$F$20,'Tipo Servicio'!$I$20,'Tipo Servicio'!$K$20:$L$20)</c:f>
              <c:numCache>
                <c:formatCode>#,##0</c:formatCode>
                <c:ptCount val="5"/>
                <c:pt idx="0">
                  <c:v>44151.970777252332</c:v>
                </c:pt>
                <c:pt idx="1">
                  <c:v>41343.801817149346</c:v>
                </c:pt>
                <c:pt idx="2">
                  <c:v>34646.031403796806</c:v>
                </c:pt>
                <c:pt idx="3">
                  <c:v>38862.378457265833</c:v>
                </c:pt>
                <c:pt idx="4">
                  <c:v>39869.636648</c:v>
                </c:pt>
              </c:numCache>
              <c:extLst/>
            </c:numRef>
          </c:val>
          <c:extLst>
            <c:ext xmlns:c16="http://schemas.microsoft.com/office/drawing/2014/chart" uri="{C3380CC4-5D6E-409C-BE32-E72D297353CC}">
              <c16:uniqueId val="{00000000-14DA-493D-B56B-D9BE613375CC}"/>
            </c:ext>
          </c:extLst>
        </c:ser>
        <c:ser>
          <c:idx val="1"/>
          <c:order val="1"/>
          <c:tx>
            <c:strRef>
              <c:f>'Tipo Servicio'!$A$21</c:f>
              <c:strCache>
                <c:ptCount val="1"/>
                <c:pt idx="0">
                  <c:v>Giros postales</c:v>
                </c:pt>
              </c:strCache>
            </c:strRef>
          </c:tx>
          <c:spPr>
            <a:solidFill>
              <a:schemeClr val="accent1"/>
            </a:solidFill>
            <a:ln>
              <a:noFill/>
            </a:ln>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('Tipo Servicio'!$E$19:$F$19,'Tipo Servicio'!$I$19,'Tipo Servicio'!$K$19:$L$19)</c:f>
              <c:numCache>
                <c:formatCode>General</c:formatCode>
                <c:ptCount val="5"/>
                <c:pt idx="0">
                  <c:v>2014</c:v>
                </c:pt>
                <c:pt idx="1">
                  <c:v>2015</c:v>
                </c:pt>
                <c:pt idx="2">
                  <c:v>2018</c:v>
                </c:pt>
                <c:pt idx="3">
                  <c:v>2020</c:v>
                </c:pt>
                <c:pt idx="4">
                  <c:v>2021</c:v>
                </c:pt>
              </c:numCache>
              <c:extLst/>
            </c:numRef>
          </c:cat>
          <c:val>
            <c:numRef>
              <c:f>('Tipo Servicio'!$E$21:$F$21,'Tipo Servicio'!$I$21,'Tipo Servicio'!$K$21:$L$21)</c:f>
              <c:numCache>
                <c:formatCode>#,##0</c:formatCode>
                <c:ptCount val="5"/>
                <c:pt idx="0">
                  <c:v>5584.6846125863949</c:v>
                </c:pt>
                <c:pt idx="1">
                  <c:v>28776.80442930153</c:v>
                </c:pt>
                <c:pt idx="2">
                  <c:v>28226.161341300001</c:v>
                </c:pt>
                <c:pt idx="3">
                  <c:v>23653.971689988623</c:v>
                </c:pt>
                <c:pt idx="4">
                  <c:v>18939.632035999999</c:v>
                </c:pt>
              </c:numCache>
              <c:extLst/>
            </c:numRef>
          </c:val>
          <c:extLst>
            <c:ext xmlns:c16="http://schemas.microsoft.com/office/drawing/2014/chart" uri="{C3380CC4-5D6E-409C-BE32-E72D297353CC}">
              <c16:uniqueId val="{00000001-14DA-493D-B56B-D9BE613375CC}"/>
            </c:ext>
          </c:extLst>
        </c:ser>
        <c:dLbls>
          <c:showLegendKey val="0"/>
          <c:showVal val="0"/>
          <c:showCatName val="0"/>
          <c:showSerName val="0"/>
          <c:showPercent val="0"/>
          <c:showBubbleSize val="0"/>
        </c:dLbls>
        <c:gapWidth val="100"/>
        <c:overlap val="100"/>
        <c:axId val="184344032"/>
        <c:axId val="184343200"/>
      </c:barChart>
      <c:catAx>
        <c:axId val="1843440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184343200"/>
        <c:crosses val="autoZero"/>
        <c:auto val="1"/>
        <c:lblAlgn val="ctr"/>
        <c:lblOffset val="100"/>
        <c:noMultiLvlLbl val="0"/>
      </c:catAx>
      <c:valAx>
        <c:axId val="18434320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CO" b="0"/>
                  <a:t>% y MM $ de $ reales </a:t>
                </a:r>
              </a:p>
            </c:rich>
          </c:tx>
          <c:layout>
            <c:manualLayout>
              <c:xMode val="edge"/>
              <c:yMode val="edge"/>
              <c:x val="1.3535772784715475E-2"/>
              <c:y val="0.308943635029012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184344032"/>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929803660906023"/>
          <c:y val="4.6532716545204739E-3"/>
          <c:w val="0.37074922452875209"/>
          <c:h val="7.3529926406258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21924693910981"/>
          <c:y val="0.14104376487822742"/>
          <c:w val="0.73470152348977169"/>
          <c:h val="0.58911554660318621"/>
        </c:manualLayout>
      </c:layout>
      <c:lineChart>
        <c:grouping val="standard"/>
        <c:varyColors val="0"/>
        <c:ser>
          <c:idx val="0"/>
          <c:order val="0"/>
          <c:tx>
            <c:strRef>
              <c:f>Gráficas!$B$11</c:f>
              <c:strCache>
                <c:ptCount val="1"/>
                <c:pt idx="0">
                  <c:v> Franquicia postal </c:v>
                </c:pt>
              </c:strCache>
            </c:strRef>
          </c:tx>
          <c:spPr>
            <a:ln w="34925" cap="rnd">
              <a:solidFill>
                <a:schemeClr val="bg1">
                  <a:lumMod val="50000"/>
                </a:schemeClr>
              </a:solidFill>
              <a:round/>
            </a:ln>
            <a:effectLst/>
          </c:spPr>
          <c:marker>
            <c:symbol val="none"/>
          </c:marker>
          <c:cat>
            <c:strRef>
              <c:f>Gráficas!$C$10:$H$10</c:f>
              <c:strCache>
                <c:ptCount val="5"/>
                <c:pt idx="0">
                  <c:v>2016</c:v>
                </c:pt>
                <c:pt idx="1">
                  <c:v>2017</c:v>
                </c:pt>
                <c:pt idx="2">
                  <c:v>2018</c:v>
                </c:pt>
                <c:pt idx="3">
                  <c:v>2019</c:v>
                </c:pt>
                <c:pt idx="4">
                  <c:v>2020</c:v>
                </c:pt>
              </c:strCache>
              <c:extLst/>
            </c:strRef>
          </c:cat>
          <c:val>
            <c:numRef>
              <c:f>Gráficas!$C$11:$H$11</c:f>
              <c:numCache>
                <c:formatCode>_("$"\ * #,##0.00_);_("$"\ * \(#,##0.00\);_("$"\ * "-"??_);_(@_)</c:formatCode>
                <c:ptCount val="5"/>
                <c:pt idx="0">
                  <c:v>55500.635712034251</c:v>
                </c:pt>
                <c:pt idx="1">
                  <c:v>51651.235728504944</c:v>
                </c:pt>
                <c:pt idx="2">
                  <c:v>51037.157403107201</c:v>
                </c:pt>
                <c:pt idx="3">
                  <c:v>47973.87639022158</c:v>
                </c:pt>
                <c:pt idx="4">
                  <c:v>12878.601185267347</c:v>
                </c:pt>
              </c:numCache>
              <c:extLst/>
            </c:numRef>
          </c:val>
          <c:smooth val="1"/>
          <c:extLst>
            <c:ext xmlns:c16="http://schemas.microsoft.com/office/drawing/2014/chart" uri="{C3380CC4-5D6E-409C-BE32-E72D297353CC}">
              <c16:uniqueId val="{00000000-70D3-470B-ADA9-854489271ED5}"/>
            </c:ext>
          </c:extLst>
        </c:ser>
        <c:ser>
          <c:idx val="2"/>
          <c:order val="2"/>
          <c:tx>
            <c:strRef>
              <c:f>Gráficas!$B$12</c:f>
              <c:strCache>
                <c:ptCount val="1"/>
                <c:pt idx="0">
                  <c:v> Pago del SPU </c:v>
                </c:pt>
              </c:strCache>
            </c:strRef>
          </c:tx>
          <c:spPr>
            <a:ln w="34925" cap="rnd">
              <a:solidFill>
                <a:srgbClr val="C00000"/>
              </a:solidFill>
              <a:round/>
            </a:ln>
            <a:effectLst/>
          </c:spPr>
          <c:marker>
            <c:symbol val="none"/>
          </c:marker>
          <c:cat>
            <c:strRef>
              <c:f>Gráficas!$C$10:$H$10</c:f>
              <c:strCache>
                <c:ptCount val="5"/>
                <c:pt idx="0">
                  <c:v>2016</c:v>
                </c:pt>
                <c:pt idx="1">
                  <c:v>2017</c:v>
                </c:pt>
                <c:pt idx="2">
                  <c:v>2018</c:v>
                </c:pt>
                <c:pt idx="3">
                  <c:v>2019</c:v>
                </c:pt>
                <c:pt idx="4">
                  <c:v>2020</c:v>
                </c:pt>
              </c:strCache>
              <c:extLst/>
            </c:strRef>
          </c:cat>
          <c:val>
            <c:numRef>
              <c:f>Gráficas!$C$12:$H$12</c:f>
              <c:numCache>
                <c:formatCode>_("$"\ * #,##0.00_);_("$"\ * \(#,##0.00\);_("$"\ * "-"??_);_(@_)</c:formatCode>
                <c:ptCount val="5"/>
                <c:pt idx="0">
                  <c:v>19144.667597465359</c:v>
                </c:pt>
                <c:pt idx="1">
                  <c:v>13219.304581097813</c:v>
                </c:pt>
                <c:pt idx="2">
                  <c:v>9773.2179125957991</c:v>
                </c:pt>
                <c:pt idx="3">
                  <c:v>7197.9940236994207</c:v>
                </c:pt>
                <c:pt idx="4">
                  <c:v>5946.8330504834094</c:v>
                </c:pt>
              </c:numCache>
              <c:extLst/>
            </c:numRef>
          </c:val>
          <c:smooth val="1"/>
          <c:extLst>
            <c:ext xmlns:c16="http://schemas.microsoft.com/office/drawing/2014/chart" uri="{C3380CC4-5D6E-409C-BE32-E72D297353CC}">
              <c16:uniqueId val="{00000001-70D3-470B-ADA9-854489271ED5}"/>
            </c:ext>
          </c:extLst>
        </c:ser>
        <c:ser>
          <c:idx val="3"/>
          <c:order val="3"/>
          <c:tx>
            <c:strRef>
              <c:f>Gráficas!$B$13</c:f>
              <c:strCache>
                <c:ptCount val="1"/>
                <c:pt idx="0">
                  <c:v> UPU, UPAEP, Vigilancia, Otros </c:v>
                </c:pt>
              </c:strCache>
            </c:strRef>
          </c:tx>
          <c:spPr>
            <a:ln w="34925" cap="rnd">
              <a:solidFill>
                <a:schemeClr val="accent4"/>
              </a:solidFill>
              <a:round/>
            </a:ln>
            <a:effectLst/>
          </c:spPr>
          <c:marker>
            <c:symbol val="none"/>
          </c:marker>
          <c:cat>
            <c:strLit>
              <c:ptCount val="5"/>
              <c:pt idx="0">
                <c:v>2016</c:v>
              </c:pt>
              <c:pt idx="1">
                <c:v>2017</c:v>
              </c:pt>
              <c:pt idx="2">
                <c:v>2018</c:v>
              </c:pt>
              <c:pt idx="3">
                <c:v>2019</c:v>
              </c:pt>
              <c:pt idx="4">
                <c:v>2020</c:v>
              </c:pt>
              <c:extLst>
                <c:ext xmlns:c15="http://schemas.microsoft.com/office/drawing/2012/chart" uri="{02D57815-91ED-43cb-92C2-25804820EDAC}">
                  <c15:autoCat val="1"/>
                </c:ext>
              </c:extLst>
            </c:strLit>
          </c:cat>
          <c:val>
            <c:numRef>
              <c:f>Gráficas!$C$13:$H$13</c:f>
              <c:numCache>
                <c:formatCode>_("$"\ * #,##0.00_);_("$"\ * \(#,##0.00\);_("$"\ * "-"??_);_(@_)</c:formatCode>
                <c:ptCount val="5"/>
                <c:pt idx="0">
                  <c:v>5556.7397701643213</c:v>
                </c:pt>
                <c:pt idx="1">
                  <c:v>5338.3000412711517</c:v>
                </c:pt>
                <c:pt idx="2">
                  <c:v>5173.8804</c:v>
                </c:pt>
                <c:pt idx="3">
                  <c:v>4984.4705202312134</c:v>
                </c:pt>
                <c:pt idx="4">
                  <c:v>4905.0819112627987</c:v>
                </c:pt>
              </c:numCache>
              <c:extLst/>
            </c:numRef>
          </c:val>
          <c:smooth val="0"/>
          <c:extLst>
            <c:ext xmlns:c16="http://schemas.microsoft.com/office/drawing/2014/chart" uri="{C3380CC4-5D6E-409C-BE32-E72D297353CC}">
              <c16:uniqueId val="{00000002-70D3-470B-ADA9-854489271ED5}"/>
            </c:ext>
          </c:extLst>
        </c:ser>
        <c:ser>
          <c:idx val="4"/>
          <c:order val="4"/>
          <c:tx>
            <c:strRef>
              <c:f>Gráficas!$B$14</c:f>
              <c:strCache>
                <c:ptCount val="1"/>
                <c:pt idx="0">
                  <c:v> Total gastos Fondo </c:v>
                </c:pt>
              </c:strCache>
            </c:strRef>
          </c:tx>
          <c:spPr>
            <a:ln w="34925" cap="rnd">
              <a:solidFill>
                <a:schemeClr val="tx2"/>
              </a:solidFill>
              <a:round/>
            </a:ln>
            <a:effectLst/>
          </c:spPr>
          <c:marker>
            <c:symbol val="none"/>
          </c:marker>
          <c:cat>
            <c:strLit>
              <c:ptCount val="5"/>
              <c:pt idx="0">
                <c:v>2016</c:v>
              </c:pt>
              <c:pt idx="1">
                <c:v>2017</c:v>
              </c:pt>
              <c:pt idx="2">
                <c:v>2018</c:v>
              </c:pt>
              <c:pt idx="3">
                <c:v>2019</c:v>
              </c:pt>
              <c:pt idx="4">
                <c:v>2020</c:v>
              </c:pt>
              <c:extLst>
                <c:ext xmlns:c15="http://schemas.microsoft.com/office/drawing/2012/chart" uri="{02D57815-91ED-43cb-92C2-25804820EDAC}">
                  <c15:autoCat val="1"/>
                </c:ext>
              </c:extLst>
            </c:strLit>
          </c:cat>
          <c:val>
            <c:numRef>
              <c:f>Gráficas!$C$14:$H$14</c:f>
              <c:numCache>
                <c:formatCode>_("$"\ * #,##0.00_);_("$"\ * \(#,##0.00\);_("$"\ * "-"??_);_(@_)</c:formatCode>
                <c:ptCount val="5"/>
                <c:pt idx="0">
                  <c:v>80202.043079663927</c:v>
                </c:pt>
                <c:pt idx="1">
                  <c:v>70208.840350873914</c:v>
                </c:pt>
                <c:pt idx="2">
                  <c:v>65984.255715702995</c:v>
                </c:pt>
                <c:pt idx="3">
                  <c:v>60156.340934152213</c:v>
                </c:pt>
                <c:pt idx="4">
                  <c:v>23730.516147013554</c:v>
                </c:pt>
              </c:numCache>
              <c:extLst/>
            </c:numRef>
          </c:val>
          <c:smooth val="1"/>
          <c:extLst>
            <c:ext xmlns:c16="http://schemas.microsoft.com/office/drawing/2014/chart" uri="{C3380CC4-5D6E-409C-BE32-E72D297353CC}">
              <c16:uniqueId val="{00000003-70D3-470B-ADA9-854489271ED5}"/>
            </c:ext>
          </c:extLst>
        </c:ser>
        <c:ser>
          <c:idx val="5"/>
          <c:order val="5"/>
          <c:tx>
            <c:strRef>
              <c:f>Gráficas!$B$15</c:f>
              <c:strCache>
                <c:ptCount val="1"/>
                <c:pt idx="0">
                  <c:v> Ingresos x Contraprestaciones  </c:v>
                </c:pt>
              </c:strCache>
            </c:strRef>
          </c:tx>
          <c:spPr>
            <a:ln w="34925" cap="rnd">
              <a:solidFill>
                <a:schemeClr val="accent6"/>
              </a:solidFill>
              <a:round/>
            </a:ln>
            <a:effectLst/>
          </c:spPr>
          <c:marker>
            <c:symbol val="none"/>
          </c:marker>
          <c:cat>
            <c:strLit>
              <c:ptCount val="5"/>
              <c:pt idx="0">
                <c:v>2016</c:v>
              </c:pt>
              <c:pt idx="1">
                <c:v>2017</c:v>
              </c:pt>
              <c:pt idx="2">
                <c:v>2018</c:v>
              </c:pt>
              <c:pt idx="3">
                <c:v>2019</c:v>
              </c:pt>
              <c:pt idx="4">
                <c:v>2020</c:v>
              </c:pt>
              <c:extLst>
                <c:ext xmlns:c15="http://schemas.microsoft.com/office/drawing/2012/chart" uri="{02D57815-91ED-43cb-92C2-25804820EDAC}">
                  <c15:autoCat val="1"/>
                </c:ext>
              </c:extLst>
            </c:strLit>
          </c:cat>
          <c:val>
            <c:numRef>
              <c:f>Gráficas!$C$15:$H$15</c:f>
              <c:numCache>
                <c:formatCode>"$"\ #,##0.0</c:formatCode>
                <c:ptCount val="5"/>
                <c:pt idx="0">
                  <c:v>65977.310707765006</c:v>
                </c:pt>
                <c:pt idx="1">
                  <c:v>60337.919258109687</c:v>
                </c:pt>
                <c:pt idx="2">
                  <c:v>62872.1927450968</c:v>
                </c:pt>
                <c:pt idx="3">
                  <c:v>64532.493302894407</c:v>
                </c:pt>
                <c:pt idx="4">
                  <c:v>62516.350147254459</c:v>
                </c:pt>
              </c:numCache>
              <c:extLst/>
            </c:numRef>
          </c:val>
          <c:smooth val="1"/>
          <c:extLst>
            <c:ext xmlns:c16="http://schemas.microsoft.com/office/drawing/2014/chart" uri="{C3380CC4-5D6E-409C-BE32-E72D297353CC}">
              <c16:uniqueId val="{00000004-70D3-470B-ADA9-854489271ED5}"/>
            </c:ext>
          </c:extLst>
        </c:ser>
        <c:dLbls>
          <c:showLegendKey val="0"/>
          <c:showVal val="0"/>
          <c:showCatName val="0"/>
          <c:showSerName val="0"/>
          <c:showPercent val="0"/>
          <c:showBubbleSize val="0"/>
        </c:dLbls>
        <c:smooth val="0"/>
        <c:axId val="583753600"/>
        <c:axId val="583761920"/>
        <c:extLst>
          <c:ext xmlns:c15="http://schemas.microsoft.com/office/drawing/2012/chart" uri="{02D57815-91ED-43cb-92C2-25804820EDAC}">
            <c15:filteredLineSeries>
              <c15:ser>
                <c:idx val="1"/>
                <c:order val="1"/>
                <c:tx>
                  <c:strRef>
                    <c:extLst>
                      <c:ext uri="{02D57815-91ED-43cb-92C2-25804820EDAC}">
                        <c15:formulaRef>
                          <c15:sqref>Gráficas!$B$24</c15:sqref>
                        </c15:formulaRef>
                      </c:ext>
                    </c:extLst>
                    <c:strCache>
                      <c:ptCount val="1"/>
                      <c:pt idx="0">
                        <c:v> Franquicia telegráfica </c:v>
                      </c:pt>
                    </c:strCache>
                  </c:strRef>
                </c:tx>
                <c:spPr>
                  <a:ln w="34925" cap="rnd">
                    <a:solidFill>
                      <a:schemeClr val="bg1">
                        <a:lumMod val="50000"/>
                      </a:schemeClr>
                    </a:solidFill>
                    <a:round/>
                  </a:ln>
                  <a:effectLst/>
                </c:spPr>
                <c:marker>
                  <c:symbol val="none"/>
                </c:marker>
                <c:cat>
                  <c:strRef>
                    <c:extLst>
                      <c:ext uri="{02D57815-91ED-43cb-92C2-25804820EDAC}">
                        <c15:formulaRef>
                          <c15:sqref>Gráficas!$C$10:$H$10</c15:sqref>
                        </c15:formulaRef>
                      </c:ext>
                    </c:extLst>
                    <c:strCache>
                      <c:ptCount val="5"/>
                      <c:pt idx="0">
                        <c:v>2016</c:v>
                      </c:pt>
                      <c:pt idx="1">
                        <c:v>2017</c:v>
                      </c:pt>
                      <c:pt idx="2">
                        <c:v>2018</c:v>
                      </c:pt>
                      <c:pt idx="3">
                        <c:v>2019</c:v>
                      </c:pt>
                      <c:pt idx="4">
                        <c:v>2020</c:v>
                      </c:pt>
                    </c:strCache>
                  </c:strRef>
                </c:cat>
                <c:val>
                  <c:numRef>
                    <c:extLst>
                      <c:ext uri="{02D57815-91ED-43cb-92C2-25804820EDAC}">
                        <c15:formulaRef>
                          <c15:sqref>Gráficas!$C$24:$H$24</c15:sqref>
                        </c15:formulaRef>
                      </c:ext>
                    </c:extLst>
                    <c:numCache>
                      <c:formatCode>_("$"\ * #,##0.00_);_("$"\ * \(#,##0.00\);_("$"\ * "-"??_);_(@_)</c:formatCode>
                      <c:ptCount val="5"/>
                      <c:pt idx="0">
                        <c:v>4354.0956920744475</c:v>
                      </c:pt>
                      <c:pt idx="1">
                        <c:v>4387.2546143896825</c:v>
                      </c:pt>
                      <c:pt idx="2">
                        <c:v>4111.482438933961</c:v>
                      </c:pt>
                      <c:pt idx="3">
                        <c:v>3567.4772660163776</c:v>
                      </c:pt>
                      <c:pt idx="4">
                        <c:v>2186.2252160882963</c:v>
                      </c:pt>
                    </c:numCache>
                  </c:numRef>
                </c:val>
                <c:smooth val="0"/>
                <c:extLst>
                  <c:ext xmlns:c16="http://schemas.microsoft.com/office/drawing/2014/chart" uri="{C3380CC4-5D6E-409C-BE32-E72D297353CC}">
                    <c16:uniqueId val="{00000005-70D3-470B-ADA9-854489271ED5}"/>
                  </c:ext>
                </c:extLst>
              </c15:ser>
            </c15:filteredLineSeries>
          </c:ext>
        </c:extLst>
      </c:lineChart>
      <c:catAx>
        <c:axId val="58375360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583761920"/>
        <c:crosses val="autoZero"/>
        <c:auto val="1"/>
        <c:lblAlgn val="ctr"/>
        <c:lblOffset val="100"/>
        <c:noMultiLvlLbl val="0"/>
      </c:catAx>
      <c:valAx>
        <c:axId val="58376192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CO" b="0"/>
                  <a:t>Millones de COP $ reales</a:t>
                </a:r>
              </a:p>
            </c:rich>
          </c:tx>
          <c:layout>
            <c:manualLayout>
              <c:xMode val="edge"/>
              <c:yMode val="edge"/>
              <c:x val="0.13160646915284197"/>
              <c:y val="0.1962231852801345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title>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583753600"/>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38615116930609"/>
          <c:y val="8.8379629629629641E-2"/>
          <c:w val="0.83110069106530227"/>
          <c:h val="0.72551727909011365"/>
        </c:manualLayout>
      </c:layout>
      <c:barChart>
        <c:barDir val="bar"/>
        <c:grouping val="clustered"/>
        <c:varyColors val="0"/>
        <c:ser>
          <c:idx val="0"/>
          <c:order val="0"/>
          <c:tx>
            <c:strRef>
              <c:f>Gráficas!$B$12</c:f>
              <c:strCache>
                <c:ptCount val="1"/>
                <c:pt idx="0">
                  <c:v> Pago del SPU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2.247191011235955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22-4AA1-AF87-31E089A52797}"/>
                </c:ext>
              </c:extLst>
            </c:dLbl>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numRef>
              <c:f>Gráficas!$C$10:$G$10</c:f>
              <c:numCache>
                <c:formatCode>0</c:formatCode>
                <c:ptCount val="5"/>
                <c:pt idx="0">
                  <c:v>2016</c:v>
                </c:pt>
                <c:pt idx="1">
                  <c:v>2017</c:v>
                </c:pt>
                <c:pt idx="2">
                  <c:v>2018</c:v>
                </c:pt>
                <c:pt idx="3">
                  <c:v>2019</c:v>
                </c:pt>
                <c:pt idx="4">
                  <c:v>2020</c:v>
                </c:pt>
              </c:numCache>
              <c:extLst/>
            </c:numRef>
          </c:cat>
          <c:val>
            <c:numRef>
              <c:f>Gráficas!$C$12:$G$12</c:f>
              <c:numCache>
                <c:formatCode>_("$"\ * #,##0.00_);_("$"\ * \(#,##0.00\);_("$"\ * "-"??_);_(@_)</c:formatCode>
                <c:ptCount val="5"/>
                <c:pt idx="0">
                  <c:v>19144.667597465359</c:v>
                </c:pt>
                <c:pt idx="1">
                  <c:v>13219.304581097813</c:v>
                </c:pt>
                <c:pt idx="2">
                  <c:v>9773.2179125957991</c:v>
                </c:pt>
                <c:pt idx="3">
                  <c:v>7197.9940236994207</c:v>
                </c:pt>
                <c:pt idx="4">
                  <c:v>5946.8330504834094</c:v>
                </c:pt>
              </c:numCache>
              <c:extLst/>
            </c:numRef>
          </c:val>
          <c:extLst>
            <c:ext xmlns:c16="http://schemas.microsoft.com/office/drawing/2014/chart" uri="{C3380CC4-5D6E-409C-BE32-E72D297353CC}">
              <c16:uniqueId val="{00000001-D922-4AA1-AF87-31E089A52797}"/>
            </c:ext>
          </c:extLst>
        </c:ser>
        <c:dLbls>
          <c:showLegendKey val="0"/>
          <c:showVal val="0"/>
          <c:showCatName val="0"/>
          <c:showSerName val="0"/>
          <c:showPercent val="0"/>
          <c:showBubbleSize val="0"/>
        </c:dLbls>
        <c:gapWidth val="100"/>
        <c:axId val="511352480"/>
        <c:axId val="511361216"/>
      </c:barChart>
      <c:catAx>
        <c:axId val="511352480"/>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11361216"/>
        <c:crosses val="autoZero"/>
        <c:auto val="1"/>
        <c:lblAlgn val="ctr"/>
        <c:lblOffset val="100"/>
        <c:noMultiLvlLbl val="0"/>
      </c:catAx>
      <c:valAx>
        <c:axId val="511361216"/>
        <c:scaling>
          <c:orientation val="minMax"/>
        </c:scaling>
        <c:delete val="0"/>
        <c:axPos val="b"/>
        <c:majorGridlines>
          <c:spPr>
            <a:ln w="9525" cap="flat" cmpd="sng" algn="ctr">
              <a:solidFill>
                <a:schemeClr val="bg1">
                  <a:lumMod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s-CO" cap="small" baseline="0"/>
                  <a:t>Millones de pesos reales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O"/>
            </a:p>
          </c:txPr>
        </c:title>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11352480"/>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6.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E554A0-4F0C-5A47-B406-28C0B5821161}" type="doc">
      <dgm:prSet loTypeId="urn:microsoft.com/office/officeart/2005/8/layout/vList5" loCatId="" qsTypeId="urn:microsoft.com/office/officeart/2005/8/quickstyle/simple2" qsCatId="simple" csTypeId="urn:microsoft.com/office/officeart/2005/8/colors/accent1_4" csCatId="accent1" phldr="1"/>
      <dgm:spPr/>
      <dgm:t>
        <a:bodyPr/>
        <a:lstStyle/>
        <a:p>
          <a:endParaRPr lang="es-ES"/>
        </a:p>
      </dgm:t>
    </dgm:pt>
    <dgm:pt modelId="{D2D2A678-0291-E641-99FE-A6E7F97826EB}">
      <dgm:prSet phldrT="[Texto]" custT="1"/>
      <dgm:spPr/>
      <dgm:t>
        <a:bodyPr/>
        <a:lstStyle/>
        <a:p>
          <a:pPr marL="0" lvl="0" indent="0" algn="ctr" defTabSz="622300">
            <a:lnSpc>
              <a:spcPct val="90000"/>
            </a:lnSpc>
            <a:spcBef>
              <a:spcPct val="0"/>
            </a:spcBef>
            <a:spcAft>
              <a:spcPct val="35000"/>
            </a:spcAft>
            <a:buNone/>
          </a:pPr>
          <a:r>
            <a:rPr lang="es-ES" sz="1050" kern="1200">
              <a:latin typeface="Arial Narrow"/>
              <a:ea typeface="+mn-ea"/>
              <a:cs typeface="Arial Narrow"/>
            </a:rPr>
            <a:t>Encomiendas</a:t>
          </a:r>
          <a:endParaRPr lang="es-ES" sz="1050" kern="1200" dirty="0">
            <a:latin typeface="Arial Narrow"/>
            <a:ea typeface="+mn-ea"/>
            <a:cs typeface="Arial Narrow"/>
          </a:endParaRPr>
        </a:p>
      </dgm:t>
    </dgm:pt>
    <dgm:pt modelId="{85AFC335-8403-864D-B0CD-28749D4233A7}" type="parTrans" cxnId="{01FE33CC-CA62-F14B-99BD-329C816EC39F}">
      <dgm:prSet/>
      <dgm:spPr/>
      <dgm:t>
        <a:bodyPr/>
        <a:lstStyle/>
        <a:p>
          <a:endParaRPr lang="es-ES" sz="1200"/>
        </a:p>
      </dgm:t>
    </dgm:pt>
    <dgm:pt modelId="{46096A36-E28C-A247-AAF0-6D0B19B673F0}" type="sibTrans" cxnId="{01FE33CC-CA62-F14B-99BD-329C816EC39F}">
      <dgm:prSet/>
      <dgm:spPr/>
      <dgm:t>
        <a:bodyPr/>
        <a:lstStyle/>
        <a:p>
          <a:endParaRPr lang="es-ES" sz="1200"/>
        </a:p>
      </dgm:t>
    </dgm:pt>
    <dgm:pt modelId="{0423562A-77F1-6B4E-8129-513DBAEC8418}">
      <dgm:prSet custT="1"/>
      <dgm:spPr/>
      <dgm:t>
        <a:bodyPr/>
        <a:lstStyle/>
        <a:p>
          <a:r>
            <a:rPr lang="es-ES" sz="1050" dirty="0">
              <a:latin typeface="Arial Narrow"/>
              <a:cs typeface="Arial Narrow"/>
            </a:rPr>
            <a:t>Correspondencia no prioritaria</a:t>
          </a:r>
        </a:p>
      </dgm:t>
    </dgm:pt>
    <dgm:pt modelId="{DB32184D-2083-3D42-B746-1A147996DE8F}" type="parTrans" cxnId="{7D951749-9730-7740-8427-2CF58FFFA55E}">
      <dgm:prSet/>
      <dgm:spPr/>
      <dgm:t>
        <a:bodyPr/>
        <a:lstStyle/>
        <a:p>
          <a:endParaRPr lang="es-ES" sz="1200"/>
        </a:p>
      </dgm:t>
    </dgm:pt>
    <dgm:pt modelId="{11244F4D-31EF-7247-8974-D88251DB2199}" type="sibTrans" cxnId="{7D951749-9730-7740-8427-2CF58FFFA55E}">
      <dgm:prSet/>
      <dgm:spPr/>
      <dgm:t>
        <a:bodyPr/>
        <a:lstStyle/>
        <a:p>
          <a:endParaRPr lang="es-ES" sz="1200"/>
        </a:p>
      </dgm:t>
    </dgm:pt>
    <dgm:pt modelId="{6099E94D-6449-1E43-9405-AE67707A7EDA}">
      <dgm:prSet phldrT="[Texto]" custT="1"/>
      <dgm:spPr/>
      <dgm:t>
        <a:bodyPr/>
        <a:lstStyle/>
        <a:p>
          <a:r>
            <a:rPr lang="es-ES" sz="1050" dirty="0">
              <a:latin typeface="Arial Narrow"/>
              <a:cs typeface="Arial Narrow"/>
            </a:rPr>
            <a:t>Correspondencia prioritaria</a:t>
          </a:r>
        </a:p>
      </dgm:t>
    </dgm:pt>
    <dgm:pt modelId="{56B551CD-41A4-3E4F-9D85-573EBE360465}" type="sibTrans" cxnId="{84F140B4-59D1-AF46-9A8C-E2BA0F5D9A6C}">
      <dgm:prSet/>
      <dgm:spPr/>
      <dgm:t>
        <a:bodyPr/>
        <a:lstStyle/>
        <a:p>
          <a:endParaRPr lang="es-ES" sz="1200"/>
        </a:p>
      </dgm:t>
    </dgm:pt>
    <dgm:pt modelId="{FF4BD921-3F51-1F4C-8DA7-66763BFED8C9}" type="parTrans" cxnId="{84F140B4-59D1-AF46-9A8C-E2BA0F5D9A6C}">
      <dgm:prSet/>
      <dgm:spPr/>
      <dgm:t>
        <a:bodyPr/>
        <a:lstStyle/>
        <a:p>
          <a:endParaRPr lang="es-ES" sz="1200"/>
        </a:p>
      </dgm:t>
    </dgm:pt>
    <dgm:pt modelId="{3178964D-DEC7-7F41-AFCA-2D87529045DF}">
      <dgm:prSet custT="1"/>
      <dgm:spPr/>
      <dgm:t>
        <a:bodyPr/>
        <a:lstStyle/>
        <a:p>
          <a:r>
            <a:rPr lang="es-ES" sz="1050" dirty="0">
              <a:latin typeface="Arial Narrow"/>
              <a:cs typeface="Arial Narrow"/>
            </a:rPr>
            <a:t>Correo telegráfico</a:t>
          </a:r>
        </a:p>
      </dgm:t>
    </dgm:pt>
    <dgm:pt modelId="{BCE89EC5-BC56-0E43-A85F-83A5FDC07C07}" type="parTrans" cxnId="{AEF9AF9B-0BAD-FC48-A775-FBC29E559573}">
      <dgm:prSet/>
      <dgm:spPr/>
      <dgm:t>
        <a:bodyPr/>
        <a:lstStyle/>
        <a:p>
          <a:endParaRPr lang="es-ES" sz="1200"/>
        </a:p>
      </dgm:t>
    </dgm:pt>
    <dgm:pt modelId="{EEDDB13C-8524-974B-A5F3-E3A15CDB517F}" type="sibTrans" cxnId="{AEF9AF9B-0BAD-FC48-A775-FBC29E559573}">
      <dgm:prSet/>
      <dgm:spPr/>
      <dgm:t>
        <a:bodyPr/>
        <a:lstStyle/>
        <a:p>
          <a:endParaRPr lang="es-ES" sz="1200"/>
        </a:p>
      </dgm:t>
    </dgm:pt>
    <dgm:pt modelId="{854FE7B8-BC86-D146-BD8E-C53E579443D1}">
      <dgm:prSet custT="1"/>
      <dgm:spPr/>
      <dgm:t>
        <a:bodyPr/>
        <a:lstStyle/>
        <a:p>
          <a:pPr marL="0" indent="0">
            <a:buNone/>
          </a:pPr>
          <a:r>
            <a:rPr lang="es-ES" sz="1050" dirty="0">
              <a:latin typeface="Arial Narrow"/>
              <a:cs typeface="Arial Narrow"/>
            </a:rPr>
            <a:t>Correspondencia &lt; 2 </a:t>
          </a:r>
          <a:r>
            <a:rPr lang="es-ES" sz="1050" dirty="0" err="1">
              <a:latin typeface="Arial Narrow"/>
              <a:cs typeface="Arial Narrow"/>
            </a:rPr>
            <a:t>Kgrs</a:t>
          </a:r>
          <a:r>
            <a:rPr lang="es-ES" sz="1050" dirty="0">
              <a:latin typeface="Arial Narrow"/>
              <a:cs typeface="Arial Narrow"/>
            </a:rPr>
            <a:t>, con plazo más largo, sin guía de entrega y sin seguimiento.</a:t>
          </a:r>
        </a:p>
      </dgm:t>
    </dgm:pt>
    <dgm:pt modelId="{B947DF0B-2BAB-0D40-B968-D60ED5D68792}" type="parTrans" cxnId="{D0F14453-CB70-404B-8798-CDAED54C9EC9}">
      <dgm:prSet/>
      <dgm:spPr/>
      <dgm:t>
        <a:bodyPr/>
        <a:lstStyle/>
        <a:p>
          <a:endParaRPr lang="es-ES" sz="1200"/>
        </a:p>
      </dgm:t>
    </dgm:pt>
    <dgm:pt modelId="{35356758-D744-DB49-8DCA-D62EFD5BCCE9}" type="sibTrans" cxnId="{D0F14453-CB70-404B-8798-CDAED54C9EC9}">
      <dgm:prSet/>
      <dgm:spPr/>
      <dgm:t>
        <a:bodyPr/>
        <a:lstStyle/>
        <a:p>
          <a:endParaRPr lang="es-ES" sz="1200"/>
        </a:p>
      </dgm:t>
    </dgm:pt>
    <dgm:pt modelId="{55B2D936-8A69-D94F-9F27-7CB21898DF94}">
      <dgm:prSet custT="1"/>
      <dgm:spPr/>
      <dgm:t>
        <a:bodyPr/>
        <a:lstStyle/>
        <a:p>
          <a:pPr marL="0" indent="0">
            <a:buNone/>
          </a:pPr>
          <a:r>
            <a:rPr lang="es-CO" sz="1050" dirty="0">
              <a:latin typeface="Arial Narrow"/>
            </a:rPr>
            <a:t>Admisión de telegramas y su transmisión mediante el operador habilitado para prestar el servicio, y posterior entrega a un destinatario de manera física.</a:t>
          </a:r>
          <a:endParaRPr lang="es-ES" sz="1050" dirty="0">
            <a:latin typeface="Arial Narrow"/>
            <a:cs typeface="Arial Narrow"/>
          </a:endParaRPr>
        </a:p>
      </dgm:t>
    </dgm:pt>
    <dgm:pt modelId="{9A9FD627-0509-D146-A96D-377ABA913E09}" type="parTrans" cxnId="{AB837867-1EEC-A94B-83F4-C2579220AEF4}">
      <dgm:prSet/>
      <dgm:spPr/>
      <dgm:t>
        <a:bodyPr/>
        <a:lstStyle/>
        <a:p>
          <a:endParaRPr lang="es-ES" sz="1200"/>
        </a:p>
      </dgm:t>
    </dgm:pt>
    <dgm:pt modelId="{59EDF971-4E5B-F748-9780-0BD745A1ABED}" type="sibTrans" cxnId="{AB837867-1EEC-A94B-83F4-C2579220AEF4}">
      <dgm:prSet/>
      <dgm:spPr/>
      <dgm:t>
        <a:bodyPr/>
        <a:lstStyle/>
        <a:p>
          <a:endParaRPr lang="es-ES" sz="1200"/>
        </a:p>
      </dgm:t>
    </dgm:pt>
    <dgm:pt modelId="{87EE3701-4D96-1C40-92BA-588A8451269F}">
      <dgm:prSet phldrT="[Texto]" custT="1"/>
      <dgm:spPr/>
      <dgm:t>
        <a:bodyPr/>
        <a:lstStyle/>
        <a:p>
          <a:pPr marL="0" indent="0">
            <a:buNone/>
          </a:pPr>
          <a:r>
            <a:rPr lang="es-CO" sz="1050" kern="1200" dirty="0">
              <a:latin typeface="Arial Narrow"/>
              <a:ea typeface="+mn-ea"/>
              <a:cs typeface="Arial Narrow"/>
            </a:rPr>
            <a:t>Servicio exclusivo y obligado del OPO de entrega, no urgente, de objetos postales, mercancías, paquetes o cualquier artículo &lt; 30 </a:t>
          </a:r>
          <a:r>
            <a:rPr lang="es-CO" sz="1050" kern="1200" dirty="0" err="1">
              <a:latin typeface="Arial Narrow"/>
              <a:ea typeface="+mn-ea"/>
              <a:cs typeface="Arial Narrow"/>
            </a:rPr>
            <a:t>Kgrs</a:t>
          </a:r>
          <a:r>
            <a:rPr lang="es-CO" sz="1050" kern="1200" dirty="0">
              <a:latin typeface="Arial Narrow"/>
              <a:ea typeface="+mn-ea"/>
              <a:cs typeface="Arial Narrow"/>
            </a:rPr>
            <a:t>.</a:t>
          </a:r>
          <a:endParaRPr lang="es-ES" sz="1050" kern="1200" dirty="0">
            <a:latin typeface="Arial Narrow"/>
            <a:ea typeface="+mn-ea"/>
            <a:cs typeface="Arial Narrow"/>
          </a:endParaRPr>
        </a:p>
      </dgm:t>
    </dgm:pt>
    <dgm:pt modelId="{84E146C5-3D73-0F4C-9AF8-218991E2C931}" type="parTrans" cxnId="{D1996818-71E0-BC47-90ED-4C59F34ED151}">
      <dgm:prSet/>
      <dgm:spPr/>
      <dgm:t>
        <a:bodyPr/>
        <a:lstStyle/>
        <a:p>
          <a:endParaRPr lang="es-ES" sz="1200"/>
        </a:p>
      </dgm:t>
    </dgm:pt>
    <dgm:pt modelId="{2E011953-F73D-0447-8B79-9F5927B5775C}" type="sibTrans" cxnId="{D1996818-71E0-BC47-90ED-4C59F34ED151}">
      <dgm:prSet/>
      <dgm:spPr/>
      <dgm:t>
        <a:bodyPr/>
        <a:lstStyle/>
        <a:p>
          <a:endParaRPr lang="es-ES" sz="1200"/>
        </a:p>
      </dgm:t>
    </dgm:pt>
    <dgm:pt modelId="{97D1C1BB-D9CF-A64E-A06D-064E3DF46482}">
      <dgm:prSet phldrT="[Texto]" custT="1"/>
      <dgm:spPr/>
      <dgm:t>
        <a:bodyPr/>
        <a:lstStyle/>
        <a:p>
          <a:pPr marL="0" indent="0">
            <a:buNone/>
          </a:pPr>
          <a:r>
            <a:rPr lang="es-CO" sz="1050" b="0" dirty="0">
              <a:latin typeface="Arial Narrow"/>
            </a:rPr>
            <a:t>Servicio a través del cual el OPO recibe, clasifica, transporta y entrega objetos postales de hasta 2 kg, por la vía más rápida, sin guía y sin seguimiento.</a:t>
          </a:r>
          <a:endParaRPr lang="es-ES" sz="1050" b="0" dirty="0">
            <a:latin typeface="Arial Narrow"/>
            <a:cs typeface="Arial Narrow"/>
          </a:endParaRPr>
        </a:p>
      </dgm:t>
    </dgm:pt>
    <dgm:pt modelId="{837DB259-85AC-6C43-884B-94C553E593FB}" type="sibTrans" cxnId="{912EFF32-439B-EF45-BBC3-D41B73ACF11F}">
      <dgm:prSet/>
      <dgm:spPr/>
      <dgm:t>
        <a:bodyPr/>
        <a:lstStyle/>
        <a:p>
          <a:endParaRPr lang="es-ES" sz="1200"/>
        </a:p>
      </dgm:t>
    </dgm:pt>
    <dgm:pt modelId="{16023C1C-7BDF-934C-A1F0-E870F87EE2E4}" type="parTrans" cxnId="{912EFF32-439B-EF45-BBC3-D41B73ACF11F}">
      <dgm:prSet/>
      <dgm:spPr/>
      <dgm:t>
        <a:bodyPr/>
        <a:lstStyle/>
        <a:p>
          <a:endParaRPr lang="es-ES" sz="1200"/>
        </a:p>
      </dgm:t>
    </dgm:pt>
    <dgm:pt modelId="{2707D246-4F9D-43E2-B8FC-9F8769C6A45B}">
      <dgm:prSet custT="1"/>
      <dgm:spPr/>
      <dgm:t>
        <a:bodyPr/>
        <a:lstStyle/>
        <a:p>
          <a:pPr marL="0" lvl="0" indent="0" algn="ctr" defTabSz="622300">
            <a:lnSpc>
              <a:spcPct val="90000"/>
            </a:lnSpc>
            <a:spcBef>
              <a:spcPct val="0"/>
            </a:spcBef>
            <a:spcAft>
              <a:spcPct val="35000"/>
            </a:spcAft>
            <a:buNone/>
          </a:pPr>
          <a:r>
            <a:rPr lang="es-CO" sz="1050" kern="1200" dirty="0">
              <a:latin typeface="Arial Narrow"/>
              <a:ea typeface="+mn-ea"/>
              <a:cs typeface="Arial Narrow"/>
            </a:rPr>
            <a:t>Correo certificado</a:t>
          </a:r>
        </a:p>
      </dgm:t>
    </dgm:pt>
    <dgm:pt modelId="{CDCDC5E2-0DB5-4520-B690-5B5D3BD8C229}" type="parTrans" cxnId="{958FDE11-6D21-4EC6-B5FF-1B0F45814DFE}">
      <dgm:prSet/>
      <dgm:spPr/>
      <dgm:t>
        <a:bodyPr/>
        <a:lstStyle/>
        <a:p>
          <a:endParaRPr lang="es-CO" sz="1200"/>
        </a:p>
      </dgm:t>
    </dgm:pt>
    <dgm:pt modelId="{A3265224-E633-4BDC-817D-B020F8960C78}" type="sibTrans" cxnId="{958FDE11-6D21-4EC6-B5FF-1B0F45814DFE}">
      <dgm:prSet/>
      <dgm:spPr/>
      <dgm:t>
        <a:bodyPr/>
        <a:lstStyle/>
        <a:p>
          <a:endParaRPr lang="es-CO" sz="1200"/>
        </a:p>
      </dgm:t>
    </dgm:pt>
    <dgm:pt modelId="{E43C6F6D-D9DE-4718-BF1A-33A900513683}">
      <dgm:prSet custT="1"/>
      <dgm:spPr/>
      <dgm:t>
        <a:bodyPr/>
        <a:lstStyle/>
        <a:p>
          <a:r>
            <a:rPr lang="es-CO" sz="1050" kern="1200" dirty="0">
              <a:latin typeface="Arial Narrow"/>
              <a:ea typeface="+mn-ea"/>
              <a:cs typeface="Arial Narrow"/>
            </a:rPr>
            <a:t>Envíos con valor declarado</a:t>
          </a:r>
        </a:p>
      </dgm:t>
    </dgm:pt>
    <dgm:pt modelId="{4630A5C8-4010-4F55-A3E6-0548C7E91E91}" type="parTrans" cxnId="{904132DB-27CE-4E74-A88A-3D0669D9FF78}">
      <dgm:prSet/>
      <dgm:spPr/>
      <dgm:t>
        <a:bodyPr/>
        <a:lstStyle/>
        <a:p>
          <a:endParaRPr lang="es-CO" sz="1200"/>
        </a:p>
      </dgm:t>
    </dgm:pt>
    <dgm:pt modelId="{D5BDE876-AA96-4463-9876-1E6B4C958007}" type="sibTrans" cxnId="{904132DB-27CE-4E74-A88A-3D0669D9FF78}">
      <dgm:prSet/>
      <dgm:spPr/>
      <dgm:t>
        <a:bodyPr/>
        <a:lstStyle/>
        <a:p>
          <a:endParaRPr lang="es-CO" sz="1200"/>
        </a:p>
      </dgm:t>
    </dgm:pt>
    <dgm:pt modelId="{AB35C11C-D625-4741-88E3-2D5E0A505FA2}">
      <dgm:prSet custT="1"/>
      <dgm:spPr/>
      <dgm:t>
        <a:bodyPr/>
        <a:lstStyle/>
        <a:p>
          <a:pPr marL="0" lvl="1" indent="0" algn="l" defTabSz="577850">
            <a:lnSpc>
              <a:spcPct val="90000"/>
            </a:lnSpc>
            <a:spcBef>
              <a:spcPct val="0"/>
            </a:spcBef>
            <a:spcAft>
              <a:spcPct val="15000"/>
            </a:spcAft>
            <a:buNone/>
          </a:pPr>
          <a:r>
            <a:rPr lang="es-CO" sz="1050" kern="1200" dirty="0">
              <a:latin typeface="Arial Narrow"/>
              <a:ea typeface="+mn-ea"/>
              <a:cs typeface="Arial Narrow"/>
            </a:rPr>
            <a:t>Según la UPU, servicio accesorio a correspondencia y encomienda, garantía contra pérdida, expoliación o avería, guía de depósito y entrega.</a:t>
          </a:r>
        </a:p>
      </dgm:t>
    </dgm:pt>
    <dgm:pt modelId="{501F9C5B-37FD-48C8-A48D-B281D1E6FE94}" type="parTrans" cxnId="{6F45E754-8645-4A18-9FB3-FC15BC436106}">
      <dgm:prSet/>
      <dgm:spPr/>
      <dgm:t>
        <a:bodyPr/>
        <a:lstStyle/>
        <a:p>
          <a:endParaRPr lang="es-CO" sz="1200"/>
        </a:p>
      </dgm:t>
    </dgm:pt>
    <dgm:pt modelId="{5E50CE5F-A09E-4C7D-9C63-89CC63BC3DAD}" type="sibTrans" cxnId="{6F45E754-8645-4A18-9FB3-FC15BC436106}">
      <dgm:prSet/>
      <dgm:spPr/>
      <dgm:t>
        <a:bodyPr/>
        <a:lstStyle/>
        <a:p>
          <a:endParaRPr lang="es-CO" sz="1200"/>
        </a:p>
      </dgm:t>
    </dgm:pt>
    <dgm:pt modelId="{5FA12C56-7802-4704-BA0F-AE14F976EF21}">
      <dgm:prSet custT="1"/>
      <dgm:spPr/>
      <dgm:t>
        <a:bodyPr/>
        <a:lstStyle/>
        <a:p>
          <a:pPr marL="0" lvl="1" indent="0" algn="l" defTabSz="577850">
            <a:lnSpc>
              <a:spcPct val="90000"/>
            </a:lnSpc>
            <a:spcBef>
              <a:spcPct val="0"/>
            </a:spcBef>
            <a:spcAft>
              <a:spcPct val="15000"/>
            </a:spcAft>
            <a:buNone/>
          </a:pPr>
          <a:r>
            <a:rPr lang="es-CO" sz="1050" kern="1200" dirty="0">
              <a:latin typeface="Arial Narrow"/>
              <a:ea typeface="+mn-ea"/>
              <a:cs typeface="Arial Narrow"/>
            </a:rPr>
            <a:t>Servicio accesorio a correspondencia y encomienda, que asegura el envío por el valor declarado en caso de pérdida, robo o deterioro.</a:t>
          </a:r>
        </a:p>
      </dgm:t>
    </dgm:pt>
    <dgm:pt modelId="{AA5C2252-9A09-4B3D-B281-6044A6A92F31}" type="parTrans" cxnId="{63A6D74D-A773-42D1-82A1-C76ACFEE8E4D}">
      <dgm:prSet/>
      <dgm:spPr/>
      <dgm:t>
        <a:bodyPr/>
        <a:lstStyle/>
        <a:p>
          <a:endParaRPr lang="es-CO" sz="1200"/>
        </a:p>
      </dgm:t>
    </dgm:pt>
    <dgm:pt modelId="{3639C466-5F8F-4BC7-ABF2-60D5B9DA8C7D}" type="sibTrans" cxnId="{63A6D74D-A773-42D1-82A1-C76ACFEE8E4D}">
      <dgm:prSet/>
      <dgm:spPr/>
      <dgm:t>
        <a:bodyPr/>
        <a:lstStyle/>
        <a:p>
          <a:endParaRPr lang="es-CO" sz="1200"/>
        </a:p>
      </dgm:t>
    </dgm:pt>
    <dgm:pt modelId="{79615A1E-B5FD-5B43-A5AE-2E86F2DF6C4C}" type="pres">
      <dgm:prSet presAssocID="{81E554A0-4F0C-5A47-B406-28C0B5821161}" presName="Name0" presStyleCnt="0">
        <dgm:presLayoutVars>
          <dgm:dir/>
          <dgm:animLvl val="lvl"/>
          <dgm:resizeHandles val="exact"/>
        </dgm:presLayoutVars>
      </dgm:prSet>
      <dgm:spPr/>
    </dgm:pt>
    <dgm:pt modelId="{F3F4CA34-32E9-B94B-BB4D-6FA5DE06A6A9}" type="pres">
      <dgm:prSet presAssocID="{6099E94D-6449-1E43-9405-AE67707A7EDA}" presName="linNode" presStyleCnt="0"/>
      <dgm:spPr/>
    </dgm:pt>
    <dgm:pt modelId="{CD0BFB19-B0D5-F642-86AC-4E5934BEFBEA}" type="pres">
      <dgm:prSet presAssocID="{6099E94D-6449-1E43-9405-AE67707A7EDA}" presName="parentText" presStyleLbl="node1" presStyleIdx="0" presStyleCnt="6">
        <dgm:presLayoutVars>
          <dgm:chMax val="1"/>
          <dgm:bulletEnabled val="1"/>
        </dgm:presLayoutVars>
      </dgm:prSet>
      <dgm:spPr/>
    </dgm:pt>
    <dgm:pt modelId="{3CCD5497-8F37-1941-82C7-DB244F4DD1B2}" type="pres">
      <dgm:prSet presAssocID="{6099E94D-6449-1E43-9405-AE67707A7EDA}" presName="descendantText" presStyleLbl="alignAccFollowNode1" presStyleIdx="0" presStyleCnt="6" custScaleX="99102" custScaleY="120959">
        <dgm:presLayoutVars>
          <dgm:bulletEnabled val="1"/>
        </dgm:presLayoutVars>
      </dgm:prSet>
      <dgm:spPr/>
    </dgm:pt>
    <dgm:pt modelId="{3D1EDA91-5667-7141-9444-75A9EC85A9AA}" type="pres">
      <dgm:prSet presAssocID="{56B551CD-41A4-3E4F-9D85-573EBE360465}" presName="sp" presStyleCnt="0"/>
      <dgm:spPr/>
    </dgm:pt>
    <dgm:pt modelId="{001C61FF-92F9-BB48-A08D-471D3B51D36D}" type="pres">
      <dgm:prSet presAssocID="{0423562A-77F1-6B4E-8129-513DBAEC8418}" presName="linNode" presStyleCnt="0"/>
      <dgm:spPr/>
    </dgm:pt>
    <dgm:pt modelId="{F1625A27-793A-064E-8BE1-25BBA39ADC95}" type="pres">
      <dgm:prSet presAssocID="{0423562A-77F1-6B4E-8129-513DBAEC8418}" presName="parentText" presStyleLbl="node1" presStyleIdx="1" presStyleCnt="6">
        <dgm:presLayoutVars>
          <dgm:chMax val="1"/>
          <dgm:bulletEnabled val="1"/>
        </dgm:presLayoutVars>
      </dgm:prSet>
      <dgm:spPr/>
    </dgm:pt>
    <dgm:pt modelId="{D2BD0D8A-827D-2C45-910B-36A89AA66581}" type="pres">
      <dgm:prSet presAssocID="{0423562A-77F1-6B4E-8129-513DBAEC8418}" presName="descendantText" presStyleLbl="alignAccFollowNode1" presStyleIdx="1" presStyleCnt="6" custScaleY="111903">
        <dgm:presLayoutVars>
          <dgm:bulletEnabled val="1"/>
        </dgm:presLayoutVars>
      </dgm:prSet>
      <dgm:spPr/>
    </dgm:pt>
    <dgm:pt modelId="{B5B38DBF-AF13-9648-BAF4-C79E57B57919}" type="pres">
      <dgm:prSet presAssocID="{11244F4D-31EF-7247-8974-D88251DB2199}" presName="sp" presStyleCnt="0"/>
      <dgm:spPr/>
    </dgm:pt>
    <dgm:pt modelId="{022EEE33-E602-F64B-AB97-22568CD1A765}" type="pres">
      <dgm:prSet presAssocID="{3178964D-DEC7-7F41-AFCA-2D87529045DF}" presName="linNode" presStyleCnt="0"/>
      <dgm:spPr/>
    </dgm:pt>
    <dgm:pt modelId="{8EBC2560-6441-CE40-9979-BB0542E60699}" type="pres">
      <dgm:prSet presAssocID="{3178964D-DEC7-7F41-AFCA-2D87529045DF}" presName="parentText" presStyleLbl="node1" presStyleIdx="2" presStyleCnt="6">
        <dgm:presLayoutVars>
          <dgm:chMax val="1"/>
          <dgm:bulletEnabled val="1"/>
        </dgm:presLayoutVars>
      </dgm:prSet>
      <dgm:spPr/>
    </dgm:pt>
    <dgm:pt modelId="{F8660424-5869-994C-9A9D-53DB9D7B2D60}" type="pres">
      <dgm:prSet presAssocID="{3178964D-DEC7-7F41-AFCA-2D87529045DF}" presName="descendantText" presStyleLbl="alignAccFollowNode1" presStyleIdx="2" presStyleCnt="6" custScaleY="133015">
        <dgm:presLayoutVars>
          <dgm:bulletEnabled val="1"/>
        </dgm:presLayoutVars>
      </dgm:prSet>
      <dgm:spPr/>
    </dgm:pt>
    <dgm:pt modelId="{9305975F-25D5-BE47-B06A-9FBD8F79526D}" type="pres">
      <dgm:prSet presAssocID="{EEDDB13C-8524-974B-A5F3-E3A15CDB517F}" presName="sp" presStyleCnt="0"/>
      <dgm:spPr/>
    </dgm:pt>
    <dgm:pt modelId="{B9CD4582-8EA1-994D-8A8A-30CDE0C3521D}" type="pres">
      <dgm:prSet presAssocID="{D2D2A678-0291-E641-99FE-A6E7F97826EB}" presName="linNode" presStyleCnt="0"/>
      <dgm:spPr/>
    </dgm:pt>
    <dgm:pt modelId="{3A6F2D12-AC24-3148-9E4B-8749461DD6DB}" type="pres">
      <dgm:prSet presAssocID="{D2D2A678-0291-E641-99FE-A6E7F97826EB}" presName="parentText" presStyleLbl="node1" presStyleIdx="3" presStyleCnt="6">
        <dgm:presLayoutVars>
          <dgm:chMax val="1"/>
          <dgm:bulletEnabled val="1"/>
        </dgm:presLayoutVars>
      </dgm:prSet>
      <dgm:spPr/>
    </dgm:pt>
    <dgm:pt modelId="{AFFA1CFA-1FBA-A14C-95C3-D46D8E0705EE}" type="pres">
      <dgm:prSet presAssocID="{D2D2A678-0291-E641-99FE-A6E7F97826EB}" presName="descendantText" presStyleLbl="alignAccFollowNode1" presStyleIdx="3" presStyleCnt="6" custScaleY="110361">
        <dgm:presLayoutVars>
          <dgm:bulletEnabled val="1"/>
        </dgm:presLayoutVars>
      </dgm:prSet>
      <dgm:spPr/>
    </dgm:pt>
    <dgm:pt modelId="{7EFE1D72-F318-4B06-B382-572607A47C02}" type="pres">
      <dgm:prSet presAssocID="{46096A36-E28C-A247-AAF0-6D0B19B673F0}" presName="sp" presStyleCnt="0"/>
      <dgm:spPr/>
    </dgm:pt>
    <dgm:pt modelId="{D061D633-10EB-4BB8-84AB-9EE514D8C7D8}" type="pres">
      <dgm:prSet presAssocID="{2707D246-4F9D-43E2-B8FC-9F8769C6A45B}" presName="linNode" presStyleCnt="0"/>
      <dgm:spPr/>
    </dgm:pt>
    <dgm:pt modelId="{C6634B59-7FAA-4D85-9488-5932536D7126}" type="pres">
      <dgm:prSet presAssocID="{2707D246-4F9D-43E2-B8FC-9F8769C6A45B}" presName="parentText" presStyleLbl="node1" presStyleIdx="4" presStyleCnt="6">
        <dgm:presLayoutVars>
          <dgm:chMax val="1"/>
          <dgm:bulletEnabled val="1"/>
        </dgm:presLayoutVars>
      </dgm:prSet>
      <dgm:spPr/>
    </dgm:pt>
    <dgm:pt modelId="{ACDCDF20-226D-421D-B42A-293BF821E9D7}" type="pres">
      <dgm:prSet presAssocID="{2707D246-4F9D-43E2-B8FC-9F8769C6A45B}" presName="descendantText" presStyleLbl="alignAccFollowNode1" presStyleIdx="4" presStyleCnt="6" custScaleY="116593">
        <dgm:presLayoutVars>
          <dgm:bulletEnabled val="1"/>
        </dgm:presLayoutVars>
      </dgm:prSet>
      <dgm:spPr/>
    </dgm:pt>
    <dgm:pt modelId="{BE6DDEF8-D57F-40EC-B047-97E2EE337FC2}" type="pres">
      <dgm:prSet presAssocID="{A3265224-E633-4BDC-817D-B020F8960C78}" presName="sp" presStyleCnt="0"/>
      <dgm:spPr/>
    </dgm:pt>
    <dgm:pt modelId="{0B16013A-C594-45D7-AD9B-69513DB8E283}" type="pres">
      <dgm:prSet presAssocID="{E43C6F6D-D9DE-4718-BF1A-33A900513683}" presName="linNode" presStyleCnt="0"/>
      <dgm:spPr/>
    </dgm:pt>
    <dgm:pt modelId="{F3479A6B-27D4-4683-89DC-348A5A3B2D2A}" type="pres">
      <dgm:prSet presAssocID="{E43C6F6D-D9DE-4718-BF1A-33A900513683}" presName="parentText" presStyleLbl="node1" presStyleIdx="5" presStyleCnt="6" custLinFactNeighborX="-2233" custLinFactNeighborY="-2007">
        <dgm:presLayoutVars>
          <dgm:chMax val="1"/>
          <dgm:bulletEnabled val="1"/>
        </dgm:presLayoutVars>
      </dgm:prSet>
      <dgm:spPr/>
    </dgm:pt>
    <dgm:pt modelId="{A5F63E58-038A-42A8-8128-3E929415E3EF}" type="pres">
      <dgm:prSet presAssocID="{E43C6F6D-D9DE-4718-BF1A-33A900513683}" presName="descendantText" presStyleLbl="alignAccFollowNode1" presStyleIdx="5" presStyleCnt="6" custScaleY="131394">
        <dgm:presLayoutVars>
          <dgm:bulletEnabled val="1"/>
        </dgm:presLayoutVars>
      </dgm:prSet>
      <dgm:spPr/>
    </dgm:pt>
  </dgm:ptLst>
  <dgm:cxnLst>
    <dgm:cxn modelId="{4ECFFF02-C159-6D4C-8F42-09441768D5D0}" type="presOf" srcId="{3178964D-DEC7-7F41-AFCA-2D87529045DF}" destId="{8EBC2560-6441-CE40-9979-BB0542E60699}" srcOrd="0" destOrd="0" presId="urn:microsoft.com/office/officeart/2005/8/layout/vList5"/>
    <dgm:cxn modelId="{D4E8970B-683B-473C-90FA-2D5FF890553E}" type="presOf" srcId="{2707D246-4F9D-43E2-B8FC-9F8769C6A45B}" destId="{C6634B59-7FAA-4D85-9488-5932536D7126}" srcOrd="0" destOrd="0" presId="urn:microsoft.com/office/officeart/2005/8/layout/vList5"/>
    <dgm:cxn modelId="{D341680E-4C58-364F-8C7E-0718D954B24E}" type="presOf" srcId="{854FE7B8-BC86-D146-BD8E-C53E579443D1}" destId="{D2BD0D8A-827D-2C45-910B-36A89AA66581}" srcOrd="0" destOrd="0" presId="urn:microsoft.com/office/officeart/2005/8/layout/vList5"/>
    <dgm:cxn modelId="{958FDE11-6D21-4EC6-B5FF-1B0F45814DFE}" srcId="{81E554A0-4F0C-5A47-B406-28C0B5821161}" destId="{2707D246-4F9D-43E2-B8FC-9F8769C6A45B}" srcOrd="4" destOrd="0" parTransId="{CDCDC5E2-0DB5-4520-B690-5B5D3BD8C229}" sibTransId="{A3265224-E633-4BDC-817D-B020F8960C78}"/>
    <dgm:cxn modelId="{D1996818-71E0-BC47-90ED-4C59F34ED151}" srcId="{D2D2A678-0291-E641-99FE-A6E7F97826EB}" destId="{87EE3701-4D96-1C40-92BA-588A8451269F}" srcOrd="0" destOrd="0" parTransId="{84E146C5-3D73-0F4C-9AF8-218991E2C931}" sibTransId="{2E011953-F73D-0447-8B79-9F5927B5775C}"/>
    <dgm:cxn modelId="{B14D921B-7968-9840-9222-50EDC5150AE6}" type="presOf" srcId="{55B2D936-8A69-D94F-9F27-7CB21898DF94}" destId="{F8660424-5869-994C-9A9D-53DB9D7B2D60}" srcOrd="0" destOrd="0" presId="urn:microsoft.com/office/officeart/2005/8/layout/vList5"/>
    <dgm:cxn modelId="{682D4A2F-73E7-D54E-9311-E30EC9CAFEF1}" type="presOf" srcId="{87EE3701-4D96-1C40-92BA-588A8451269F}" destId="{AFFA1CFA-1FBA-A14C-95C3-D46D8E0705EE}" srcOrd="0" destOrd="0" presId="urn:microsoft.com/office/officeart/2005/8/layout/vList5"/>
    <dgm:cxn modelId="{912EFF32-439B-EF45-BBC3-D41B73ACF11F}" srcId="{6099E94D-6449-1E43-9405-AE67707A7EDA}" destId="{97D1C1BB-D9CF-A64E-A06D-064E3DF46482}" srcOrd="0" destOrd="0" parTransId="{16023C1C-7BDF-934C-A1F0-E870F87EE2E4}" sibTransId="{837DB259-85AC-6C43-884B-94C553E593FB}"/>
    <dgm:cxn modelId="{AA143D60-E728-4748-9F8A-79C15AFE33F7}" type="presOf" srcId="{0423562A-77F1-6B4E-8129-513DBAEC8418}" destId="{F1625A27-793A-064E-8BE1-25BBA39ADC95}" srcOrd="0" destOrd="0" presId="urn:microsoft.com/office/officeart/2005/8/layout/vList5"/>
    <dgm:cxn modelId="{79E64241-809B-483B-BDF7-C26F1C744351}" type="presOf" srcId="{E43C6F6D-D9DE-4718-BF1A-33A900513683}" destId="{F3479A6B-27D4-4683-89DC-348A5A3B2D2A}" srcOrd="0" destOrd="0" presId="urn:microsoft.com/office/officeart/2005/8/layout/vList5"/>
    <dgm:cxn modelId="{DC515D67-6FD1-4158-B09E-75A500E79707}" type="presOf" srcId="{AB35C11C-D625-4741-88E3-2D5E0A505FA2}" destId="{ACDCDF20-226D-421D-B42A-293BF821E9D7}" srcOrd="0" destOrd="0" presId="urn:microsoft.com/office/officeart/2005/8/layout/vList5"/>
    <dgm:cxn modelId="{AB837867-1EEC-A94B-83F4-C2579220AEF4}" srcId="{3178964D-DEC7-7F41-AFCA-2D87529045DF}" destId="{55B2D936-8A69-D94F-9F27-7CB21898DF94}" srcOrd="0" destOrd="0" parTransId="{9A9FD627-0509-D146-A96D-377ABA913E09}" sibTransId="{59EDF971-4E5B-F748-9780-0BD745A1ABED}"/>
    <dgm:cxn modelId="{7D951749-9730-7740-8427-2CF58FFFA55E}" srcId="{81E554A0-4F0C-5A47-B406-28C0B5821161}" destId="{0423562A-77F1-6B4E-8129-513DBAEC8418}" srcOrd="1" destOrd="0" parTransId="{DB32184D-2083-3D42-B746-1A147996DE8F}" sibTransId="{11244F4D-31EF-7247-8974-D88251DB2199}"/>
    <dgm:cxn modelId="{0910AB4A-FDC9-F246-9EFB-C4B5CB3D69DA}" type="presOf" srcId="{6099E94D-6449-1E43-9405-AE67707A7EDA}" destId="{CD0BFB19-B0D5-F642-86AC-4E5934BEFBEA}" srcOrd="0" destOrd="0" presId="urn:microsoft.com/office/officeart/2005/8/layout/vList5"/>
    <dgm:cxn modelId="{D6AD0C4C-9A04-364C-AE35-C9002A35F6D6}" type="presOf" srcId="{D2D2A678-0291-E641-99FE-A6E7F97826EB}" destId="{3A6F2D12-AC24-3148-9E4B-8749461DD6DB}" srcOrd="0" destOrd="0" presId="urn:microsoft.com/office/officeart/2005/8/layout/vList5"/>
    <dgm:cxn modelId="{63A6D74D-A773-42D1-82A1-C76ACFEE8E4D}" srcId="{E43C6F6D-D9DE-4718-BF1A-33A900513683}" destId="{5FA12C56-7802-4704-BA0F-AE14F976EF21}" srcOrd="0" destOrd="0" parTransId="{AA5C2252-9A09-4B3D-B281-6044A6A92F31}" sibTransId="{3639C466-5F8F-4BC7-ABF2-60D5B9DA8C7D}"/>
    <dgm:cxn modelId="{D0F14453-CB70-404B-8798-CDAED54C9EC9}" srcId="{0423562A-77F1-6B4E-8129-513DBAEC8418}" destId="{854FE7B8-BC86-D146-BD8E-C53E579443D1}" srcOrd="0" destOrd="0" parTransId="{B947DF0B-2BAB-0D40-B968-D60ED5D68792}" sibTransId="{35356758-D744-DB49-8DCA-D62EFD5BCCE9}"/>
    <dgm:cxn modelId="{6F45E754-8645-4A18-9FB3-FC15BC436106}" srcId="{2707D246-4F9D-43E2-B8FC-9F8769C6A45B}" destId="{AB35C11C-D625-4741-88E3-2D5E0A505FA2}" srcOrd="0" destOrd="0" parTransId="{501F9C5B-37FD-48C8-A48D-B281D1E6FE94}" sibTransId="{5E50CE5F-A09E-4C7D-9C63-89CC63BC3DAD}"/>
    <dgm:cxn modelId="{AEF9AF9B-0BAD-FC48-A775-FBC29E559573}" srcId="{81E554A0-4F0C-5A47-B406-28C0B5821161}" destId="{3178964D-DEC7-7F41-AFCA-2D87529045DF}" srcOrd="2" destOrd="0" parTransId="{BCE89EC5-BC56-0E43-A85F-83A5FDC07C07}" sibTransId="{EEDDB13C-8524-974B-A5F3-E3A15CDB517F}"/>
    <dgm:cxn modelId="{80D295AE-7B0E-E143-8315-907A547A7317}" type="presOf" srcId="{81E554A0-4F0C-5A47-B406-28C0B5821161}" destId="{79615A1E-B5FD-5B43-A5AE-2E86F2DF6C4C}" srcOrd="0" destOrd="0" presId="urn:microsoft.com/office/officeart/2005/8/layout/vList5"/>
    <dgm:cxn modelId="{84F140B4-59D1-AF46-9A8C-E2BA0F5D9A6C}" srcId="{81E554A0-4F0C-5A47-B406-28C0B5821161}" destId="{6099E94D-6449-1E43-9405-AE67707A7EDA}" srcOrd="0" destOrd="0" parTransId="{FF4BD921-3F51-1F4C-8DA7-66763BFED8C9}" sibTransId="{56B551CD-41A4-3E4F-9D85-573EBE360465}"/>
    <dgm:cxn modelId="{01FE33CC-CA62-F14B-99BD-329C816EC39F}" srcId="{81E554A0-4F0C-5A47-B406-28C0B5821161}" destId="{D2D2A678-0291-E641-99FE-A6E7F97826EB}" srcOrd="3" destOrd="0" parTransId="{85AFC335-8403-864D-B0CD-28749D4233A7}" sibTransId="{46096A36-E28C-A247-AAF0-6D0B19B673F0}"/>
    <dgm:cxn modelId="{904132DB-27CE-4E74-A88A-3D0669D9FF78}" srcId="{81E554A0-4F0C-5A47-B406-28C0B5821161}" destId="{E43C6F6D-D9DE-4718-BF1A-33A900513683}" srcOrd="5" destOrd="0" parTransId="{4630A5C8-4010-4F55-A3E6-0548C7E91E91}" sibTransId="{D5BDE876-AA96-4463-9876-1E6B4C958007}"/>
    <dgm:cxn modelId="{B78A0EF4-5286-2E4F-9C4E-9E4CA46B9CE9}" type="presOf" srcId="{97D1C1BB-D9CF-A64E-A06D-064E3DF46482}" destId="{3CCD5497-8F37-1941-82C7-DB244F4DD1B2}" srcOrd="0" destOrd="0" presId="urn:microsoft.com/office/officeart/2005/8/layout/vList5"/>
    <dgm:cxn modelId="{6694C9FF-B58F-4A1E-9E1A-988499CA9F40}" type="presOf" srcId="{5FA12C56-7802-4704-BA0F-AE14F976EF21}" destId="{A5F63E58-038A-42A8-8128-3E929415E3EF}" srcOrd="0" destOrd="0" presId="urn:microsoft.com/office/officeart/2005/8/layout/vList5"/>
    <dgm:cxn modelId="{E5618632-6CCD-4A4C-9632-9259A992010A}" type="presParOf" srcId="{79615A1E-B5FD-5B43-A5AE-2E86F2DF6C4C}" destId="{F3F4CA34-32E9-B94B-BB4D-6FA5DE06A6A9}" srcOrd="0" destOrd="0" presId="urn:microsoft.com/office/officeart/2005/8/layout/vList5"/>
    <dgm:cxn modelId="{C9668768-33EB-C846-BAD2-2C86FB3E1E18}" type="presParOf" srcId="{F3F4CA34-32E9-B94B-BB4D-6FA5DE06A6A9}" destId="{CD0BFB19-B0D5-F642-86AC-4E5934BEFBEA}" srcOrd="0" destOrd="0" presId="urn:microsoft.com/office/officeart/2005/8/layout/vList5"/>
    <dgm:cxn modelId="{88C951BE-707E-9A4B-BB91-F038784C26BC}" type="presParOf" srcId="{F3F4CA34-32E9-B94B-BB4D-6FA5DE06A6A9}" destId="{3CCD5497-8F37-1941-82C7-DB244F4DD1B2}" srcOrd="1" destOrd="0" presId="urn:microsoft.com/office/officeart/2005/8/layout/vList5"/>
    <dgm:cxn modelId="{67814D9E-A4CF-CC44-B7DB-F6BBFEAF8128}" type="presParOf" srcId="{79615A1E-B5FD-5B43-A5AE-2E86F2DF6C4C}" destId="{3D1EDA91-5667-7141-9444-75A9EC85A9AA}" srcOrd="1" destOrd="0" presId="urn:microsoft.com/office/officeart/2005/8/layout/vList5"/>
    <dgm:cxn modelId="{E4948B1A-ACDB-3748-980B-AF9A0787DA27}" type="presParOf" srcId="{79615A1E-B5FD-5B43-A5AE-2E86F2DF6C4C}" destId="{001C61FF-92F9-BB48-A08D-471D3B51D36D}" srcOrd="2" destOrd="0" presId="urn:microsoft.com/office/officeart/2005/8/layout/vList5"/>
    <dgm:cxn modelId="{8B5853CE-E61D-C640-95F4-8923CEF69ED9}" type="presParOf" srcId="{001C61FF-92F9-BB48-A08D-471D3B51D36D}" destId="{F1625A27-793A-064E-8BE1-25BBA39ADC95}" srcOrd="0" destOrd="0" presId="urn:microsoft.com/office/officeart/2005/8/layout/vList5"/>
    <dgm:cxn modelId="{5A622890-35B9-5E45-8943-A47277815A7D}" type="presParOf" srcId="{001C61FF-92F9-BB48-A08D-471D3B51D36D}" destId="{D2BD0D8A-827D-2C45-910B-36A89AA66581}" srcOrd="1" destOrd="0" presId="urn:microsoft.com/office/officeart/2005/8/layout/vList5"/>
    <dgm:cxn modelId="{6B4568A9-78B1-4F40-B22A-F72F4CDF5BBB}" type="presParOf" srcId="{79615A1E-B5FD-5B43-A5AE-2E86F2DF6C4C}" destId="{B5B38DBF-AF13-9648-BAF4-C79E57B57919}" srcOrd="3" destOrd="0" presId="urn:microsoft.com/office/officeart/2005/8/layout/vList5"/>
    <dgm:cxn modelId="{3F95C301-8F28-6C45-9419-3507E0614834}" type="presParOf" srcId="{79615A1E-B5FD-5B43-A5AE-2E86F2DF6C4C}" destId="{022EEE33-E602-F64B-AB97-22568CD1A765}" srcOrd="4" destOrd="0" presId="urn:microsoft.com/office/officeart/2005/8/layout/vList5"/>
    <dgm:cxn modelId="{B5EA7B54-9A25-0943-9134-407815097DDC}" type="presParOf" srcId="{022EEE33-E602-F64B-AB97-22568CD1A765}" destId="{8EBC2560-6441-CE40-9979-BB0542E60699}" srcOrd="0" destOrd="0" presId="urn:microsoft.com/office/officeart/2005/8/layout/vList5"/>
    <dgm:cxn modelId="{2C37BE12-68BA-0842-947E-B520E71808B4}" type="presParOf" srcId="{022EEE33-E602-F64B-AB97-22568CD1A765}" destId="{F8660424-5869-994C-9A9D-53DB9D7B2D60}" srcOrd="1" destOrd="0" presId="urn:microsoft.com/office/officeart/2005/8/layout/vList5"/>
    <dgm:cxn modelId="{8021874A-A350-FB4E-9CDE-11C0BBCB3F71}" type="presParOf" srcId="{79615A1E-B5FD-5B43-A5AE-2E86F2DF6C4C}" destId="{9305975F-25D5-BE47-B06A-9FBD8F79526D}" srcOrd="5" destOrd="0" presId="urn:microsoft.com/office/officeart/2005/8/layout/vList5"/>
    <dgm:cxn modelId="{34D58CA7-72AC-154B-8DC0-8DCE56980411}" type="presParOf" srcId="{79615A1E-B5FD-5B43-A5AE-2E86F2DF6C4C}" destId="{B9CD4582-8EA1-994D-8A8A-30CDE0C3521D}" srcOrd="6" destOrd="0" presId="urn:microsoft.com/office/officeart/2005/8/layout/vList5"/>
    <dgm:cxn modelId="{77835919-5D3E-6D43-9B62-1CB8688169AE}" type="presParOf" srcId="{B9CD4582-8EA1-994D-8A8A-30CDE0C3521D}" destId="{3A6F2D12-AC24-3148-9E4B-8749461DD6DB}" srcOrd="0" destOrd="0" presId="urn:microsoft.com/office/officeart/2005/8/layout/vList5"/>
    <dgm:cxn modelId="{218A8315-2CC0-844B-B3F1-CBDF642D5318}" type="presParOf" srcId="{B9CD4582-8EA1-994D-8A8A-30CDE0C3521D}" destId="{AFFA1CFA-1FBA-A14C-95C3-D46D8E0705EE}" srcOrd="1" destOrd="0" presId="urn:microsoft.com/office/officeart/2005/8/layout/vList5"/>
    <dgm:cxn modelId="{5ED72DA4-9C95-4DB6-B70D-598BD1F2CB52}" type="presParOf" srcId="{79615A1E-B5FD-5B43-A5AE-2E86F2DF6C4C}" destId="{7EFE1D72-F318-4B06-B382-572607A47C02}" srcOrd="7" destOrd="0" presId="urn:microsoft.com/office/officeart/2005/8/layout/vList5"/>
    <dgm:cxn modelId="{FCACF73E-9CA0-481C-8F10-379AF1980889}" type="presParOf" srcId="{79615A1E-B5FD-5B43-A5AE-2E86F2DF6C4C}" destId="{D061D633-10EB-4BB8-84AB-9EE514D8C7D8}" srcOrd="8" destOrd="0" presId="urn:microsoft.com/office/officeart/2005/8/layout/vList5"/>
    <dgm:cxn modelId="{666A92F2-E6E1-48DE-A97E-9CE54C9EA905}" type="presParOf" srcId="{D061D633-10EB-4BB8-84AB-9EE514D8C7D8}" destId="{C6634B59-7FAA-4D85-9488-5932536D7126}" srcOrd="0" destOrd="0" presId="urn:microsoft.com/office/officeart/2005/8/layout/vList5"/>
    <dgm:cxn modelId="{DD0D8BF5-0DF2-47D3-A99C-2019F5C05FD5}" type="presParOf" srcId="{D061D633-10EB-4BB8-84AB-9EE514D8C7D8}" destId="{ACDCDF20-226D-421D-B42A-293BF821E9D7}" srcOrd="1" destOrd="0" presId="urn:microsoft.com/office/officeart/2005/8/layout/vList5"/>
    <dgm:cxn modelId="{209192E3-9D05-4FF6-97BD-CBC8FF96EE75}" type="presParOf" srcId="{79615A1E-B5FD-5B43-A5AE-2E86F2DF6C4C}" destId="{BE6DDEF8-D57F-40EC-B047-97E2EE337FC2}" srcOrd="9" destOrd="0" presId="urn:microsoft.com/office/officeart/2005/8/layout/vList5"/>
    <dgm:cxn modelId="{75AB9BAC-6DC5-44CD-B096-560978785FB8}" type="presParOf" srcId="{79615A1E-B5FD-5B43-A5AE-2E86F2DF6C4C}" destId="{0B16013A-C594-45D7-AD9B-69513DB8E283}" srcOrd="10" destOrd="0" presId="urn:microsoft.com/office/officeart/2005/8/layout/vList5"/>
    <dgm:cxn modelId="{A4BB645F-22E1-42FC-A4CC-82EB8715E37B}" type="presParOf" srcId="{0B16013A-C594-45D7-AD9B-69513DB8E283}" destId="{F3479A6B-27D4-4683-89DC-348A5A3B2D2A}" srcOrd="0" destOrd="0" presId="urn:microsoft.com/office/officeart/2005/8/layout/vList5"/>
    <dgm:cxn modelId="{4F8A9ED0-A4B7-4810-A53B-85B0D82CD116}" type="presParOf" srcId="{0B16013A-C594-45D7-AD9B-69513DB8E283}" destId="{A5F63E58-038A-42A8-8128-3E929415E3EF}"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CD5497-8F37-1941-82C7-DB244F4DD1B2}">
      <dsp:nvSpPr>
        <dsp:cNvPr id="0" name=""/>
        <dsp:cNvSpPr/>
      </dsp:nvSpPr>
      <dsp:spPr>
        <a:xfrm rot="5400000">
          <a:off x="3146081" y="-1328297"/>
          <a:ext cx="509185" cy="3185353"/>
        </a:xfrm>
        <a:prstGeom prst="round2Same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466725">
            <a:lnSpc>
              <a:spcPct val="90000"/>
            </a:lnSpc>
            <a:spcBef>
              <a:spcPct val="0"/>
            </a:spcBef>
            <a:spcAft>
              <a:spcPct val="15000"/>
            </a:spcAft>
            <a:buNone/>
          </a:pPr>
          <a:r>
            <a:rPr lang="es-CO" sz="1050" b="0" kern="1200" dirty="0">
              <a:latin typeface="Arial Narrow"/>
            </a:rPr>
            <a:t>Servicio a través del cual el OPO recibe, clasifica, transporta y entrega objetos postales de hasta 2 kg, por la vía más rápida, sin guía y sin seguimiento.</a:t>
          </a:r>
          <a:endParaRPr lang="es-ES" sz="1050" b="0" kern="1200" dirty="0">
            <a:latin typeface="Arial Narrow"/>
            <a:cs typeface="Arial Narrow"/>
          </a:endParaRPr>
        </a:p>
      </dsp:txBody>
      <dsp:txXfrm rot="-5400000">
        <a:off x="1807997" y="34643"/>
        <a:ext cx="3160497" cy="459473"/>
      </dsp:txXfrm>
    </dsp:sp>
    <dsp:sp modelId="{CD0BFB19-B0D5-F642-86AC-4E5934BEFBEA}">
      <dsp:nvSpPr>
        <dsp:cNvPr id="0" name=""/>
        <dsp:cNvSpPr/>
      </dsp:nvSpPr>
      <dsp:spPr>
        <a:xfrm>
          <a:off x="0" y="1280"/>
          <a:ext cx="1807997" cy="526196"/>
        </a:xfrm>
        <a:prstGeom prst="roundRect">
          <a:avLst/>
        </a:prstGeom>
        <a:solidFill>
          <a:schemeClr val="accent1">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s-ES" sz="1050" kern="1200" dirty="0">
              <a:latin typeface="Arial Narrow"/>
              <a:cs typeface="Arial Narrow"/>
            </a:rPr>
            <a:t>Correspondencia prioritaria</a:t>
          </a:r>
        </a:p>
      </dsp:txBody>
      <dsp:txXfrm>
        <a:off x="25687" y="26967"/>
        <a:ext cx="1756623" cy="474822"/>
      </dsp:txXfrm>
    </dsp:sp>
    <dsp:sp modelId="{D2BD0D8A-827D-2C45-910B-36A89AA66581}">
      <dsp:nvSpPr>
        <dsp:cNvPr id="0" name=""/>
        <dsp:cNvSpPr/>
      </dsp:nvSpPr>
      <dsp:spPr>
        <a:xfrm rot="5400000">
          <a:off x="3179574" y="-790223"/>
          <a:ext cx="471063" cy="3214217"/>
        </a:xfrm>
        <a:prstGeom prst="round2Same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466725">
            <a:lnSpc>
              <a:spcPct val="90000"/>
            </a:lnSpc>
            <a:spcBef>
              <a:spcPct val="0"/>
            </a:spcBef>
            <a:spcAft>
              <a:spcPct val="15000"/>
            </a:spcAft>
            <a:buNone/>
          </a:pPr>
          <a:r>
            <a:rPr lang="es-ES" sz="1050" kern="1200" dirty="0">
              <a:latin typeface="Arial Narrow"/>
              <a:cs typeface="Arial Narrow"/>
            </a:rPr>
            <a:t>Correspondencia &lt; 2 </a:t>
          </a:r>
          <a:r>
            <a:rPr lang="es-ES" sz="1050" kern="1200" dirty="0" err="1">
              <a:latin typeface="Arial Narrow"/>
              <a:cs typeface="Arial Narrow"/>
            </a:rPr>
            <a:t>Kgrs</a:t>
          </a:r>
          <a:r>
            <a:rPr lang="es-ES" sz="1050" kern="1200" dirty="0">
              <a:latin typeface="Arial Narrow"/>
              <a:cs typeface="Arial Narrow"/>
            </a:rPr>
            <a:t>, con plazo más largo, sin guía de entrega y sin seguimiento.</a:t>
          </a:r>
        </a:p>
      </dsp:txBody>
      <dsp:txXfrm rot="-5400000">
        <a:off x="1807998" y="604348"/>
        <a:ext cx="3191222" cy="425073"/>
      </dsp:txXfrm>
    </dsp:sp>
    <dsp:sp modelId="{F1625A27-793A-064E-8BE1-25BBA39ADC95}">
      <dsp:nvSpPr>
        <dsp:cNvPr id="0" name=""/>
        <dsp:cNvSpPr/>
      </dsp:nvSpPr>
      <dsp:spPr>
        <a:xfrm>
          <a:off x="0" y="553787"/>
          <a:ext cx="1807997" cy="526196"/>
        </a:xfrm>
        <a:prstGeom prst="roundRect">
          <a:avLst/>
        </a:prstGeom>
        <a:solidFill>
          <a:schemeClr val="accent1">
            <a:shade val="50000"/>
            <a:hueOff val="111419"/>
            <a:satOff val="2985"/>
            <a:lumOff val="1315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s-ES" sz="1050" kern="1200" dirty="0">
              <a:latin typeface="Arial Narrow"/>
              <a:cs typeface="Arial Narrow"/>
            </a:rPr>
            <a:t>Correspondencia no prioritaria</a:t>
          </a:r>
        </a:p>
      </dsp:txBody>
      <dsp:txXfrm>
        <a:off x="25687" y="579474"/>
        <a:ext cx="1756623" cy="474822"/>
      </dsp:txXfrm>
    </dsp:sp>
    <dsp:sp modelId="{F8660424-5869-994C-9A9D-53DB9D7B2D60}">
      <dsp:nvSpPr>
        <dsp:cNvPr id="0" name=""/>
        <dsp:cNvSpPr/>
      </dsp:nvSpPr>
      <dsp:spPr>
        <a:xfrm rot="5400000">
          <a:off x="3131802" y="-219277"/>
          <a:ext cx="559936" cy="3211078"/>
        </a:xfrm>
        <a:prstGeom prst="round2Same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466725">
            <a:lnSpc>
              <a:spcPct val="90000"/>
            </a:lnSpc>
            <a:spcBef>
              <a:spcPct val="0"/>
            </a:spcBef>
            <a:spcAft>
              <a:spcPct val="15000"/>
            </a:spcAft>
            <a:buNone/>
          </a:pPr>
          <a:r>
            <a:rPr lang="es-CO" sz="1050" kern="1200" dirty="0">
              <a:latin typeface="Arial Narrow"/>
            </a:rPr>
            <a:t>Admisión de telegramas y su transmisión mediante el operador habilitado para prestar el servicio, y posterior entrega a un destinatario de manera física.</a:t>
          </a:r>
          <a:endParaRPr lang="es-ES" sz="1050" kern="1200" dirty="0">
            <a:latin typeface="Arial Narrow"/>
            <a:cs typeface="Arial Narrow"/>
          </a:endParaRPr>
        </a:p>
      </dsp:txBody>
      <dsp:txXfrm rot="-5400000">
        <a:off x="1806231" y="1133628"/>
        <a:ext cx="3183744" cy="505268"/>
      </dsp:txXfrm>
    </dsp:sp>
    <dsp:sp modelId="{8EBC2560-6441-CE40-9979-BB0542E60699}">
      <dsp:nvSpPr>
        <dsp:cNvPr id="0" name=""/>
        <dsp:cNvSpPr/>
      </dsp:nvSpPr>
      <dsp:spPr>
        <a:xfrm>
          <a:off x="0" y="1123163"/>
          <a:ext cx="1806231" cy="526196"/>
        </a:xfrm>
        <a:prstGeom prst="roundRect">
          <a:avLst/>
        </a:prstGeom>
        <a:solidFill>
          <a:schemeClr val="accent1">
            <a:shade val="50000"/>
            <a:hueOff val="222839"/>
            <a:satOff val="5970"/>
            <a:lumOff val="2630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s-ES" sz="1050" kern="1200" dirty="0">
              <a:latin typeface="Arial Narrow"/>
              <a:cs typeface="Arial Narrow"/>
            </a:rPr>
            <a:t>Correo telegráfico</a:t>
          </a:r>
        </a:p>
      </dsp:txBody>
      <dsp:txXfrm>
        <a:off x="25687" y="1148850"/>
        <a:ext cx="1754857" cy="474822"/>
      </dsp:txXfrm>
    </dsp:sp>
    <dsp:sp modelId="{AFFA1CFA-1FBA-A14C-95C3-D46D8E0705EE}">
      <dsp:nvSpPr>
        <dsp:cNvPr id="0" name=""/>
        <dsp:cNvSpPr/>
      </dsp:nvSpPr>
      <dsp:spPr>
        <a:xfrm rot="5400000">
          <a:off x="3182819" y="348529"/>
          <a:ext cx="464572" cy="3214217"/>
        </a:xfrm>
        <a:prstGeom prst="round2Same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466725">
            <a:lnSpc>
              <a:spcPct val="90000"/>
            </a:lnSpc>
            <a:spcBef>
              <a:spcPct val="0"/>
            </a:spcBef>
            <a:spcAft>
              <a:spcPct val="15000"/>
            </a:spcAft>
            <a:buNone/>
          </a:pPr>
          <a:r>
            <a:rPr lang="es-CO" sz="1050" kern="1200" dirty="0">
              <a:latin typeface="Arial Narrow"/>
              <a:ea typeface="+mn-ea"/>
              <a:cs typeface="Arial Narrow"/>
            </a:rPr>
            <a:t>Servicio exclusivo y obligado del OPO de entrega, no urgente, de objetos postales, mercancías, paquetes o cualquier artículo &lt; 30 </a:t>
          </a:r>
          <a:r>
            <a:rPr lang="es-CO" sz="1050" kern="1200" dirty="0" err="1">
              <a:latin typeface="Arial Narrow"/>
              <a:ea typeface="+mn-ea"/>
              <a:cs typeface="Arial Narrow"/>
            </a:rPr>
            <a:t>Kgrs</a:t>
          </a:r>
          <a:r>
            <a:rPr lang="es-CO" sz="1050" kern="1200" dirty="0">
              <a:latin typeface="Arial Narrow"/>
              <a:ea typeface="+mn-ea"/>
              <a:cs typeface="Arial Narrow"/>
            </a:rPr>
            <a:t>.</a:t>
          </a:r>
          <a:endParaRPr lang="es-ES" sz="1050" kern="1200" dirty="0">
            <a:latin typeface="Arial Narrow"/>
            <a:ea typeface="+mn-ea"/>
            <a:cs typeface="Arial Narrow"/>
          </a:endParaRPr>
        </a:p>
      </dsp:txBody>
      <dsp:txXfrm rot="-5400000">
        <a:off x="1807997" y="1746031"/>
        <a:ext cx="3191538" cy="419214"/>
      </dsp:txXfrm>
    </dsp:sp>
    <dsp:sp modelId="{3A6F2D12-AC24-3148-9E4B-8749461DD6DB}">
      <dsp:nvSpPr>
        <dsp:cNvPr id="0" name=""/>
        <dsp:cNvSpPr/>
      </dsp:nvSpPr>
      <dsp:spPr>
        <a:xfrm>
          <a:off x="0" y="1692540"/>
          <a:ext cx="1807997" cy="526196"/>
        </a:xfrm>
        <a:prstGeom prst="roundRect">
          <a:avLst/>
        </a:prstGeom>
        <a:solidFill>
          <a:schemeClr val="accent1">
            <a:shade val="50000"/>
            <a:hueOff val="334258"/>
            <a:satOff val="8955"/>
            <a:lumOff val="3945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622300">
            <a:lnSpc>
              <a:spcPct val="90000"/>
            </a:lnSpc>
            <a:spcBef>
              <a:spcPct val="0"/>
            </a:spcBef>
            <a:spcAft>
              <a:spcPct val="35000"/>
            </a:spcAft>
            <a:buNone/>
          </a:pPr>
          <a:r>
            <a:rPr lang="es-ES" sz="1050" kern="1200">
              <a:latin typeface="Arial Narrow"/>
              <a:ea typeface="+mn-ea"/>
              <a:cs typeface="Arial Narrow"/>
            </a:rPr>
            <a:t>Encomiendas</a:t>
          </a:r>
          <a:endParaRPr lang="es-ES" sz="1050" kern="1200" dirty="0">
            <a:latin typeface="Arial Narrow"/>
            <a:ea typeface="+mn-ea"/>
            <a:cs typeface="Arial Narrow"/>
          </a:endParaRPr>
        </a:p>
      </dsp:txBody>
      <dsp:txXfrm>
        <a:off x="25687" y="1718227"/>
        <a:ext cx="1756623" cy="474822"/>
      </dsp:txXfrm>
    </dsp:sp>
    <dsp:sp modelId="{ACDCDF20-226D-421D-B42A-293BF821E9D7}">
      <dsp:nvSpPr>
        <dsp:cNvPr id="0" name=""/>
        <dsp:cNvSpPr/>
      </dsp:nvSpPr>
      <dsp:spPr>
        <a:xfrm rot="5400000">
          <a:off x="3169702" y="901036"/>
          <a:ext cx="490806" cy="3214217"/>
        </a:xfrm>
        <a:prstGeom prst="round2Same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577850">
            <a:lnSpc>
              <a:spcPct val="90000"/>
            </a:lnSpc>
            <a:spcBef>
              <a:spcPct val="0"/>
            </a:spcBef>
            <a:spcAft>
              <a:spcPct val="15000"/>
            </a:spcAft>
            <a:buNone/>
          </a:pPr>
          <a:r>
            <a:rPr lang="es-CO" sz="1050" kern="1200" dirty="0">
              <a:latin typeface="Arial Narrow"/>
              <a:ea typeface="+mn-ea"/>
              <a:cs typeface="Arial Narrow"/>
            </a:rPr>
            <a:t>Según la UPU, servicio accesorio a correspondencia y encomienda, garantía contra pérdida, expoliación o avería, guía de depósito y entrega.</a:t>
          </a:r>
        </a:p>
      </dsp:txBody>
      <dsp:txXfrm rot="-5400000">
        <a:off x="1807997" y="2286701"/>
        <a:ext cx="3190258" cy="442888"/>
      </dsp:txXfrm>
    </dsp:sp>
    <dsp:sp modelId="{C6634B59-7FAA-4D85-9488-5932536D7126}">
      <dsp:nvSpPr>
        <dsp:cNvPr id="0" name=""/>
        <dsp:cNvSpPr/>
      </dsp:nvSpPr>
      <dsp:spPr>
        <a:xfrm>
          <a:off x="0" y="2245046"/>
          <a:ext cx="1807997" cy="526196"/>
        </a:xfrm>
        <a:prstGeom prst="roundRect">
          <a:avLst/>
        </a:prstGeom>
        <a:solidFill>
          <a:schemeClr val="accent1">
            <a:shade val="50000"/>
            <a:hueOff val="222839"/>
            <a:satOff val="5970"/>
            <a:lumOff val="2630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622300">
            <a:lnSpc>
              <a:spcPct val="90000"/>
            </a:lnSpc>
            <a:spcBef>
              <a:spcPct val="0"/>
            </a:spcBef>
            <a:spcAft>
              <a:spcPct val="35000"/>
            </a:spcAft>
            <a:buNone/>
          </a:pPr>
          <a:r>
            <a:rPr lang="es-CO" sz="1050" kern="1200" dirty="0">
              <a:latin typeface="Arial Narrow"/>
              <a:ea typeface="+mn-ea"/>
              <a:cs typeface="Arial Narrow"/>
            </a:rPr>
            <a:t>Correo certificado</a:t>
          </a:r>
        </a:p>
      </dsp:txBody>
      <dsp:txXfrm>
        <a:off x="25687" y="2270733"/>
        <a:ext cx="1756623" cy="474822"/>
      </dsp:txXfrm>
    </dsp:sp>
    <dsp:sp modelId="{A5F63E58-038A-42A8-8128-3E929415E3EF}">
      <dsp:nvSpPr>
        <dsp:cNvPr id="0" name=""/>
        <dsp:cNvSpPr/>
      </dsp:nvSpPr>
      <dsp:spPr>
        <a:xfrm rot="5400000">
          <a:off x="3135214" y="1468570"/>
          <a:ext cx="553112" cy="3211078"/>
        </a:xfrm>
        <a:prstGeom prst="round2Same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577850">
            <a:lnSpc>
              <a:spcPct val="90000"/>
            </a:lnSpc>
            <a:spcBef>
              <a:spcPct val="0"/>
            </a:spcBef>
            <a:spcAft>
              <a:spcPct val="15000"/>
            </a:spcAft>
            <a:buNone/>
          </a:pPr>
          <a:r>
            <a:rPr lang="es-CO" sz="1050" kern="1200" dirty="0">
              <a:latin typeface="Arial Narrow"/>
              <a:ea typeface="+mn-ea"/>
              <a:cs typeface="Arial Narrow"/>
            </a:rPr>
            <a:t>Servicio accesorio a correspondencia y encomienda, que asegura el envío por el valor declarado en caso de pérdida, robo o deterioro.</a:t>
          </a:r>
        </a:p>
      </dsp:txBody>
      <dsp:txXfrm rot="-5400000">
        <a:off x="1806232" y="2824554"/>
        <a:ext cx="3184077" cy="499110"/>
      </dsp:txXfrm>
    </dsp:sp>
    <dsp:sp modelId="{F3479A6B-27D4-4683-89DC-348A5A3B2D2A}">
      <dsp:nvSpPr>
        <dsp:cNvPr id="0" name=""/>
        <dsp:cNvSpPr/>
      </dsp:nvSpPr>
      <dsp:spPr>
        <a:xfrm>
          <a:off x="0" y="2800450"/>
          <a:ext cx="1806231" cy="526196"/>
        </a:xfrm>
        <a:prstGeom prst="roundRect">
          <a:avLst/>
        </a:prstGeom>
        <a:solidFill>
          <a:schemeClr val="accent1">
            <a:shade val="50000"/>
            <a:hueOff val="111419"/>
            <a:satOff val="2985"/>
            <a:lumOff val="1315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s-CO" sz="1050" kern="1200" dirty="0">
              <a:latin typeface="Arial Narrow"/>
              <a:ea typeface="+mn-ea"/>
              <a:cs typeface="Arial Narrow"/>
            </a:rPr>
            <a:t>Envíos con valor declarado</a:t>
          </a:r>
        </a:p>
      </dsp:txBody>
      <dsp:txXfrm>
        <a:off x="25687" y="2826137"/>
        <a:ext cx="1754857" cy="47482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0.1384</cdr:x>
      <cdr:y>0.04186</cdr:y>
    </cdr:from>
    <cdr:to>
      <cdr:x>0.17503</cdr:x>
      <cdr:y>0.69673</cdr:y>
    </cdr:to>
    <cdr:sp macro="" textlink="">
      <cdr:nvSpPr>
        <cdr:cNvPr id="2" name="CuadroTexto 1">
          <a:extLst xmlns:a="http://schemas.openxmlformats.org/drawingml/2006/main">
            <a:ext uri="{FF2B5EF4-FFF2-40B4-BE49-F238E27FC236}">
              <a16:creationId xmlns:a16="http://schemas.microsoft.com/office/drawing/2014/main" id="{7E46B518-88B4-4658-BF0B-3DD8195C5D05}"/>
            </a:ext>
          </a:extLst>
        </cdr:cNvPr>
        <cdr:cNvSpPr txBox="1"/>
      </cdr:nvSpPr>
      <cdr:spPr>
        <a:xfrm xmlns:a="http://schemas.openxmlformats.org/drawingml/2006/main" rot="16200000">
          <a:off x="-31987" y="1148268"/>
          <a:ext cx="2264253"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900">
              <a:solidFill>
                <a:schemeClr val="bg1">
                  <a:lumMod val="50000"/>
                </a:schemeClr>
              </a:solidFill>
            </a:rPr>
            <a:t>Millones de CP $ </a:t>
          </a:r>
          <a:r>
            <a:rPr lang="es-CO" sz="900" baseline="0">
              <a:solidFill>
                <a:schemeClr val="bg1">
                  <a:lumMod val="50000"/>
                </a:schemeClr>
              </a:solidFill>
            </a:rPr>
            <a:t>reales de dic de 2021</a:t>
          </a:r>
          <a:endParaRPr lang="es-CO" sz="900">
            <a:solidFill>
              <a:schemeClr val="bg1">
                <a:lumMod val="50000"/>
              </a:schemeClr>
            </a:solidFill>
          </a:endParaRPr>
        </a:p>
      </cdr:txBody>
    </cdr:sp>
  </cdr:relSizeAnchor>
  <cdr:relSizeAnchor xmlns:cdr="http://schemas.openxmlformats.org/drawingml/2006/chartDrawing">
    <cdr:from>
      <cdr:x>0.00452</cdr:x>
      <cdr:y>0.90015</cdr:y>
    </cdr:from>
    <cdr:to>
      <cdr:x>0.98372</cdr:x>
      <cdr:y>0.97215</cdr:y>
    </cdr:to>
    <cdr:grpSp>
      <cdr:nvGrpSpPr>
        <cdr:cNvPr id="12" name="Grupo 11">
          <a:extLst xmlns:a="http://schemas.openxmlformats.org/drawingml/2006/main">
            <a:ext uri="{FF2B5EF4-FFF2-40B4-BE49-F238E27FC236}">
              <a16:creationId xmlns:a16="http://schemas.microsoft.com/office/drawing/2014/main" id="{3C8B29F4-1846-4199-B3ED-40C3CBCCA343}"/>
            </a:ext>
          </a:extLst>
        </cdr:cNvPr>
        <cdr:cNvGrpSpPr/>
      </cdr:nvGrpSpPr>
      <cdr:grpSpPr>
        <a:xfrm xmlns:a="http://schemas.openxmlformats.org/drawingml/2006/main">
          <a:off x="31730" y="3095188"/>
          <a:ext cx="6873911" cy="247574"/>
          <a:chOff x="31750" y="3112343"/>
          <a:chExt cx="6873875" cy="248942"/>
        </a:xfrm>
      </cdr:grpSpPr>
      <cdr:sp macro="" textlink="">
        <cdr:nvSpPr>
          <cdr:cNvPr id="3" name="CuadroTexto 2">
            <a:extLst xmlns:a="http://schemas.openxmlformats.org/drawingml/2006/main">
              <a:ext uri="{FF2B5EF4-FFF2-40B4-BE49-F238E27FC236}">
                <a16:creationId xmlns:a16="http://schemas.microsoft.com/office/drawing/2014/main" id="{E3B611A1-128C-496F-8DC7-BE60E8FCDB90}"/>
              </a:ext>
            </a:extLst>
          </cdr:cNvPr>
          <cdr:cNvSpPr txBox="1"/>
        </cdr:nvSpPr>
        <cdr:spPr>
          <a:xfrm xmlns:a="http://schemas.openxmlformats.org/drawingml/2006/main">
            <a:off x="1238250" y="3129343"/>
            <a:ext cx="723900" cy="2243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000">
                <a:solidFill>
                  <a:schemeClr val="tx1">
                    <a:lumMod val="65000"/>
                    <a:lumOff val="35000"/>
                  </a:schemeClr>
                </a:solidFill>
              </a:rPr>
              <a:t>$1.387.547</a:t>
            </a:r>
          </a:p>
        </cdr:txBody>
      </cdr:sp>
      <cdr:sp macro="" textlink="">
        <cdr:nvSpPr>
          <cdr:cNvPr id="4" name="CuadroTexto 1">
            <a:extLst xmlns:a="http://schemas.openxmlformats.org/drawingml/2006/main">
              <a:ext uri="{FF2B5EF4-FFF2-40B4-BE49-F238E27FC236}">
                <a16:creationId xmlns:a16="http://schemas.microsoft.com/office/drawing/2014/main" id="{712A09C7-BAEA-42DB-9119-9B7F649BFE09}"/>
              </a:ext>
            </a:extLst>
          </cdr:cNvPr>
          <cdr:cNvSpPr txBox="1"/>
        </cdr:nvSpPr>
        <cdr:spPr>
          <a:xfrm xmlns:a="http://schemas.openxmlformats.org/drawingml/2006/main">
            <a:off x="1955800" y="3122542"/>
            <a:ext cx="723900" cy="2243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$1.334.828</a:t>
            </a:r>
          </a:p>
        </cdr:txBody>
      </cdr:sp>
      <cdr:sp macro="" textlink="">
        <cdr:nvSpPr>
          <cdr:cNvPr id="5" name="CuadroTexto 1">
            <a:extLst xmlns:a="http://schemas.openxmlformats.org/drawingml/2006/main">
              <a:ext uri="{FF2B5EF4-FFF2-40B4-BE49-F238E27FC236}">
                <a16:creationId xmlns:a16="http://schemas.microsoft.com/office/drawing/2014/main" id="{4BAFADFA-F748-4593-B0CA-56318DCB1C13}"/>
              </a:ext>
            </a:extLst>
          </cdr:cNvPr>
          <cdr:cNvSpPr txBox="1"/>
        </cdr:nvSpPr>
        <cdr:spPr>
          <a:xfrm xmlns:a="http://schemas.openxmlformats.org/drawingml/2006/main">
            <a:off x="2708275" y="3122542"/>
            <a:ext cx="723900" cy="2243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$1.308.568</a:t>
            </a:r>
          </a:p>
        </cdr:txBody>
      </cdr:sp>
      <cdr:sp macro="" textlink="">
        <cdr:nvSpPr>
          <cdr:cNvPr id="6" name="CuadroTexto 1">
            <a:extLst xmlns:a="http://schemas.openxmlformats.org/drawingml/2006/main">
              <a:ext uri="{FF2B5EF4-FFF2-40B4-BE49-F238E27FC236}">
                <a16:creationId xmlns:a16="http://schemas.microsoft.com/office/drawing/2014/main" id="{B5098620-D7C4-4553-A5DA-0604C3769A8F}"/>
              </a:ext>
            </a:extLst>
          </cdr:cNvPr>
          <cdr:cNvSpPr txBox="1"/>
        </cdr:nvSpPr>
        <cdr:spPr>
          <a:xfrm xmlns:a="http://schemas.openxmlformats.org/drawingml/2006/main">
            <a:off x="3368675" y="3125941"/>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$1.976.355</a:t>
            </a:r>
          </a:p>
        </cdr:txBody>
      </cdr:sp>
      <cdr:sp macro="" textlink="">
        <cdr:nvSpPr>
          <cdr:cNvPr id="7" name="CuadroTexto 1">
            <a:extLst xmlns:a="http://schemas.openxmlformats.org/drawingml/2006/main">
              <a:ext uri="{FF2B5EF4-FFF2-40B4-BE49-F238E27FC236}">
                <a16:creationId xmlns:a16="http://schemas.microsoft.com/office/drawing/2014/main" id="{6150379D-283A-4E1E-A3F0-D277FCA51D6B}"/>
              </a:ext>
            </a:extLst>
          </cdr:cNvPr>
          <cdr:cNvSpPr txBox="1"/>
        </cdr:nvSpPr>
        <cdr:spPr>
          <a:xfrm xmlns:a="http://schemas.openxmlformats.org/drawingml/2006/main">
            <a:off x="4079875" y="3119144"/>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$2.255.130</a:t>
            </a:r>
          </a:p>
        </cdr:txBody>
      </cdr:sp>
      <cdr:sp macro="" textlink="">
        <cdr:nvSpPr>
          <cdr:cNvPr id="8" name="CuadroTexto 1">
            <a:extLst xmlns:a="http://schemas.openxmlformats.org/drawingml/2006/main">
              <a:ext uri="{FF2B5EF4-FFF2-40B4-BE49-F238E27FC236}">
                <a16:creationId xmlns:a16="http://schemas.microsoft.com/office/drawing/2014/main" id="{E5DF4B6D-C945-4680-B764-7FFDF0DAFEE3}"/>
              </a:ext>
            </a:extLst>
          </cdr:cNvPr>
          <cdr:cNvSpPr txBox="1"/>
        </cdr:nvSpPr>
        <cdr:spPr>
          <a:xfrm xmlns:a="http://schemas.openxmlformats.org/drawingml/2006/main">
            <a:off x="4797425" y="3112343"/>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$2.341.814</a:t>
            </a:r>
          </a:p>
        </cdr:txBody>
      </cdr:sp>
      <cdr:sp macro="" textlink="">
        <cdr:nvSpPr>
          <cdr:cNvPr id="9" name="CuadroTexto 1">
            <a:extLst xmlns:a="http://schemas.openxmlformats.org/drawingml/2006/main">
              <a:ext uri="{FF2B5EF4-FFF2-40B4-BE49-F238E27FC236}">
                <a16:creationId xmlns:a16="http://schemas.microsoft.com/office/drawing/2014/main" id="{6DBA6A90-6B27-44C4-BF7A-C655CFBD1444}"/>
              </a:ext>
            </a:extLst>
          </cdr:cNvPr>
          <cdr:cNvSpPr txBox="1"/>
        </cdr:nvSpPr>
        <cdr:spPr>
          <a:xfrm xmlns:a="http://schemas.openxmlformats.org/drawingml/2006/main">
            <a:off x="5549900" y="3112343"/>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$2.370.414</a:t>
            </a:r>
          </a:p>
        </cdr:txBody>
      </cdr:sp>
      <cdr:sp macro="" textlink="">
        <cdr:nvSpPr>
          <cdr:cNvPr id="10" name="CuadroTexto 1">
            <a:extLst xmlns:a="http://schemas.openxmlformats.org/drawingml/2006/main">
              <a:ext uri="{FF2B5EF4-FFF2-40B4-BE49-F238E27FC236}">
                <a16:creationId xmlns:a16="http://schemas.microsoft.com/office/drawing/2014/main" id="{8BCF7D3C-3EF4-435C-842D-4D42777B45F5}"/>
              </a:ext>
            </a:extLst>
          </cdr:cNvPr>
          <cdr:cNvSpPr txBox="1"/>
        </cdr:nvSpPr>
        <cdr:spPr>
          <a:xfrm xmlns:a="http://schemas.openxmlformats.org/drawingml/2006/main">
            <a:off x="6181725" y="3115742"/>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$2.281.820</a:t>
            </a:r>
          </a:p>
        </cdr:txBody>
      </cdr:sp>
      <cdr:sp macro="" textlink="">
        <cdr:nvSpPr>
          <cdr:cNvPr id="11" name="CuadroTexto 1">
            <a:extLst xmlns:a="http://schemas.openxmlformats.org/drawingml/2006/main">
              <a:ext uri="{FF2B5EF4-FFF2-40B4-BE49-F238E27FC236}">
                <a16:creationId xmlns:a16="http://schemas.microsoft.com/office/drawing/2014/main" id="{C88F96B5-A583-4F6C-BE0F-87526D1E07E5}"/>
              </a:ext>
            </a:extLst>
          </cdr:cNvPr>
          <cdr:cNvSpPr txBox="1"/>
        </cdr:nvSpPr>
        <cdr:spPr>
          <a:xfrm xmlns:a="http://schemas.openxmlformats.org/drawingml/2006/main">
            <a:off x="31750" y="3136900"/>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Total</a:t>
            </a:r>
            <a:r>
              <a:rPr lang="es-CO" sz="1000" baseline="0">
                <a:solidFill>
                  <a:schemeClr val="tx1">
                    <a:lumMod val="65000"/>
                    <a:lumOff val="35000"/>
                  </a:schemeClr>
                </a:solidFill>
              </a:rPr>
              <a:t> mercado postal</a:t>
            </a:r>
            <a:endParaRPr lang="es-CO" sz="1000">
              <a:solidFill>
                <a:schemeClr val="tx1">
                  <a:lumMod val="65000"/>
                  <a:lumOff val="35000"/>
                </a:schemeClr>
              </a:solidFill>
            </a:endParaRPr>
          </a:p>
        </cdr:txBody>
      </cdr:sp>
    </cdr:grpSp>
  </cdr:relSizeAnchor>
  <cdr:relSizeAnchor xmlns:cdr="http://schemas.openxmlformats.org/drawingml/2006/chartDrawing">
    <cdr:from>
      <cdr:x>0.20028</cdr:x>
      <cdr:y>0.90846</cdr:y>
    </cdr:from>
    <cdr:to>
      <cdr:x>0.32403</cdr:x>
      <cdr:y>0.98502</cdr:y>
    </cdr:to>
    <cdr:sp macro="" textlink="">
      <cdr:nvSpPr>
        <cdr:cNvPr id="13" name="CuadroTexto 1">
          <a:extLst xmlns:a="http://schemas.openxmlformats.org/drawingml/2006/main">
            <a:ext uri="{FF2B5EF4-FFF2-40B4-BE49-F238E27FC236}">
              <a16:creationId xmlns:a16="http://schemas.microsoft.com/office/drawing/2014/main" id="{9D414F0E-7ABD-4799-83C1-06F0D3E531FF}"/>
            </a:ext>
          </a:extLst>
        </cdr:cNvPr>
        <cdr:cNvSpPr txBox="1"/>
      </cdr:nvSpPr>
      <cdr:spPr>
        <a:xfrm xmlns:a="http://schemas.openxmlformats.org/drawingml/2006/main">
          <a:off x="1171560" y="2647830"/>
          <a:ext cx="723904" cy="22315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$1.366.048</a:t>
          </a:r>
        </a:p>
      </cdr:txBody>
    </cdr:sp>
  </cdr:relSizeAnchor>
  <cdr:relSizeAnchor xmlns:cdr="http://schemas.openxmlformats.org/drawingml/2006/chartDrawing">
    <cdr:from>
      <cdr:x>0.29806</cdr:x>
      <cdr:y>0.90813</cdr:y>
    </cdr:from>
    <cdr:to>
      <cdr:x>0.42181</cdr:x>
      <cdr:y>0.9847</cdr:y>
    </cdr:to>
    <cdr:sp macro="" textlink="">
      <cdr:nvSpPr>
        <cdr:cNvPr id="14" name="CuadroTexto 1">
          <a:extLst xmlns:a="http://schemas.openxmlformats.org/drawingml/2006/main">
            <a:ext uri="{FF2B5EF4-FFF2-40B4-BE49-F238E27FC236}">
              <a16:creationId xmlns:a16="http://schemas.microsoft.com/office/drawing/2014/main" id="{A3F25884-AF38-495A-94FD-6AFD18282093}"/>
            </a:ext>
          </a:extLst>
        </cdr:cNvPr>
        <cdr:cNvSpPr txBox="1"/>
      </cdr:nvSpPr>
      <cdr:spPr>
        <a:xfrm xmlns:a="http://schemas.openxmlformats.org/drawingml/2006/main">
          <a:off x="1743510" y="2646890"/>
          <a:ext cx="723904" cy="2231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$1.331.161</a:t>
          </a:r>
        </a:p>
      </cdr:txBody>
    </cdr:sp>
  </cdr:relSizeAnchor>
  <cdr:relSizeAnchor xmlns:cdr="http://schemas.openxmlformats.org/drawingml/2006/chartDrawing">
    <cdr:from>
      <cdr:x>0.39881</cdr:x>
      <cdr:y>0.91013</cdr:y>
    </cdr:from>
    <cdr:to>
      <cdr:x>0.52257</cdr:x>
      <cdr:y>0.98669</cdr:y>
    </cdr:to>
    <cdr:sp macro="" textlink="">
      <cdr:nvSpPr>
        <cdr:cNvPr id="15" name="CuadroTexto 1">
          <a:extLst xmlns:a="http://schemas.openxmlformats.org/drawingml/2006/main">
            <a:ext uri="{FF2B5EF4-FFF2-40B4-BE49-F238E27FC236}">
              <a16:creationId xmlns:a16="http://schemas.microsoft.com/office/drawing/2014/main" id="{9A9C0659-DD94-413A-BB48-95807FAD3BB2}"/>
            </a:ext>
          </a:extLst>
        </cdr:cNvPr>
        <cdr:cNvSpPr txBox="1"/>
      </cdr:nvSpPr>
      <cdr:spPr>
        <a:xfrm xmlns:a="http://schemas.openxmlformats.org/drawingml/2006/main">
          <a:off x="2332911" y="2652715"/>
          <a:ext cx="723904" cy="2231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$1.365.577</a:t>
          </a:r>
        </a:p>
      </cdr:txBody>
    </cdr:sp>
  </cdr:relSizeAnchor>
  <cdr:relSizeAnchor xmlns:cdr="http://schemas.openxmlformats.org/drawingml/2006/chartDrawing">
    <cdr:from>
      <cdr:x>0.49315</cdr:x>
      <cdr:y>0.91171</cdr:y>
    </cdr:from>
    <cdr:to>
      <cdr:x>0.61691</cdr:x>
      <cdr:y>0.98828</cdr:y>
    </cdr:to>
    <cdr:sp macro="" textlink="">
      <cdr:nvSpPr>
        <cdr:cNvPr id="16" name="CuadroTexto 1">
          <a:extLst xmlns:a="http://schemas.openxmlformats.org/drawingml/2006/main">
            <a:ext uri="{FF2B5EF4-FFF2-40B4-BE49-F238E27FC236}">
              <a16:creationId xmlns:a16="http://schemas.microsoft.com/office/drawing/2014/main" id="{165D0040-9B89-473A-A6F1-6C7F975F3CA2}"/>
            </a:ext>
          </a:extLst>
        </cdr:cNvPr>
        <cdr:cNvSpPr txBox="1"/>
      </cdr:nvSpPr>
      <cdr:spPr>
        <a:xfrm xmlns:a="http://schemas.openxmlformats.org/drawingml/2006/main">
          <a:off x="2884769" y="2657312"/>
          <a:ext cx="723949" cy="223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$1.976.355</a:t>
          </a:r>
        </a:p>
      </cdr:txBody>
    </cdr:sp>
  </cdr:relSizeAnchor>
  <cdr:relSizeAnchor xmlns:cdr="http://schemas.openxmlformats.org/drawingml/2006/chartDrawing">
    <cdr:from>
      <cdr:x>0.58686</cdr:x>
      <cdr:y>0.91139</cdr:y>
    </cdr:from>
    <cdr:to>
      <cdr:x>0.71061</cdr:x>
      <cdr:y>0.98796</cdr:y>
    </cdr:to>
    <cdr:sp macro="" textlink="">
      <cdr:nvSpPr>
        <cdr:cNvPr id="17" name="CuadroTexto 1">
          <a:extLst xmlns:a="http://schemas.openxmlformats.org/drawingml/2006/main">
            <a:ext uri="{FF2B5EF4-FFF2-40B4-BE49-F238E27FC236}">
              <a16:creationId xmlns:a16="http://schemas.microsoft.com/office/drawing/2014/main" id="{113F2111-4A66-40A4-97FF-04D13E61CF1D}"/>
            </a:ext>
          </a:extLst>
        </cdr:cNvPr>
        <cdr:cNvSpPr txBox="1"/>
      </cdr:nvSpPr>
      <cdr:spPr>
        <a:xfrm xmlns:a="http://schemas.openxmlformats.org/drawingml/2006/main">
          <a:off x="3432937" y="2656379"/>
          <a:ext cx="723890" cy="223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$2.255.130</a:t>
          </a:r>
        </a:p>
      </cdr:txBody>
    </cdr:sp>
  </cdr:relSizeAnchor>
  <cdr:relSizeAnchor xmlns:cdr="http://schemas.openxmlformats.org/drawingml/2006/chartDrawing">
    <cdr:from>
      <cdr:x>0.67965</cdr:x>
      <cdr:y>0.90907</cdr:y>
    </cdr:from>
    <cdr:to>
      <cdr:x>0.80341</cdr:x>
      <cdr:y>0.98564</cdr:y>
    </cdr:to>
    <cdr:sp macro="" textlink="">
      <cdr:nvSpPr>
        <cdr:cNvPr id="18" name="CuadroTexto 1">
          <a:extLst xmlns:a="http://schemas.openxmlformats.org/drawingml/2006/main">
            <a:ext uri="{FF2B5EF4-FFF2-40B4-BE49-F238E27FC236}">
              <a16:creationId xmlns:a16="http://schemas.microsoft.com/office/drawing/2014/main" id="{5CED5DDF-5950-4C41-AB06-790F63901178}"/>
            </a:ext>
          </a:extLst>
        </cdr:cNvPr>
        <cdr:cNvSpPr txBox="1"/>
      </cdr:nvSpPr>
      <cdr:spPr>
        <a:xfrm xmlns:a="http://schemas.openxmlformats.org/drawingml/2006/main">
          <a:off x="3975723" y="2649617"/>
          <a:ext cx="723949" cy="223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$2.341.814</a:t>
          </a:r>
        </a:p>
      </cdr:txBody>
    </cdr:sp>
  </cdr:relSizeAnchor>
  <cdr:relSizeAnchor xmlns:cdr="http://schemas.openxmlformats.org/drawingml/2006/chartDrawing">
    <cdr:from>
      <cdr:x>0.78329</cdr:x>
      <cdr:y>0.91034</cdr:y>
    </cdr:from>
    <cdr:to>
      <cdr:x>0.90705</cdr:x>
      <cdr:y>0.98691</cdr:y>
    </cdr:to>
    <cdr:sp macro="" textlink="">
      <cdr:nvSpPr>
        <cdr:cNvPr id="19" name="CuadroTexto 1">
          <a:extLst xmlns:a="http://schemas.openxmlformats.org/drawingml/2006/main">
            <a:ext uri="{FF2B5EF4-FFF2-40B4-BE49-F238E27FC236}">
              <a16:creationId xmlns:a16="http://schemas.microsoft.com/office/drawing/2014/main" id="{7A490088-F9BD-488D-A78A-8648086166C8}"/>
            </a:ext>
          </a:extLst>
        </cdr:cNvPr>
        <cdr:cNvSpPr txBox="1"/>
      </cdr:nvSpPr>
      <cdr:spPr>
        <a:xfrm xmlns:a="http://schemas.openxmlformats.org/drawingml/2006/main">
          <a:off x="4581949" y="2653319"/>
          <a:ext cx="723949" cy="2231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$2.370.414</a:t>
          </a:r>
        </a:p>
      </cdr:txBody>
    </cdr:sp>
  </cdr:relSizeAnchor>
  <cdr:relSizeAnchor xmlns:cdr="http://schemas.openxmlformats.org/drawingml/2006/chartDrawing">
    <cdr:from>
      <cdr:x>0.87625</cdr:x>
      <cdr:y>0.90708</cdr:y>
    </cdr:from>
    <cdr:to>
      <cdr:x>1</cdr:x>
      <cdr:y>0.98365</cdr:y>
    </cdr:to>
    <cdr:sp macro="" textlink="">
      <cdr:nvSpPr>
        <cdr:cNvPr id="20" name="CuadroTexto 1">
          <a:extLst xmlns:a="http://schemas.openxmlformats.org/drawingml/2006/main">
            <a:ext uri="{FF2B5EF4-FFF2-40B4-BE49-F238E27FC236}">
              <a16:creationId xmlns:a16="http://schemas.microsoft.com/office/drawing/2014/main" id="{7FA255F3-E602-477F-9C0E-F378DCD4DE31}"/>
            </a:ext>
          </a:extLst>
        </cdr:cNvPr>
        <cdr:cNvSpPr txBox="1"/>
      </cdr:nvSpPr>
      <cdr:spPr>
        <a:xfrm xmlns:a="http://schemas.openxmlformats.org/drawingml/2006/main">
          <a:off x="5125730" y="2643821"/>
          <a:ext cx="723890" cy="2231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$2.281.820</a:t>
          </a:r>
        </a:p>
      </cdr:txBody>
    </cdr:sp>
  </cdr:relSizeAnchor>
  <cdr:relSizeAnchor xmlns:cdr="http://schemas.openxmlformats.org/drawingml/2006/chartDrawing">
    <cdr:from>
      <cdr:x>0.01493</cdr:x>
      <cdr:y>0.90304</cdr:y>
    </cdr:from>
    <cdr:to>
      <cdr:x>0.13869</cdr:x>
      <cdr:y>0.9796</cdr:y>
    </cdr:to>
    <cdr:sp macro="" textlink="">
      <cdr:nvSpPr>
        <cdr:cNvPr id="21" name="CuadroTexto 1">
          <a:extLst xmlns:a="http://schemas.openxmlformats.org/drawingml/2006/main">
            <a:ext uri="{FF2B5EF4-FFF2-40B4-BE49-F238E27FC236}">
              <a16:creationId xmlns:a16="http://schemas.microsoft.com/office/drawing/2014/main" id="{FF72C165-FAE3-4C05-866D-8ED11F8C2A73}"/>
            </a:ext>
          </a:extLst>
        </cdr:cNvPr>
        <cdr:cNvSpPr txBox="1"/>
      </cdr:nvSpPr>
      <cdr:spPr>
        <a:xfrm xmlns:a="http://schemas.openxmlformats.org/drawingml/2006/main">
          <a:off x="87363" y="2632048"/>
          <a:ext cx="723904" cy="22315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Total</a:t>
          </a:r>
          <a:r>
            <a:rPr lang="es-CO" sz="900" baseline="0">
              <a:solidFill>
                <a:schemeClr val="tx1">
                  <a:lumMod val="65000"/>
                  <a:lumOff val="35000"/>
                </a:schemeClr>
              </a:solidFill>
            </a:rPr>
            <a:t> mercado postal</a:t>
          </a:r>
          <a:endParaRPr lang="es-CO" sz="900">
            <a:solidFill>
              <a:schemeClr val="tx1">
                <a:lumMod val="65000"/>
                <a:lumOff val="35000"/>
              </a:schemeClr>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0.66389</cdr:x>
      <cdr:y>0.01793</cdr:y>
    </cdr:from>
    <cdr:to>
      <cdr:x>0.66389</cdr:x>
      <cdr:y>0.83122</cdr:y>
    </cdr:to>
    <cdr:cxnSp macro="">
      <cdr:nvCxnSpPr>
        <cdr:cNvPr id="2" name="Conector recto 1"/>
        <cdr:cNvCxnSpPr>
          <a:cxnSpLocks xmlns:a="http://schemas.openxmlformats.org/drawingml/2006/main"/>
        </cdr:cNvCxnSpPr>
      </cdr:nvCxnSpPr>
      <cdr:spPr>
        <a:xfrm xmlns:a="http://schemas.openxmlformats.org/drawingml/2006/main">
          <a:off x="3883522" y="38100"/>
          <a:ext cx="0" cy="1728005"/>
        </a:xfrm>
        <a:prstGeom xmlns:a="http://schemas.openxmlformats.org/drawingml/2006/main" prst="line">
          <a:avLst/>
        </a:prstGeom>
        <a:ln xmlns:a="http://schemas.openxmlformats.org/drawingml/2006/main" w="15875">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0.70722</cdr:x>
      <cdr:y>0.10663</cdr:y>
    </cdr:from>
    <cdr:to>
      <cdr:x>0.70722</cdr:x>
      <cdr:y>0.87368</cdr:y>
    </cdr:to>
    <cdr:cxnSp macro="">
      <cdr:nvCxnSpPr>
        <cdr:cNvPr id="2" name="Conector recto 1"/>
        <cdr:cNvCxnSpPr>
          <a:cxnSpLocks xmlns:a="http://schemas.openxmlformats.org/drawingml/2006/main"/>
        </cdr:cNvCxnSpPr>
      </cdr:nvCxnSpPr>
      <cdr:spPr>
        <a:xfrm xmlns:a="http://schemas.openxmlformats.org/drawingml/2006/main">
          <a:off x="3814527" y="222757"/>
          <a:ext cx="0" cy="1602482"/>
        </a:xfrm>
        <a:prstGeom xmlns:a="http://schemas.openxmlformats.org/drawingml/2006/main" prst="line">
          <a:avLst/>
        </a:prstGeom>
        <a:ln xmlns:a="http://schemas.openxmlformats.org/drawingml/2006/main" w="15875">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0.15789</cdr:x>
      <cdr:y>0.63066</cdr:y>
    </cdr:from>
    <cdr:to>
      <cdr:x>0.24765</cdr:x>
      <cdr:y>0.70047</cdr:y>
    </cdr:to>
    <cdr:sp macro="" textlink="">
      <cdr:nvSpPr>
        <cdr:cNvPr id="2" name="CuadroTexto 3">
          <a:extLst xmlns:a="http://schemas.openxmlformats.org/drawingml/2006/main">
            <a:ext uri="{FF2B5EF4-FFF2-40B4-BE49-F238E27FC236}">
              <a16:creationId xmlns:a16="http://schemas.microsoft.com/office/drawing/2014/main" id="{63D2C824-2E21-449C-980D-13E133C7A681}"/>
            </a:ext>
          </a:extLst>
        </cdr:cNvPr>
        <cdr:cNvSpPr txBox="1"/>
      </cdr:nvSpPr>
      <cdr:spPr>
        <a:xfrm xmlns:a="http://schemas.openxmlformats.org/drawingml/2006/main">
          <a:off x="923603" y="2224204"/>
          <a:ext cx="525056" cy="246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CO" sz="1000" dirty="0">
              <a:solidFill>
                <a:schemeClr val="bg1"/>
              </a:solidFill>
            </a:rPr>
            <a:t>88,8%</a:t>
          </a:r>
        </a:p>
      </cdr:txBody>
    </cdr:sp>
  </cdr:relSizeAnchor>
  <cdr:relSizeAnchor xmlns:cdr="http://schemas.openxmlformats.org/drawingml/2006/chartDrawing">
    <cdr:from>
      <cdr:x>0.32152</cdr:x>
      <cdr:y>0.28259</cdr:y>
    </cdr:from>
    <cdr:to>
      <cdr:x>0.41128</cdr:x>
      <cdr:y>0.35241</cdr:y>
    </cdr:to>
    <cdr:sp macro="" textlink="">
      <cdr:nvSpPr>
        <cdr:cNvPr id="3" name="CuadroTexto 7">
          <a:extLst xmlns:a="http://schemas.openxmlformats.org/drawingml/2006/main">
            <a:ext uri="{FF2B5EF4-FFF2-40B4-BE49-F238E27FC236}">
              <a16:creationId xmlns:a16="http://schemas.microsoft.com/office/drawing/2014/main" id="{B0B3D03A-EB17-49B8-86DE-5D19CE69685D}"/>
            </a:ext>
          </a:extLst>
        </cdr:cNvPr>
        <cdr:cNvSpPr txBox="1"/>
      </cdr:nvSpPr>
      <cdr:spPr>
        <a:xfrm xmlns:a="http://schemas.openxmlformats.org/drawingml/2006/main">
          <a:off x="1880763" y="996650"/>
          <a:ext cx="525056" cy="246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CO" sz="1000" dirty="0">
              <a:solidFill>
                <a:schemeClr val="bg1"/>
              </a:solidFill>
            </a:rPr>
            <a:t>41,0%</a:t>
          </a:r>
        </a:p>
      </cdr:txBody>
    </cdr:sp>
  </cdr:relSizeAnchor>
  <cdr:relSizeAnchor xmlns:cdr="http://schemas.openxmlformats.org/drawingml/2006/chartDrawing">
    <cdr:from>
      <cdr:x>0.48852</cdr:x>
      <cdr:y>0.29414</cdr:y>
    </cdr:from>
    <cdr:to>
      <cdr:x>0.57828</cdr:x>
      <cdr:y>0.36396</cdr:y>
    </cdr:to>
    <cdr:sp macro="" textlink="">
      <cdr:nvSpPr>
        <cdr:cNvPr id="4" name="CuadroTexto 8">
          <a:extLst xmlns:a="http://schemas.openxmlformats.org/drawingml/2006/main">
            <a:ext uri="{FF2B5EF4-FFF2-40B4-BE49-F238E27FC236}">
              <a16:creationId xmlns:a16="http://schemas.microsoft.com/office/drawing/2014/main" id="{4F832682-28C8-4F51-8E6E-F577C974D035}"/>
            </a:ext>
          </a:extLst>
        </cdr:cNvPr>
        <cdr:cNvSpPr txBox="1"/>
      </cdr:nvSpPr>
      <cdr:spPr>
        <a:xfrm xmlns:a="http://schemas.openxmlformats.org/drawingml/2006/main">
          <a:off x="2857658" y="1037386"/>
          <a:ext cx="525056" cy="246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CO" sz="1000" dirty="0">
              <a:solidFill>
                <a:schemeClr val="bg1"/>
              </a:solidFill>
            </a:rPr>
            <a:t>44,9%</a:t>
          </a:r>
        </a:p>
      </cdr:txBody>
    </cdr:sp>
  </cdr:relSizeAnchor>
  <cdr:relSizeAnchor xmlns:cdr="http://schemas.openxmlformats.org/drawingml/2006/chartDrawing">
    <cdr:from>
      <cdr:x>0.65271</cdr:x>
      <cdr:y>0.26115</cdr:y>
    </cdr:from>
    <cdr:to>
      <cdr:x>0.74247</cdr:x>
      <cdr:y>0.33097</cdr:y>
    </cdr:to>
    <cdr:sp macro="" textlink="">
      <cdr:nvSpPr>
        <cdr:cNvPr id="5" name="CuadroTexto 9">
          <a:extLst xmlns:a="http://schemas.openxmlformats.org/drawingml/2006/main">
            <a:ext uri="{FF2B5EF4-FFF2-40B4-BE49-F238E27FC236}">
              <a16:creationId xmlns:a16="http://schemas.microsoft.com/office/drawing/2014/main" id="{BB077B24-6416-41B4-BAEF-76BEC5624B03}"/>
            </a:ext>
          </a:extLst>
        </cdr:cNvPr>
        <cdr:cNvSpPr txBox="1"/>
      </cdr:nvSpPr>
      <cdr:spPr>
        <a:xfrm xmlns:a="http://schemas.openxmlformats.org/drawingml/2006/main">
          <a:off x="3818106" y="921030"/>
          <a:ext cx="525056" cy="246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CO" sz="1000" dirty="0">
              <a:solidFill>
                <a:schemeClr val="bg1"/>
              </a:solidFill>
            </a:rPr>
            <a:t>37,8%</a:t>
          </a:r>
        </a:p>
      </cdr:txBody>
    </cdr:sp>
  </cdr:relSizeAnchor>
  <cdr:relSizeAnchor xmlns:cdr="http://schemas.openxmlformats.org/drawingml/2006/chartDrawing">
    <cdr:from>
      <cdr:x>0.82196</cdr:x>
      <cdr:y>0.24049</cdr:y>
    </cdr:from>
    <cdr:to>
      <cdr:x>0.91172</cdr:x>
      <cdr:y>0.3103</cdr:y>
    </cdr:to>
    <cdr:sp macro="" textlink="">
      <cdr:nvSpPr>
        <cdr:cNvPr id="6" name="CuadroTexto 12">
          <a:extLst xmlns:a="http://schemas.openxmlformats.org/drawingml/2006/main">
            <a:ext uri="{FF2B5EF4-FFF2-40B4-BE49-F238E27FC236}">
              <a16:creationId xmlns:a16="http://schemas.microsoft.com/office/drawing/2014/main" id="{9F20304B-B40D-4ED8-B752-66768752B6A7}"/>
            </a:ext>
          </a:extLst>
        </cdr:cNvPr>
        <cdr:cNvSpPr txBox="1"/>
      </cdr:nvSpPr>
      <cdr:spPr>
        <a:xfrm xmlns:a="http://schemas.openxmlformats.org/drawingml/2006/main">
          <a:off x="4808158" y="848144"/>
          <a:ext cx="525056" cy="246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CO" sz="1000" dirty="0">
              <a:solidFill>
                <a:schemeClr val="bg1"/>
              </a:solidFill>
            </a:rPr>
            <a:t>32,2%</a:t>
          </a:r>
        </a:p>
      </cdr:txBody>
    </cdr:sp>
  </cdr:relSizeAnchor>
  <cdr:relSizeAnchor xmlns:cdr="http://schemas.openxmlformats.org/drawingml/2006/chartDrawing">
    <cdr:from>
      <cdr:x>0.32021</cdr:x>
      <cdr:y>0.70542</cdr:y>
    </cdr:from>
    <cdr:to>
      <cdr:x>0.42003</cdr:x>
      <cdr:y>0.77598</cdr:y>
    </cdr:to>
    <cdr:sp macro="" textlink="">
      <cdr:nvSpPr>
        <cdr:cNvPr id="10" name="CuadroTexto 4">
          <a:extLst xmlns:a="http://schemas.openxmlformats.org/drawingml/2006/main">
            <a:ext uri="{FF2B5EF4-FFF2-40B4-BE49-F238E27FC236}">
              <a16:creationId xmlns:a16="http://schemas.microsoft.com/office/drawing/2014/main" id="{CBF8CD18-5287-4E3E-8BE5-30FB7C781101}"/>
            </a:ext>
          </a:extLst>
        </cdr:cNvPr>
        <cdr:cNvSpPr txBox="1"/>
      </cdr:nvSpPr>
      <cdr:spPr>
        <a:xfrm xmlns:a="http://schemas.openxmlformats.org/drawingml/2006/main">
          <a:off x="1873083" y="2487870"/>
          <a:ext cx="583955"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CO" sz="1000" dirty="0">
              <a:solidFill>
                <a:schemeClr val="bg1"/>
              </a:solidFill>
            </a:rPr>
            <a:t>59,0%</a:t>
          </a:r>
          <a:r>
            <a:rPr lang="es-CO" sz="1000" baseline="30000" dirty="0">
              <a:solidFill>
                <a:schemeClr val="bg1"/>
              </a:solidFill>
            </a:rPr>
            <a:t>1</a:t>
          </a:r>
        </a:p>
      </cdr:txBody>
    </cdr:sp>
  </cdr:relSizeAnchor>
  <cdr:relSizeAnchor xmlns:cdr="http://schemas.openxmlformats.org/drawingml/2006/chartDrawing">
    <cdr:from>
      <cdr:x>0.49079</cdr:x>
      <cdr:y>0.69609</cdr:y>
    </cdr:from>
    <cdr:to>
      <cdr:x>0.58055</cdr:x>
      <cdr:y>0.76591</cdr:y>
    </cdr:to>
    <cdr:sp macro="" textlink="">
      <cdr:nvSpPr>
        <cdr:cNvPr id="11" name="CuadroTexto 5">
          <a:extLst xmlns:a="http://schemas.openxmlformats.org/drawingml/2006/main">
            <a:ext uri="{FF2B5EF4-FFF2-40B4-BE49-F238E27FC236}">
              <a16:creationId xmlns:a16="http://schemas.microsoft.com/office/drawing/2014/main" id="{6633C738-D53E-42CC-A964-7A1920659DF2}"/>
            </a:ext>
          </a:extLst>
        </cdr:cNvPr>
        <cdr:cNvSpPr txBox="1"/>
      </cdr:nvSpPr>
      <cdr:spPr>
        <a:xfrm xmlns:a="http://schemas.openxmlformats.org/drawingml/2006/main">
          <a:off x="2870934" y="2454979"/>
          <a:ext cx="525056" cy="246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CO" sz="1000" dirty="0">
              <a:solidFill>
                <a:schemeClr val="bg1"/>
              </a:solidFill>
            </a:rPr>
            <a:t>55,1%</a:t>
          </a:r>
        </a:p>
      </cdr:txBody>
    </cdr:sp>
  </cdr:relSizeAnchor>
  <cdr:relSizeAnchor xmlns:cdr="http://schemas.openxmlformats.org/drawingml/2006/chartDrawing">
    <cdr:from>
      <cdr:x>0.65758</cdr:x>
      <cdr:y>0.69143</cdr:y>
    </cdr:from>
    <cdr:to>
      <cdr:x>0.74734</cdr:x>
      <cdr:y>0.76125</cdr:y>
    </cdr:to>
    <cdr:sp macro="" textlink="">
      <cdr:nvSpPr>
        <cdr:cNvPr id="12" name="CuadroTexto 6">
          <a:extLst xmlns:a="http://schemas.openxmlformats.org/drawingml/2006/main">
            <a:ext uri="{FF2B5EF4-FFF2-40B4-BE49-F238E27FC236}">
              <a16:creationId xmlns:a16="http://schemas.microsoft.com/office/drawing/2014/main" id="{18048450-D193-46D4-BAAC-2F95D3D48CC7}"/>
            </a:ext>
          </a:extLst>
        </cdr:cNvPr>
        <cdr:cNvSpPr txBox="1"/>
      </cdr:nvSpPr>
      <cdr:spPr>
        <a:xfrm xmlns:a="http://schemas.openxmlformats.org/drawingml/2006/main">
          <a:off x="3846609" y="2438532"/>
          <a:ext cx="525056" cy="246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CO" sz="1000">
              <a:solidFill>
                <a:schemeClr val="bg1"/>
              </a:solidFill>
            </a:rPr>
            <a:t>62,2%</a:t>
          </a:r>
        </a:p>
      </cdr:txBody>
    </cdr:sp>
  </cdr:relSizeAnchor>
  <cdr:relSizeAnchor xmlns:cdr="http://schemas.openxmlformats.org/drawingml/2006/chartDrawing">
    <cdr:from>
      <cdr:x>0.82402</cdr:x>
      <cdr:y>0.66733</cdr:y>
    </cdr:from>
    <cdr:to>
      <cdr:x>0.91378</cdr:x>
      <cdr:y>0.73715</cdr:y>
    </cdr:to>
    <cdr:sp macro="" textlink="">
      <cdr:nvSpPr>
        <cdr:cNvPr id="13" name="CuadroTexto 11">
          <a:extLst xmlns:a="http://schemas.openxmlformats.org/drawingml/2006/main">
            <a:ext uri="{FF2B5EF4-FFF2-40B4-BE49-F238E27FC236}">
              <a16:creationId xmlns:a16="http://schemas.microsoft.com/office/drawing/2014/main" id="{2312C059-EF93-4DD7-ADBC-14B1237C5A8F}"/>
            </a:ext>
          </a:extLst>
        </cdr:cNvPr>
        <cdr:cNvSpPr txBox="1"/>
      </cdr:nvSpPr>
      <cdr:spPr>
        <a:xfrm xmlns:a="http://schemas.openxmlformats.org/drawingml/2006/main">
          <a:off x="4820216" y="2353536"/>
          <a:ext cx="525056" cy="246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CO" sz="1000">
              <a:solidFill>
                <a:schemeClr val="bg1"/>
              </a:solidFill>
            </a:rPr>
            <a:t>67,8%</a:t>
          </a:r>
        </a:p>
      </cdr:txBody>
    </cdr:sp>
  </cdr:relSizeAnchor>
</c:userShapes>
</file>

<file path=word/drawings/drawing3.xml><?xml version="1.0" encoding="utf-8"?>
<c:userShapes xmlns:c="http://schemas.openxmlformats.org/drawingml/2006/chart">
  <cdr:relSizeAnchor xmlns:cdr="http://schemas.openxmlformats.org/drawingml/2006/chartDrawing">
    <cdr:from>
      <cdr:x>0.79508</cdr:x>
      <cdr:y>0.14906</cdr:y>
    </cdr:from>
    <cdr:to>
      <cdr:x>0.9691</cdr:x>
      <cdr:y>0.27921</cdr:y>
    </cdr:to>
    <cdr:sp macro="" textlink="">
      <cdr:nvSpPr>
        <cdr:cNvPr id="2" name="CuadroTexto 1">
          <a:extLst xmlns:a="http://schemas.openxmlformats.org/drawingml/2006/main">
            <a:ext uri="{FF2B5EF4-FFF2-40B4-BE49-F238E27FC236}">
              <a16:creationId xmlns:a16="http://schemas.microsoft.com/office/drawing/2014/main" id="{17C900A0-772C-4233-91CA-EACA8F0262A9}"/>
            </a:ext>
          </a:extLst>
        </cdr:cNvPr>
        <cdr:cNvSpPr txBox="1"/>
      </cdr:nvSpPr>
      <cdr:spPr>
        <a:xfrm xmlns:a="http://schemas.openxmlformats.org/drawingml/2006/main">
          <a:off x="4650908" y="492943"/>
          <a:ext cx="1017951" cy="4304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CO" sz="1100" b="1">
              <a:solidFill>
                <a:schemeClr val="accent6"/>
              </a:solidFill>
            </a:rPr>
            <a:t>Contraprestaciones </a:t>
          </a:r>
        </a:p>
        <a:p xmlns:a="http://schemas.openxmlformats.org/drawingml/2006/main">
          <a:pPr algn="ctr"/>
          <a:r>
            <a:rPr lang="es-CO" sz="1100" b="1">
              <a:solidFill>
                <a:schemeClr val="accent6"/>
              </a:solidFill>
            </a:rPr>
            <a:t>postales</a:t>
          </a:r>
        </a:p>
      </cdr:txBody>
    </cdr:sp>
  </cdr:relSizeAnchor>
  <cdr:relSizeAnchor xmlns:cdr="http://schemas.openxmlformats.org/drawingml/2006/chartDrawing">
    <cdr:from>
      <cdr:x>0.82598</cdr:x>
      <cdr:y>0.30472</cdr:y>
    </cdr:from>
    <cdr:to>
      <cdr:x>1</cdr:x>
      <cdr:y>0.39338</cdr:y>
    </cdr:to>
    <cdr:sp macro="" textlink="">
      <cdr:nvSpPr>
        <cdr:cNvPr id="3" name="CuadroTexto 1">
          <a:extLst xmlns:a="http://schemas.openxmlformats.org/drawingml/2006/main">
            <a:ext uri="{FF2B5EF4-FFF2-40B4-BE49-F238E27FC236}">
              <a16:creationId xmlns:a16="http://schemas.microsoft.com/office/drawing/2014/main" id="{E3A18AC0-3564-4F25-BF66-CE013AFCBD29}"/>
            </a:ext>
          </a:extLst>
        </cdr:cNvPr>
        <cdr:cNvSpPr txBox="1"/>
      </cdr:nvSpPr>
      <cdr:spPr>
        <a:xfrm xmlns:a="http://schemas.openxmlformats.org/drawingml/2006/main">
          <a:off x="4831669" y="1007735"/>
          <a:ext cx="1017951" cy="29320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CO" sz="1100" b="1">
              <a:solidFill>
                <a:schemeClr val="tx2"/>
              </a:solidFill>
            </a:rPr>
            <a:t>Gastos totales </a:t>
          </a:r>
        </a:p>
        <a:p xmlns:a="http://schemas.openxmlformats.org/drawingml/2006/main">
          <a:pPr algn="ctr"/>
          <a:r>
            <a:rPr lang="es-CO" sz="1100" b="1">
              <a:solidFill>
                <a:schemeClr val="tx2"/>
              </a:solidFill>
            </a:rPr>
            <a:t>del Fondo</a:t>
          </a:r>
        </a:p>
      </cdr:txBody>
    </cdr:sp>
  </cdr:relSizeAnchor>
  <cdr:relSizeAnchor xmlns:cdr="http://schemas.openxmlformats.org/drawingml/2006/chartDrawing">
    <cdr:from>
      <cdr:x>0.33615</cdr:x>
      <cdr:y>0.32243</cdr:y>
    </cdr:from>
    <cdr:to>
      <cdr:x>0.51017</cdr:x>
      <cdr:y>0.41108</cdr:y>
    </cdr:to>
    <cdr:sp macro="" textlink="">
      <cdr:nvSpPr>
        <cdr:cNvPr id="4" name="CuadroTexto 1">
          <a:extLst xmlns:a="http://schemas.openxmlformats.org/drawingml/2006/main">
            <a:ext uri="{FF2B5EF4-FFF2-40B4-BE49-F238E27FC236}">
              <a16:creationId xmlns:a16="http://schemas.microsoft.com/office/drawing/2014/main" id="{2DF98001-762C-4C7C-ACB8-82B6048B6112}"/>
            </a:ext>
          </a:extLst>
        </cdr:cNvPr>
        <cdr:cNvSpPr txBox="1"/>
      </cdr:nvSpPr>
      <cdr:spPr>
        <a:xfrm xmlns:a="http://schemas.openxmlformats.org/drawingml/2006/main">
          <a:off x="1966345" y="1066288"/>
          <a:ext cx="1017951" cy="2931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CO" sz="1100" b="1">
              <a:solidFill>
                <a:schemeClr val="bg1">
                  <a:lumMod val="50000"/>
                </a:schemeClr>
              </a:solidFill>
            </a:rPr>
            <a:t>Franquicia postal</a:t>
          </a:r>
        </a:p>
      </cdr:txBody>
    </cdr:sp>
  </cdr:relSizeAnchor>
  <cdr:relSizeAnchor xmlns:cdr="http://schemas.openxmlformats.org/drawingml/2006/chartDrawing">
    <cdr:from>
      <cdr:x>0.34921</cdr:x>
      <cdr:y>0.47831</cdr:y>
    </cdr:from>
    <cdr:to>
      <cdr:x>0.52323</cdr:x>
      <cdr:y>0.56696</cdr:y>
    </cdr:to>
    <cdr:sp macro="" textlink="">
      <cdr:nvSpPr>
        <cdr:cNvPr id="5" name="CuadroTexto 1">
          <a:extLst xmlns:a="http://schemas.openxmlformats.org/drawingml/2006/main">
            <a:ext uri="{FF2B5EF4-FFF2-40B4-BE49-F238E27FC236}">
              <a16:creationId xmlns:a16="http://schemas.microsoft.com/office/drawing/2014/main" id="{FC87515B-6ED9-43B9-A3B1-34688E5B917C}"/>
            </a:ext>
          </a:extLst>
        </cdr:cNvPr>
        <cdr:cNvSpPr txBox="1"/>
      </cdr:nvSpPr>
      <cdr:spPr>
        <a:xfrm xmlns:a="http://schemas.openxmlformats.org/drawingml/2006/main">
          <a:off x="2042749" y="1581802"/>
          <a:ext cx="1017951" cy="2931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CO" sz="1100" b="1">
              <a:solidFill>
                <a:srgbClr val="C00000"/>
              </a:solidFill>
            </a:rPr>
            <a:t>Pago del déficit del SPU</a:t>
          </a:r>
        </a:p>
      </cdr:txBody>
    </cdr:sp>
  </cdr:relSizeAnchor>
  <cdr:relSizeAnchor xmlns:cdr="http://schemas.openxmlformats.org/drawingml/2006/chartDrawing">
    <cdr:from>
      <cdr:x>0.30083</cdr:x>
      <cdr:y>0.57998</cdr:y>
    </cdr:from>
    <cdr:to>
      <cdr:x>0.41342</cdr:x>
      <cdr:y>0.66863</cdr:y>
    </cdr:to>
    <cdr:sp macro="" textlink="">
      <cdr:nvSpPr>
        <cdr:cNvPr id="6" name="CuadroTexto 1">
          <a:extLst xmlns:a="http://schemas.openxmlformats.org/drawingml/2006/main">
            <a:ext uri="{FF2B5EF4-FFF2-40B4-BE49-F238E27FC236}">
              <a16:creationId xmlns:a16="http://schemas.microsoft.com/office/drawing/2014/main" id="{80D1D634-9CA0-439E-9E8A-2B815FBF5D11}"/>
            </a:ext>
          </a:extLst>
        </cdr:cNvPr>
        <cdr:cNvSpPr txBox="1"/>
      </cdr:nvSpPr>
      <cdr:spPr>
        <a:xfrm xmlns:a="http://schemas.openxmlformats.org/drawingml/2006/main">
          <a:off x="1759729" y="1918032"/>
          <a:ext cx="658609" cy="29317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CO" sz="1100" b="1">
              <a:solidFill>
                <a:schemeClr val="accent2"/>
              </a:solidFill>
            </a:rPr>
            <a:t>Otros</a:t>
          </a:r>
        </a:p>
      </cdr:txBody>
    </cdr:sp>
  </cdr:relSizeAnchor>
</c:userShapes>
</file>

<file path=word/drawings/drawing4.xml><?xml version="1.0" encoding="utf-8"?>
<c:userShapes xmlns:c="http://schemas.openxmlformats.org/drawingml/2006/chart">
  <cdr:relSizeAnchor xmlns:cdr="http://schemas.openxmlformats.org/drawingml/2006/chartDrawing">
    <cdr:from>
      <cdr:x>0.15051</cdr:x>
      <cdr:y>0</cdr:y>
    </cdr:from>
    <cdr:to>
      <cdr:x>0.18714</cdr:x>
      <cdr:y>0.65487</cdr:y>
    </cdr:to>
    <cdr:sp macro="" textlink="">
      <cdr:nvSpPr>
        <cdr:cNvPr id="2" name="CuadroTexto 1">
          <a:extLst xmlns:a="http://schemas.openxmlformats.org/drawingml/2006/main">
            <a:ext uri="{FF2B5EF4-FFF2-40B4-BE49-F238E27FC236}">
              <a16:creationId xmlns:a16="http://schemas.microsoft.com/office/drawing/2014/main" id="{7E46B518-88B4-4658-BF0B-3DD8195C5D05}"/>
            </a:ext>
          </a:extLst>
        </cdr:cNvPr>
        <cdr:cNvSpPr txBox="1"/>
      </cdr:nvSpPr>
      <cdr:spPr>
        <a:xfrm xmlns:a="http://schemas.openxmlformats.org/drawingml/2006/main" rot="16200000">
          <a:off x="49417" y="831005"/>
          <a:ext cx="1876281" cy="2142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900">
              <a:solidFill>
                <a:schemeClr val="bg1">
                  <a:lumMod val="50000"/>
                </a:schemeClr>
              </a:solidFill>
            </a:rPr>
            <a:t>MM de CP $ </a:t>
          </a:r>
          <a:r>
            <a:rPr lang="es-CO" sz="900" baseline="0">
              <a:solidFill>
                <a:schemeClr val="bg1">
                  <a:lumMod val="50000"/>
                </a:schemeClr>
              </a:solidFill>
            </a:rPr>
            <a:t>reales de dic de 2021</a:t>
          </a:r>
          <a:endParaRPr lang="es-CO" sz="900">
            <a:solidFill>
              <a:schemeClr val="bg1">
                <a:lumMod val="50000"/>
              </a:schemeClr>
            </a:solidFill>
          </a:endParaRPr>
        </a:p>
      </cdr:txBody>
    </cdr:sp>
  </cdr:relSizeAnchor>
  <cdr:relSizeAnchor xmlns:cdr="http://schemas.openxmlformats.org/drawingml/2006/chartDrawing">
    <cdr:from>
      <cdr:x>0.00452</cdr:x>
      <cdr:y>0.90015</cdr:y>
    </cdr:from>
    <cdr:to>
      <cdr:x>0.98372</cdr:x>
      <cdr:y>0.97215</cdr:y>
    </cdr:to>
    <cdr:grpSp>
      <cdr:nvGrpSpPr>
        <cdr:cNvPr id="12" name="Grupo 11">
          <a:extLst xmlns:a="http://schemas.openxmlformats.org/drawingml/2006/main">
            <a:ext uri="{FF2B5EF4-FFF2-40B4-BE49-F238E27FC236}">
              <a16:creationId xmlns:a16="http://schemas.microsoft.com/office/drawing/2014/main" id="{3C8B29F4-1846-4199-B3ED-40C3CBCCA343}"/>
            </a:ext>
          </a:extLst>
        </cdr:cNvPr>
        <cdr:cNvGrpSpPr/>
      </cdr:nvGrpSpPr>
      <cdr:grpSpPr>
        <a:xfrm xmlns:a="http://schemas.openxmlformats.org/drawingml/2006/main">
          <a:off x="31730" y="3095188"/>
          <a:ext cx="6873911" cy="247574"/>
          <a:chOff x="31750" y="3112343"/>
          <a:chExt cx="6873875" cy="248942"/>
        </a:xfrm>
      </cdr:grpSpPr>
      <cdr:sp macro="" textlink="">
        <cdr:nvSpPr>
          <cdr:cNvPr id="3" name="CuadroTexto 2">
            <a:extLst xmlns:a="http://schemas.openxmlformats.org/drawingml/2006/main">
              <a:ext uri="{FF2B5EF4-FFF2-40B4-BE49-F238E27FC236}">
                <a16:creationId xmlns:a16="http://schemas.microsoft.com/office/drawing/2014/main" id="{E3B611A1-128C-496F-8DC7-BE60E8FCDB90}"/>
              </a:ext>
            </a:extLst>
          </cdr:cNvPr>
          <cdr:cNvSpPr txBox="1"/>
        </cdr:nvSpPr>
        <cdr:spPr>
          <a:xfrm xmlns:a="http://schemas.openxmlformats.org/drawingml/2006/main">
            <a:off x="1238250" y="3129343"/>
            <a:ext cx="723900" cy="2243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000">
                <a:solidFill>
                  <a:schemeClr val="tx1">
                    <a:lumMod val="65000"/>
                    <a:lumOff val="35000"/>
                  </a:schemeClr>
                </a:solidFill>
              </a:rPr>
              <a:t>$1.387.547</a:t>
            </a:r>
          </a:p>
        </cdr:txBody>
      </cdr:sp>
      <cdr:sp macro="" textlink="">
        <cdr:nvSpPr>
          <cdr:cNvPr id="4" name="CuadroTexto 1">
            <a:extLst xmlns:a="http://schemas.openxmlformats.org/drawingml/2006/main">
              <a:ext uri="{FF2B5EF4-FFF2-40B4-BE49-F238E27FC236}">
                <a16:creationId xmlns:a16="http://schemas.microsoft.com/office/drawing/2014/main" id="{712A09C7-BAEA-42DB-9119-9B7F649BFE09}"/>
              </a:ext>
            </a:extLst>
          </cdr:cNvPr>
          <cdr:cNvSpPr txBox="1"/>
        </cdr:nvSpPr>
        <cdr:spPr>
          <a:xfrm xmlns:a="http://schemas.openxmlformats.org/drawingml/2006/main">
            <a:off x="1955800" y="3122542"/>
            <a:ext cx="723900" cy="2243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$1.334.828</a:t>
            </a:r>
          </a:p>
        </cdr:txBody>
      </cdr:sp>
      <cdr:sp macro="" textlink="">
        <cdr:nvSpPr>
          <cdr:cNvPr id="5" name="CuadroTexto 1">
            <a:extLst xmlns:a="http://schemas.openxmlformats.org/drawingml/2006/main">
              <a:ext uri="{FF2B5EF4-FFF2-40B4-BE49-F238E27FC236}">
                <a16:creationId xmlns:a16="http://schemas.microsoft.com/office/drawing/2014/main" id="{4BAFADFA-F748-4593-B0CA-56318DCB1C13}"/>
              </a:ext>
            </a:extLst>
          </cdr:cNvPr>
          <cdr:cNvSpPr txBox="1"/>
        </cdr:nvSpPr>
        <cdr:spPr>
          <a:xfrm xmlns:a="http://schemas.openxmlformats.org/drawingml/2006/main">
            <a:off x="2708275" y="3122542"/>
            <a:ext cx="723900" cy="2243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$1.308.568</a:t>
            </a:r>
          </a:p>
        </cdr:txBody>
      </cdr:sp>
      <cdr:sp macro="" textlink="">
        <cdr:nvSpPr>
          <cdr:cNvPr id="6" name="CuadroTexto 1">
            <a:extLst xmlns:a="http://schemas.openxmlformats.org/drawingml/2006/main">
              <a:ext uri="{FF2B5EF4-FFF2-40B4-BE49-F238E27FC236}">
                <a16:creationId xmlns:a16="http://schemas.microsoft.com/office/drawing/2014/main" id="{B5098620-D7C4-4553-A5DA-0604C3769A8F}"/>
              </a:ext>
            </a:extLst>
          </cdr:cNvPr>
          <cdr:cNvSpPr txBox="1"/>
        </cdr:nvSpPr>
        <cdr:spPr>
          <a:xfrm xmlns:a="http://schemas.openxmlformats.org/drawingml/2006/main">
            <a:off x="3368675" y="3125941"/>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$1.976.355</a:t>
            </a:r>
          </a:p>
        </cdr:txBody>
      </cdr:sp>
      <cdr:sp macro="" textlink="">
        <cdr:nvSpPr>
          <cdr:cNvPr id="7" name="CuadroTexto 1">
            <a:extLst xmlns:a="http://schemas.openxmlformats.org/drawingml/2006/main">
              <a:ext uri="{FF2B5EF4-FFF2-40B4-BE49-F238E27FC236}">
                <a16:creationId xmlns:a16="http://schemas.microsoft.com/office/drawing/2014/main" id="{6150379D-283A-4E1E-A3F0-D277FCA51D6B}"/>
              </a:ext>
            </a:extLst>
          </cdr:cNvPr>
          <cdr:cNvSpPr txBox="1"/>
        </cdr:nvSpPr>
        <cdr:spPr>
          <a:xfrm xmlns:a="http://schemas.openxmlformats.org/drawingml/2006/main">
            <a:off x="4079875" y="3119144"/>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$2.255.130</a:t>
            </a:r>
          </a:p>
        </cdr:txBody>
      </cdr:sp>
      <cdr:sp macro="" textlink="">
        <cdr:nvSpPr>
          <cdr:cNvPr id="8" name="CuadroTexto 1">
            <a:extLst xmlns:a="http://schemas.openxmlformats.org/drawingml/2006/main">
              <a:ext uri="{FF2B5EF4-FFF2-40B4-BE49-F238E27FC236}">
                <a16:creationId xmlns:a16="http://schemas.microsoft.com/office/drawing/2014/main" id="{E5DF4B6D-C945-4680-B764-7FFDF0DAFEE3}"/>
              </a:ext>
            </a:extLst>
          </cdr:cNvPr>
          <cdr:cNvSpPr txBox="1"/>
        </cdr:nvSpPr>
        <cdr:spPr>
          <a:xfrm xmlns:a="http://schemas.openxmlformats.org/drawingml/2006/main">
            <a:off x="4797425" y="3112343"/>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$2.341.814</a:t>
            </a:r>
          </a:p>
        </cdr:txBody>
      </cdr:sp>
      <cdr:sp macro="" textlink="">
        <cdr:nvSpPr>
          <cdr:cNvPr id="9" name="CuadroTexto 1">
            <a:extLst xmlns:a="http://schemas.openxmlformats.org/drawingml/2006/main">
              <a:ext uri="{FF2B5EF4-FFF2-40B4-BE49-F238E27FC236}">
                <a16:creationId xmlns:a16="http://schemas.microsoft.com/office/drawing/2014/main" id="{6DBA6A90-6B27-44C4-BF7A-C655CFBD1444}"/>
              </a:ext>
            </a:extLst>
          </cdr:cNvPr>
          <cdr:cNvSpPr txBox="1"/>
        </cdr:nvSpPr>
        <cdr:spPr>
          <a:xfrm xmlns:a="http://schemas.openxmlformats.org/drawingml/2006/main">
            <a:off x="5549900" y="3112343"/>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$2.370.414</a:t>
            </a:r>
          </a:p>
        </cdr:txBody>
      </cdr:sp>
      <cdr:sp macro="" textlink="">
        <cdr:nvSpPr>
          <cdr:cNvPr id="10" name="CuadroTexto 1">
            <a:extLst xmlns:a="http://schemas.openxmlformats.org/drawingml/2006/main">
              <a:ext uri="{FF2B5EF4-FFF2-40B4-BE49-F238E27FC236}">
                <a16:creationId xmlns:a16="http://schemas.microsoft.com/office/drawing/2014/main" id="{8BCF7D3C-3EF4-435C-842D-4D42777B45F5}"/>
              </a:ext>
            </a:extLst>
          </cdr:cNvPr>
          <cdr:cNvSpPr txBox="1"/>
        </cdr:nvSpPr>
        <cdr:spPr>
          <a:xfrm xmlns:a="http://schemas.openxmlformats.org/drawingml/2006/main">
            <a:off x="6181725" y="3115742"/>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$2.281.820</a:t>
            </a:r>
          </a:p>
        </cdr:txBody>
      </cdr:sp>
      <cdr:sp macro="" textlink="">
        <cdr:nvSpPr>
          <cdr:cNvPr id="11" name="CuadroTexto 1">
            <a:extLst xmlns:a="http://schemas.openxmlformats.org/drawingml/2006/main">
              <a:ext uri="{FF2B5EF4-FFF2-40B4-BE49-F238E27FC236}">
                <a16:creationId xmlns:a16="http://schemas.microsoft.com/office/drawing/2014/main" id="{C88F96B5-A583-4F6C-BE0F-87526D1E07E5}"/>
              </a:ext>
            </a:extLst>
          </cdr:cNvPr>
          <cdr:cNvSpPr txBox="1"/>
        </cdr:nvSpPr>
        <cdr:spPr>
          <a:xfrm xmlns:a="http://schemas.openxmlformats.org/drawingml/2006/main">
            <a:off x="31750" y="3136900"/>
            <a:ext cx="723900" cy="224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a:solidFill>
                  <a:schemeClr val="tx1">
                    <a:lumMod val="65000"/>
                    <a:lumOff val="35000"/>
                  </a:schemeClr>
                </a:solidFill>
              </a:rPr>
              <a:t>Total</a:t>
            </a:r>
            <a:r>
              <a:rPr lang="es-CO" sz="1000" baseline="0">
                <a:solidFill>
                  <a:schemeClr val="tx1">
                    <a:lumMod val="65000"/>
                    <a:lumOff val="35000"/>
                  </a:schemeClr>
                </a:solidFill>
              </a:rPr>
              <a:t> mercado postal</a:t>
            </a:r>
            <a:endParaRPr lang="es-CO" sz="1000">
              <a:solidFill>
                <a:schemeClr val="tx1">
                  <a:lumMod val="65000"/>
                  <a:lumOff val="35000"/>
                </a:schemeClr>
              </a:solidFill>
            </a:endParaRPr>
          </a:p>
        </cdr:txBody>
      </cdr:sp>
    </cdr:grpSp>
  </cdr:relSizeAnchor>
  <cdr:relSizeAnchor xmlns:cdr="http://schemas.openxmlformats.org/drawingml/2006/chartDrawing">
    <cdr:from>
      <cdr:x>0.20126</cdr:x>
      <cdr:y>0.90863</cdr:y>
    </cdr:from>
    <cdr:to>
      <cdr:x>0.32501</cdr:x>
      <cdr:y>0.98652</cdr:y>
    </cdr:to>
    <cdr:sp macro="" textlink="">
      <cdr:nvSpPr>
        <cdr:cNvPr id="13" name="CuadroTexto 1"/>
        <cdr:cNvSpPr txBox="1"/>
      </cdr:nvSpPr>
      <cdr:spPr>
        <a:xfrm xmlns:a="http://schemas.openxmlformats.org/drawingml/2006/main">
          <a:off x="1177286" y="2603338"/>
          <a:ext cx="723890" cy="2231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$1.366.048</a:t>
          </a:r>
        </a:p>
      </cdr:txBody>
    </cdr:sp>
  </cdr:relSizeAnchor>
  <cdr:relSizeAnchor xmlns:cdr="http://schemas.openxmlformats.org/drawingml/2006/chartDrawing">
    <cdr:from>
      <cdr:x>0.29904</cdr:x>
      <cdr:y>0.90862</cdr:y>
    </cdr:from>
    <cdr:to>
      <cdr:x>0.42279</cdr:x>
      <cdr:y>0.98652</cdr:y>
    </cdr:to>
    <cdr:sp macro="" textlink="">
      <cdr:nvSpPr>
        <cdr:cNvPr id="14" name="CuadroTexto 1"/>
        <cdr:cNvSpPr txBox="1"/>
      </cdr:nvSpPr>
      <cdr:spPr>
        <a:xfrm xmlns:a="http://schemas.openxmlformats.org/drawingml/2006/main">
          <a:off x="1749262" y="2603309"/>
          <a:ext cx="723890" cy="223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$1.331.161</a:t>
          </a:r>
        </a:p>
      </cdr:txBody>
    </cdr:sp>
  </cdr:relSizeAnchor>
  <cdr:relSizeAnchor xmlns:cdr="http://schemas.openxmlformats.org/drawingml/2006/chartDrawing">
    <cdr:from>
      <cdr:x>0.39649</cdr:x>
      <cdr:y>0.90863</cdr:y>
    </cdr:from>
    <cdr:to>
      <cdr:x>0.52025</cdr:x>
      <cdr:y>0.98652</cdr:y>
    </cdr:to>
    <cdr:sp macro="" textlink="">
      <cdr:nvSpPr>
        <cdr:cNvPr id="15" name="CuadroTexto 1"/>
        <cdr:cNvSpPr txBox="1"/>
      </cdr:nvSpPr>
      <cdr:spPr>
        <a:xfrm xmlns:a="http://schemas.openxmlformats.org/drawingml/2006/main">
          <a:off x="2319293" y="2603338"/>
          <a:ext cx="723949" cy="2231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$1.365.577</a:t>
          </a:r>
        </a:p>
      </cdr:txBody>
    </cdr:sp>
  </cdr:relSizeAnchor>
  <cdr:relSizeAnchor xmlns:cdr="http://schemas.openxmlformats.org/drawingml/2006/chartDrawing">
    <cdr:from>
      <cdr:x>0.49083</cdr:x>
      <cdr:y>0.90862</cdr:y>
    </cdr:from>
    <cdr:to>
      <cdr:x>0.61459</cdr:x>
      <cdr:y>0.98652</cdr:y>
    </cdr:to>
    <cdr:sp macro="" textlink="">
      <cdr:nvSpPr>
        <cdr:cNvPr id="16" name="CuadroTexto 1"/>
        <cdr:cNvSpPr txBox="1"/>
      </cdr:nvSpPr>
      <cdr:spPr>
        <a:xfrm xmlns:a="http://schemas.openxmlformats.org/drawingml/2006/main">
          <a:off x="2871175" y="2603309"/>
          <a:ext cx="723949" cy="223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$1.976.355</a:t>
          </a:r>
        </a:p>
      </cdr:txBody>
    </cdr:sp>
  </cdr:relSizeAnchor>
  <cdr:relSizeAnchor xmlns:cdr="http://schemas.openxmlformats.org/drawingml/2006/chartDrawing">
    <cdr:from>
      <cdr:x>0.58894</cdr:x>
      <cdr:y>0.90862</cdr:y>
    </cdr:from>
    <cdr:to>
      <cdr:x>0.71269</cdr:x>
      <cdr:y>0.98652</cdr:y>
    </cdr:to>
    <cdr:sp macro="" textlink="">
      <cdr:nvSpPr>
        <cdr:cNvPr id="17" name="CuadroTexto 1"/>
        <cdr:cNvSpPr txBox="1"/>
      </cdr:nvSpPr>
      <cdr:spPr>
        <a:xfrm xmlns:a="http://schemas.openxmlformats.org/drawingml/2006/main">
          <a:off x="3445101" y="2603309"/>
          <a:ext cx="723890" cy="223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$2.255.130</a:t>
          </a:r>
        </a:p>
      </cdr:txBody>
    </cdr:sp>
  </cdr:relSizeAnchor>
  <cdr:relSizeAnchor xmlns:cdr="http://schemas.openxmlformats.org/drawingml/2006/chartDrawing">
    <cdr:from>
      <cdr:x>0.68614</cdr:x>
      <cdr:y>0.90862</cdr:y>
    </cdr:from>
    <cdr:to>
      <cdr:x>0.8099</cdr:x>
      <cdr:y>0.98652</cdr:y>
    </cdr:to>
    <cdr:sp macro="" textlink="">
      <cdr:nvSpPr>
        <cdr:cNvPr id="18" name="CuadroTexto 1"/>
        <cdr:cNvSpPr txBox="1"/>
      </cdr:nvSpPr>
      <cdr:spPr>
        <a:xfrm xmlns:a="http://schemas.openxmlformats.org/drawingml/2006/main">
          <a:off x="4013644" y="2603309"/>
          <a:ext cx="723949" cy="223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$2.341.814</a:t>
          </a:r>
        </a:p>
      </cdr:txBody>
    </cdr:sp>
  </cdr:relSizeAnchor>
  <cdr:relSizeAnchor xmlns:cdr="http://schemas.openxmlformats.org/drawingml/2006/chartDrawing">
    <cdr:from>
      <cdr:x>0.78097</cdr:x>
      <cdr:y>0.90862</cdr:y>
    </cdr:from>
    <cdr:to>
      <cdr:x>0.90473</cdr:x>
      <cdr:y>0.98652</cdr:y>
    </cdr:to>
    <cdr:sp macro="" textlink="">
      <cdr:nvSpPr>
        <cdr:cNvPr id="19" name="CuadroTexto 1"/>
        <cdr:cNvSpPr txBox="1"/>
      </cdr:nvSpPr>
      <cdr:spPr>
        <a:xfrm xmlns:a="http://schemas.openxmlformats.org/drawingml/2006/main">
          <a:off x="4568355" y="2603310"/>
          <a:ext cx="723949" cy="2231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$2.370.414</a:t>
          </a:r>
        </a:p>
      </cdr:txBody>
    </cdr:sp>
  </cdr:relSizeAnchor>
  <cdr:relSizeAnchor xmlns:cdr="http://schemas.openxmlformats.org/drawingml/2006/chartDrawing">
    <cdr:from>
      <cdr:x>0.87625</cdr:x>
      <cdr:y>0.90862</cdr:y>
    </cdr:from>
    <cdr:to>
      <cdr:x>1</cdr:x>
      <cdr:y>0.98652</cdr:y>
    </cdr:to>
    <cdr:sp macro="" textlink="">
      <cdr:nvSpPr>
        <cdr:cNvPr id="20" name="CuadroTexto 1"/>
        <cdr:cNvSpPr txBox="1"/>
      </cdr:nvSpPr>
      <cdr:spPr>
        <a:xfrm xmlns:a="http://schemas.openxmlformats.org/drawingml/2006/main">
          <a:off x="5125730" y="2603310"/>
          <a:ext cx="723890" cy="2231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$2.281.820</a:t>
          </a:r>
        </a:p>
      </cdr:txBody>
    </cdr:sp>
  </cdr:relSizeAnchor>
  <cdr:relSizeAnchor xmlns:cdr="http://schemas.openxmlformats.org/drawingml/2006/chartDrawing">
    <cdr:from>
      <cdr:x>0.01151</cdr:x>
      <cdr:y>0.90863</cdr:y>
    </cdr:from>
    <cdr:to>
      <cdr:x>0.13527</cdr:x>
      <cdr:y>0.98652</cdr:y>
    </cdr:to>
    <cdr:sp macro="" textlink="">
      <cdr:nvSpPr>
        <cdr:cNvPr id="21" name="CuadroTexto 1"/>
        <cdr:cNvSpPr txBox="1"/>
      </cdr:nvSpPr>
      <cdr:spPr>
        <a:xfrm xmlns:a="http://schemas.openxmlformats.org/drawingml/2006/main">
          <a:off x="67301" y="2603339"/>
          <a:ext cx="723949" cy="2231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tx1">
                  <a:lumMod val="65000"/>
                  <a:lumOff val="35000"/>
                </a:schemeClr>
              </a:solidFill>
            </a:rPr>
            <a:t>Total</a:t>
          </a:r>
          <a:r>
            <a:rPr lang="es-CO" sz="900" baseline="0">
              <a:solidFill>
                <a:schemeClr val="tx1">
                  <a:lumMod val="65000"/>
                  <a:lumOff val="35000"/>
                </a:schemeClr>
              </a:solidFill>
            </a:rPr>
            <a:t> mercado postal</a:t>
          </a:r>
          <a:endParaRPr lang="es-CO" sz="900">
            <a:solidFill>
              <a:schemeClr val="tx1">
                <a:lumMod val="65000"/>
                <a:lumOff val="35000"/>
              </a:schemeClr>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0.20122</cdr:x>
      <cdr:y>0.58467</cdr:y>
    </cdr:from>
    <cdr:to>
      <cdr:x>0.32147</cdr:x>
      <cdr:y>0.64564</cdr:y>
    </cdr:to>
    <cdr:sp macro="" textlink="">
      <cdr:nvSpPr>
        <cdr:cNvPr id="2" name="CuadroTexto 1">
          <a:extLst xmlns:a="http://schemas.openxmlformats.org/drawingml/2006/main">
            <a:ext uri="{FF2B5EF4-FFF2-40B4-BE49-F238E27FC236}">
              <a16:creationId xmlns:a16="http://schemas.microsoft.com/office/drawing/2014/main" id="{05F79635-97EC-4986-A6F5-2E959B52266C}"/>
            </a:ext>
          </a:extLst>
        </cdr:cNvPr>
        <cdr:cNvSpPr txBox="1"/>
      </cdr:nvSpPr>
      <cdr:spPr>
        <a:xfrm xmlns:a="http://schemas.openxmlformats.org/drawingml/2006/main">
          <a:off x="781038" y="2074431"/>
          <a:ext cx="466743" cy="2163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050">
              <a:solidFill>
                <a:schemeClr val="bg1">
                  <a:lumMod val="95000"/>
                </a:schemeClr>
              </a:solidFill>
            </a:rPr>
            <a:t>88,5%</a:t>
          </a:r>
        </a:p>
      </cdr:txBody>
    </cdr:sp>
  </cdr:relSizeAnchor>
  <cdr:relSizeAnchor xmlns:cdr="http://schemas.openxmlformats.org/drawingml/2006/chartDrawing">
    <cdr:from>
      <cdr:x>0.20941</cdr:x>
      <cdr:y>0.12116</cdr:y>
    </cdr:from>
    <cdr:to>
      <cdr:x>0.32965</cdr:x>
      <cdr:y>0.18213</cdr:y>
    </cdr:to>
    <cdr:sp macro="" textlink="">
      <cdr:nvSpPr>
        <cdr:cNvPr id="3" name="CuadroTexto 1">
          <a:extLst xmlns:a="http://schemas.openxmlformats.org/drawingml/2006/main">
            <a:ext uri="{FF2B5EF4-FFF2-40B4-BE49-F238E27FC236}">
              <a16:creationId xmlns:a16="http://schemas.microsoft.com/office/drawing/2014/main" id="{4A07F015-BF33-4408-A664-2B94F37FE09B}"/>
            </a:ext>
          </a:extLst>
        </cdr:cNvPr>
        <cdr:cNvSpPr txBox="1"/>
      </cdr:nvSpPr>
      <cdr:spPr>
        <a:xfrm xmlns:a="http://schemas.openxmlformats.org/drawingml/2006/main">
          <a:off x="812745" y="429828"/>
          <a:ext cx="466666" cy="21630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bg1">
                  <a:lumMod val="50000"/>
                </a:schemeClr>
              </a:solidFill>
            </a:rPr>
            <a:t>11,5%</a:t>
          </a:r>
        </a:p>
      </cdr:txBody>
    </cdr:sp>
  </cdr:relSizeAnchor>
  <cdr:relSizeAnchor xmlns:cdr="http://schemas.openxmlformats.org/drawingml/2006/chartDrawing">
    <cdr:from>
      <cdr:x>0.67076</cdr:x>
      <cdr:y>0.12382</cdr:y>
    </cdr:from>
    <cdr:to>
      <cdr:x>0.79101</cdr:x>
      <cdr:y>0.1848</cdr:y>
    </cdr:to>
    <cdr:sp macro="" textlink="">
      <cdr:nvSpPr>
        <cdr:cNvPr id="4" name="CuadroTexto 1">
          <a:extLst xmlns:a="http://schemas.openxmlformats.org/drawingml/2006/main">
            <a:ext uri="{FF2B5EF4-FFF2-40B4-BE49-F238E27FC236}">
              <a16:creationId xmlns:a16="http://schemas.microsoft.com/office/drawing/2014/main" id="{F6A53EED-6E80-4A90-A93C-1F779D9C9536}"/>
            </a:ext>
          </a:extLst>
        </cdr:cNvPr>
        <cdr:cNvSpPr txBox="1"/>
      </cdr:nvSpPr>
      <cdr:spPr>
        <a:xfrm xmlns:a="http://schemas.openxmlformats.org/drawingml/2006/main">
          <a:off x="2603300" y="439295"/>
          <a:ext cx="466705" cy="21634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a:solidFill>
                <a:schemeClr val="bg1">
                  <a:lumMod val="50000"/>
                </a:schemeClr>
              </a:solidFill>
            </a:rPr>
            <a:t>32,1%</a:t>
          </a:r>
        </a:p>
      </cdr:txBody>
    </cdr:sp>
  </cdr:relSizeAnchor>
  <cdr:relSizeAnchor xmlns:cdr="http://schemas.openxmlformats.org/drawingml/2006/chartDrawing">
    <cdr:from>
      <cdr:x>0.66584</cdr:x>
      <cdr:y>0.66131</cdr:y>
    </cdr:from>
    <cdr:to>
      <cdr:x>0.78609</cdr:x>
      <cdr:y>0.72228</cdr:y>
    </cdr:to>
    <cdr:sp macro="" textlink="">
      <cdr:nvSpPr>
        <cdr:cNvPr id="5" name="CuadroTexto 1">
          <a:extLst xmlns:a="http://schemas.openxmlformats.org/drawingml/2006/main">
            <a:ext uri="{FF2B5EF4-FFF2-40B4-BE49-F238E27FC236}">
              <a16:creationId xmlns:a16="http://schemas.microsoft.com/office/drawing/2014/main" id="{4F864D83-3623-4CCA-83F0-2AD355C204F9}"/>
            </a:ext>
          </a:extLst>
        </cdr:cNvPr>
        <cdr:cNvSpPr txBox="1"/>
      </cdr:nvSpPr>
      <cdr:spPr>
        <a:xfrm xmlns:a="http://schemas.openxmlformats.org/drawingml/2006/main">
          <a:off x="2584431" y="2346355"/>
          <a:ext cx="466743" cy="2163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50">
              <a:solidFill>
                <a:schemeClr val="bg1">
                  <a:lumMod val="95000"/>
                </a:schemeClr>
              </a:solidFill>
            </a:rPr>
            <a:t>67,9%</a:t>
          </a:r>
        </a:p>
      </cdr:txBody>
    </cdr:sp>
  </cdr:relSizeAnchor>
</c:userShapes>
</file>

<file path=word/drawings/drawing6.xml><?xml version="1.0" encoding="utf-8"?>
<c:userShapes xmlns:c="http://schemas.openxmlformats.org/drawingml/2006/chart">
  <cdr:relSizeAnchor xmlns:cdr="http://schemas.openxmlformats.org/drawingml/2006/chartDrawing">
    <cdr:from>
      <cdr:x>0.75681</cdr:x>
      <cdr:y>0.09245</cdr:y>
    </cdr:from>
    <cdr:to>
      <cdr:x>0.75681</cdr:x>
      <cdr:y>0.79859</cdr:y>
    </cdr:to>
    <cdr:cxnSp macro="">
      <cdr:nvCxnSpPr>
        <cdr:cNvPr id="2" name="Conector recto 1"/>
        <cdr:cNvCxnSpPr>
          <a:cxnSpLocks xmlns:a="http://schemas.openxmlformats.org/drawingml/2006/main"/>
        </cdr:cNvCxnSpPr>
      </cdr:nvCxnSpPr>
      <cdr:spPr>
        <a:xfrm xmlns:a="http://schemas.openxmlformats.org/drawingml/2006/main">
          <a:off x="4431840" y="222016"/>
          <a:ext cx="0" cy="1695845"/>
        </a:xfrm>
        <a:prstGeom xmlns:a="http://schemas.openxmlformats.org/drawingml/2006/main" prst="line">
          <a:avLst/>
        </a:prstGeom>
        <a:ln xmlns:a="http://schemas.openxmlformats.org/drawingml/2006/main" w="15875">
          <a:solidFill>
            <a:schemeClr val="bg1">
              <a:lumMod val="6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0.10358</cdr:x>
      <cdr:y>0.48216</cdr:y>
    </cdr:from>
    <cdr:to>
      <cdr:x>0.18244</cdr:x>
      <cdr:y>0.56287</cdr:y>
    </cdr:to>
    <cdr:sp macro="" textlink="">
      <cdr:nvSpPr>
        <cdr:cNvPr id="2" name="CuadroTexto 1">
          <a:extLst xmlns:a="http://schemas.openxmlformats.org/drawingml/2006/main">
            <a:ext uri="{FF2B5EF4-FFF2-40B4-BE49-F238E27FC236}">
              <a16:creationId xmlns:a16="http://schemas.microsoft.com/office/drawing/2014/main" id="{E64468BD-1923-40ED-AB4B-694B5CB2B2D5}"/>
            </a:ext>
          </a:extLst>
        </cdr:cNvPr>
        <cdr:cNvSpPr txBox="1"/>
      </cdr:nvSpPr>
      <cdr:spPr>
        <a:xfrm xmlns:a="http://schemas.openxmlformats.org/drawingml/2006/main">
          <a:off x="605909" y="1860607"/>
          <a:ext cx="461301" cy="3114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a:solidFill>
                <a:schemeClr val="bg1">
                  <a:lumMod val="95000"/>
                </a:schemeClr>
              </a:solidFill>
            </a:rPr>
            <a:t>76,8%</a:t>
          </a:r>
        </a:p>
      </cdr:txBody>
    </cdr:sp>
  </cdr:relSizeAnchor>
  <cdr:relSizeAnchor xmlns:cdr="http://schemas.openxmlformats.org/drawingml/2006/chartDrawing">
    <cdr:from>
      <cdr:x>0.10542</cdr:x>
      <cdr:y>0.21609</cdr:y>
    </cdr:from>
    <cdr:to>
      <cdr:x>0.18428</cdr:x>
      <cdr:y>0.29681</cdr:y>
    </cdr:to>
    <cdr:sp macro="" textlink="">
      <cdr:nvSpPr>
        <cdr:cNvPr id="3" name="CuadroTexto 1">
          <a:extLst xmlns:a="http://schemas.openxmlformats.org/drawingml/2006/main">
            <a:ext uri="{FF2B5EF4-FFF2-40B4-BE49-F238E27FC236}">
              <a16:creationId xmlns:a16="http://schemas.microsoft.com/office/drawing/2014/main" id="{357BC8E6-40DF-45E7-9F3E-15E566093C42}"/>
            </a:ext>
          </a:extLst>
        </cdr:cNvPr>
        <cdr:cNvSpPr txBox="1"/>
      </cdr:nvSpPr>
      <cdr:spPr>
        <a:xfrm xmlns:a="http://schemas.openxmlformats.org/drawingml/2006/main">
          <a:off x="616672" y="833871"/>
          <a:ext cx="461301" cy="3114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a:solidFill>
                <a:schemeClr val="bg1">
                  <a:lumMod val="95000"/>
                </a:schemeClr>
              </a:solidFill>
            </a:rPr>
            <a:t>23,2%</a:t>
          </a:r>
        </a:p>
      </cdr:txBody>
    </cdr:sp>
  </cdr:relSizeAnchor>
  <cdr:relSizeAnchor xmlns:cdr="http://schemas.openxmlformats.org/drawingml/2006/chartDrawing">
    <cdr:from>
      <cdr:x>0.34016</cdr:x>
      <cdr:y>0.49561</cdr:y>
    </cdr:from>
    <cdr:to>
      <cdr:x>0.41902</cdr:x>
      <cdr:y>0.57633</cdr:y>
    </cdr:to>
    <cdr:sp macro="" textlink="">
      <cdr:nvSpPr>
        <cdr:cNvPr id="4" name="CuadroTexto 1">
          <a:extLst xmlns:a="http://schemas.openxmlformats.org/drawingml/2006/main">
            <a:ext uri="{FF2B5EF4-FFF2-40B4-BE49-F238E27FC236}">
              <a16:creationId xmlns:a16="http://schemas.microsoft.com/office/drawing/2014/main" id="{87DB9467-5AC0-4408-9C1F-DAD31E5BFA6A}"/>
            </a:ext>
          </a:extLst>
        </cdr:cNvPr>
        <cdr:cNvSpPr txBox="1"/>
      </cdr:nvSpPr>
      <cdr:spPr>
        <a:xfrm xmlns:a="http://schemas.openxmlformats.org/drawingml/2006/main">
          <a:off x="1989812" y="1912509"/>
          <a:ext cx="461301" cy="3114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a:solidFill>
                <a:schemeClr val="bg1">
                  <a:lumMod val="95000"/>
                </a:schemeClr>
              </a:solidFill>
            </a:rPr>
            <a:t>73,2%</a:t>
          </a:r>
        </a:p>
      </cdr:txBody>
    </cdr:sp>
  </cdr:relSizeAnchor>
  <cdr:relSizeAnchor xmlns:cdr="http://schemas.openxmlformats.org/drawingml/2006/chartDrawing">
    <cdr:from>
      <cdr:x>0.342</cdr:x>
      <cdr:y>0.22954</cdr:y>
    </cdr:from>
    <cdr:to>
      <cdr:x>0.42086</cdr:x>
      <cdr:y>0.31026</cdr:y>
    </cdr:to>
    <cdr:sp macro="" textlink="">
      <cdr:nvSpPr>
        <cdr:cNvPr id="5" name="CuadroTexto 1">
          <a:extLst xmlns:a="http://schemas.openxmlformats.org/drawingml/2006/main">
            <a:ext uri="{FF2B5EF4-FFF2-40B4-BE49-F238E27FC236}">
              <a16:creationId xmlns:a16="http://schemas.microsoft.com/office/drawing/2014/main" id="{E29B09FC-B217-4B79-9757-A478706841F3}"/>
            </a:ext>
          </a:extLst>
        </cdr:cNvPr>
        <cdr:cNvSpPr txBox="1"/>
      </cdr:nvSpPr>
      <cdr:spPr>
        <a:xfrm xmlns:a="http://schemas.openxmlformats.org/drawingml/2006/main">
          <a:off x="2000575" y="885773"/>
          <a:ext cx="461301" cy="3114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a:solidFill>
                <a:schemeClr val="bg1">
                  <a:lumMod val="95000"/>
                </a:schemeClr>
              </a:solidFill>
            </a:rPr>
            <a:t>26,8%</a:t>
          </a:r>
        </a:p>
      </cdr:txBody>
    </cdr:sp>
  </cdr:relSizeAnchor>
  <cdr:relSizeAnchor xmlns:cdr="http://schemas.openxmlformats.org/drawingml/2006/chartDrawing">
    <cdr:from>
      <cdr:x>0.58009</cdr:x>
      <cdr:y>0.51803</cdr:y>
    </cdr:from>
    <cdr:to>
      <cdr:x>0.65895</cdr:x>
      <cdr:y>0.59875</cdr:y>
    </cdr:to>
    <cdr:sp macro="" textlink="">
      <cdr:nvSpPr>
        <cdr:cNvPr id="6" name="CuadroTexto 1">
          <a:extLst xmlns:a="http://schemas.openxmlformats.org/drawingml/2006/main">
            <a:ext uri="{FF2B5EF4-FFF2-40B4-BE49-F238E27FC236}">
              <a16:creationId xmlns:a16="http://schemas.microsoft.com/office/drawing/2014/main" id="{3D993BD4-CA20-4BAF-98BB-3FC393B14A35}"/>
            </a:ext>
          </a:extLst>
        </cdr:cNvPr>
        <cdr:cNvSpPr txBox="1"/>
      </cdr:nvSpPr>
      <cdr:spPr>
        <a:xfrm xmlns:a="http://schemas.openxmlformats.org/drawingml/2006/main">
          <a:off x="3393311" y="1999025"/>
          <a:ext cx="461301" cy="3114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a:solidFill>
                <a:schemeClr val="bg1">
                  <a:lumMod val="95000"/>
                </a:schemeClr>
              </a:solidFill>
            </a:rPr>
            <a:t>68,6%</a:t>
          </a:r>
        </a:p>
      </cdr:txBody>
    </cdr:sp>
  </cdr:relSizeAnchor>
  <cdr:relSizeAnchor xmlns:cdr="http://schemas.openxmlformats.org/drawingml/2006/chartDrawing">
    <cdr:from>
      <cdr:x>0.58193</cdr:x>
      <cdr:y>0.25196</cdr:y>
    </cdr:from>
    <cdr:to>
      <cdr:x>0.66079</cdr:x>
      <cdr:y>0.33268</cdr:y>
    </cdr:to>
    <cdr:sp macro="" textlink="">
      <cdr:nvSpPr>
        <cdr:cNvPr id="7" name="CuadroTexto 1">
          <a:extLst xmlns:a="http://schemas.openxmlformats.org/drawingml/2006/main">
            <a:ext uri="{FF2B5EF4-FFF2-40B4-BE49-F238E27FC236}">
              <a16:creationId xmlns:a16="http://schemas.microsoft.com/office/drawing/2014/main" id="{7131A141-8B91-4D9D-8C27-3131385D7AA5}"/>
            </a:ext>
          </a:extLst>
        </cdr:cNvPr>
        <cdr:cNvSpPr txBox="1"/>
      </cdr:nvSpPr>
      <cdr:spPr>
        <a:xfrm xmlns:a="http://schemas.openxmlformats.org/drawingml/2006/main">
          <a:off x="3404074" y="972289"/>
          <a:ext cx="461301" cy="3114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a:solidFill>
                <a:schemeClr val="bg1">
                  <a:lumMod val="95000"/>
                </a:schemeClr>
              </a:solidFill>
            </a:rPr>
            <a:t>31,4%</a:t>
          </a:r>
        </a:p>
      </cdr:txBody>
    </cdr:sp>
  </cdr:relSizeAnchor>
  <cdr:relSizeAnchor xmlns:cdr="http://schemas.openxmlformats.org/drawingml/2006/chartDrawing">
    <cdr:from>
      <cdr:x>0.81667</cdr:x>
      <cdr:y>0.53148</cdr:y>
    </cdr:from>
    <cdr:to>
      <cdr:x>0.89553</cdr:x>
      <cdr:y>0.6122</cdr:y>
    </cdr:to>
    <cdr:sp macro="" textlink="">
      <cdr:nvSpPr>
        <cdr:cNvPr id="8" name="CuadroTexto 1">
          <a:extLst xmlns:a="http://schemas.openxmlformats.org/drawingml/2006/main">
            <a:ext uri="{FF2B5EF4-FFF2-40B4-BE49-F238E27FC236}">
              <a16:creationId xmlns:a16="http://schemas.microsoft.com/office/drawing/2014/main" id="{44DF3A88-03C8-494B-BF27-68AD1FBE3026}"/>
            </a:ext>
          </a:extLst>
        </cdr:cNvPr>
        <cdr:cNvSpPr txBox="1"/>
      </cdr:nvSpPr>
      <cdr:spPr>
        <a:xfrm xmlns:a="http://schemas.openxmlformats.org/drawingml/2006/main">
          <a:off x="4777214" y="2050927"/>
          <a:ext cx="461301" cy="3114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a:solidFill>
                <a:schemeClr val="bg1">
                  <a:lumMod val="95000"/>
                </a:schemeClr>
              </a:solidFill>
            </a:rPr>
            <a:t>64,9%</a:t>
          </a:r>
        </a:p>
      </cdr:txBody>
    </cdr:sp>
  </cdr:relSizeAnchor>
  <cdr:relSizeAnchor xmlns:cdr="http://schemas.openxmlformats.org/drawingml/2006/chartDrawing">
    <cdr:from>
      <cdr:x>0.81851</cdr:x>
      <cdr:y>0.26542</cdr:y>
    </cdr:from>
    <cdr:to>
      <cdr:x>0.89737</cdr:x>
      <cdr:y>0.34614</cdr:y>
    </cdr:to>
    <cdr:sp macro="" textlink="">
      <cdr:nvSpPr>
        <cdr:cNvPr id="9" name="CuadroTexto 1">
          <a:extLst xmlns:a="http://schemas.openxmlformats.org/drawingml/2006/main">
            <a:ext uri="{FF2B5EF4-FFF2-40B4-BE49-F238E27FC236}">
              <a16:creationId xmlns:a16="http://schemas.microsoft.com/office/drawing/2014/main" id="{7CAEBA28-1EED-40F7-BB2A-31909F24AD49}"/>
            </a:ext>
          </a:extLst>
        </cdr:cNvPr>
        <cdr:cNvSpPr txBox="1"/>
      </cdr:nvSpPr>
      <cdr:spPr>
        <a:xfrm xmlns:a="http://schemas.openxmlformats.org/drawingml/2006/main">
          <a:off x="4787977" y="1024230"/>
          <a:ext cx="461301" cy="3114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a:solidFill>
                <a:schemeClr val="bg1">
                  <a:lumMod val="95000"/>
                </a:schemeClr>
              </a:solidFill>
            </a:rPr>
            <a:t>35,1%</a:t>
          </a:r>
        </a:p>
      </cdr:txBody>
    </cdr:sp>
  </cdr:relSizeAnchor>
</c:userShapes>
</file>

<file path=word/drawings/drawing8.xml><?xml version="1.0" encoding="utf-8"?>
<c:userShapes xmlns:c="http://schemas.openxmlformats.org/drawingml/2006/chart">
  <cdr:relSizeAnchor xmlns:cdr="http://schemas.openxmlformats.org/drawingml/2006/chartDrawing">
    <cdr:from>
      <cdr:x>0.72703</cdr:x>
      <cdr:y>0.07686</cdr:y>
    </cdr:from>
    <cdr:to>
      <cdr:x>0.72703</cdr:x>
      <cdr:y>0.87107</cdr:y>
    </cdr:to>
    <cdr:cxnSp macro="">
      <cdr:nvCxnSpPr>
        <cdr:cNvPr id="2" name="Conector recto 1"/>
        <cdr:cNvCxnSpPr>
          <a:cxnSpLocks xmlns:a="http://schemas.openxmlformats.org/drawingml/2006/main"/>
        </cdr:cNvCxnSpPr>
      </cdr:nvCxnSpPr>
      <cdr:spPr>
        <a:xfrm xmlns:a="http://schemas.openxmlformats.org/drawingml/2006/main">
          <a:off x="4252828" y="151201"/>
          <a:ext cx="0" cy="1562394"/>
        </a:xfrm>
        <a:prstGeom xmlns:a="http://schemas.openxmlformats.org/drawingml/2006/main" prst="line">
          <a:avLst/>
        </a:prstGeom>
        <a:ln xmlns:a="http://schemas.openxmlformats.org/drawingml/2006/main" w="15875">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0.73571</cdr:x>
      <cdr:y>0.04311</cdr:y>
    </cdr:from>
    <cdr:to>
      <cdr:x>0.73571</cdr:x>
      <cdr:y>0.82202</cdr:y>
    </cdr:to>
    <cdr:cxnSp macro="">
      <cdr:nvCxnSpPr>
        <cdr:cNvPr id="2" name="Conector recto 1"/>
        <cdr:cNvCxnSpPr>
          <a:cxnSpLocks xmlns:a="http://schemas.openxmlformats.org/drawingml/2006/main"/>
        </cdr:cNvCxnSpPr>
      </cdr:nvCxnSpPr>
      <cdr:spPr>
        <a:xfrm xmlns:a="http://schemas.openxmlformats.org/drawingml/2006/main">
          <a:off x="4303649" y="79284"/>
          <a:ext cx="0" cy="1432383"/>
        </a:xfrm>
        <a:prstGeom xmlns:a="http://schemas.openxmlformats.org/drawingml/2006/main" prst="line">
          <a:avLst/>
        </a:prstGeom>
        <a:ln xmlns:a="http://schemas.openxmlformats.org/drawingml/2006/main" w="15875">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D9F43ADC-A2A0-45D7-A382-B0E5AF77F3B1}"/>
      </w:docPartPr>
      <w:docPartBody>
        <w:p w:rsidR="00F90A79" w:rsidRDefault="00F90A79"/>
      </w:docPartBody>
    </w:docPart>
    <w:docPart>
      <w:docPartPr>
        <w:name w:val="9C31A22F12F64C068BE2C263A13FF447"/>
        <w:category>
          <w:name w:val="General"/>
          <w:gallery w:val="placeholder"/>
        </w:category>
        <w:types>
          <w:type w:val="bbPlcHdr"/>
        </w:types>
        <w:behaviors>
          <w:behavior w:val="content"/>
        </w:behaviors>
        <w:guid w:val="{D66A31F6-76CA-46A3-84E5-9F5D0486B1DD}"/>
      </w:docPartPr>
      <w:docPartBody>
        <w:p w:rsidR="003F130D" w:rsidRDefault="003F130D"/>
      </w:docPartBody>
    </w:docPart>
    <w:docPart>
      <w:docPartPr>
        <w:name w:val="037534CEE78A4392B0EE63179171347D"/>
        <w:category>
          <w:name w:val="General"/>
          <w:gallery w:val="placeholder"/>
        </w:category>
        <w:types>
          <w:type w:val="bbPlcHdr"/>
        </w:types>
        <w:behaviors>
          <w:behavior w:val="content"/>
        </w:behaviors>
        <w:guid w:val="{DA4B4F29-08AA-40A9-8E79-0F349DDF3836}"/>
      </w:docPartPr>
      <w:docPartBody>
        <w:p w:rsidR="007E4BBB" w:rsidRDefault="007E4BB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90A79"/>
    <w:rsid w:val="0005483E"/>
    <w:rsid w:val="0008018A"/>
    <w:rsid w:val="000B218B"/>
    <w:rsid w:val="000B2724"/>
    <w:rsid w:val="00127305"/>
    <w:rsid w:val="001B2D68"/>
    <w:rsid w:val="001B392C"/>
    <w:rsid w:val="00243AF2"/>
    <w:rsid w:val="00266CE1"/>
    <w:rsid w:val="0029348D"/>
    <w:rsid w:val="00323245"/>
    <w:rsid w:val="00332A45"/>
    <w:rsid w:val="00374C0A"/>
    <w:rsid w:val="003A23A1"/>
    <w:rsid w:val="003A5F0D"/>
    <w:rsid w:val="003C3144"/>
    <w:rsid w:val="003E0A04"/>
    <w:rsid w:val="003E21B8"/>
    <w:rsid w:val="003F130D"/>
    <w:rsid w:val="004142A4"/>
    <w:rsid w:val="00425CC9"/>
    <w:rsid w:val="004B033D"/>
    <w:rsid w:val="004C332A"/>
    <w:rsid w:val="004C5ECF"/>
    <w:rsid w:val="0051062A"/>
    <w:rsid w:val="00560471"/>
    <w:rsid w:val="005D534A"/>
    <w:rsid w:val="005F0298"/>
    <w:rsid w:val="00632EA5"/>
    <w:rsid w:val="00634323"/>
    <w:rsid w:val="006463F0"/>
    <w:rsid w:val="00752EBE"/>
    <w:rsid w:val="007E4BBB"/>
    <w:rsid w:val="008537A1"/>
    <w:rsid w:val="008A6B8C"/>
    <w:rsid w:val="008C220C"/>
    <w:rsid w:val="00953DDF"/>
    <w:rsid w:val="009C3502"/>
    <w:rsid w:val="00A5263C"/>
    <w:rsid w:val="00A918ED"/>
    <w:rsid w:val="00AB6217"/>
    <w:rsid w:val="00B75E90"/>
    <w:rsid w:val="00BB6B06"/>
    <w:rsid w:val="00BF0506"/>
    <w:rsid w:val="00C90386"/>
    <w:rsid w:val="00CC7F0F"/>
    <w:rsid w:val="00D1113D"/>
    <w:rsid w:val="00DD4C7B"/>
    <w:rsid w:val="00E50898"/>
    <w:rsid w:val="00EF7C33"/>
    <w:rsid w:val="00F255B2"/>
    <w:rsid w:val="00F43A85"/>
    <w:rsid w:val="00F477F6"/>
    <w:rsid w:val="00F83832"/>
    <w:rsid w:val="00F90A79"/>
    <w:rsid w:val="00FF3E2E"/>
    <w:rsid w:val="00FF62A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US" w:eastAsia="es-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Ley19</b:Tag>
    <b:SourceType>Misc</b:SourceType>
    <b:Guid>{A60FD4B7-2F72-43A4-9022-9E35D6E5A0E4}</b:Guid>
    <b:Title>Ley 1978</b:Title>
    <b:Year>2019</b:Year>
    <b:Month>julio</b:Month>
    <b:Day>25</b:Day>
    <b:RefOrder>6</b:RefOrder>
  </b:Source>
  <b:Source>
    <b:Tag>UTE</b:Tag>
    <b:SourceType>Misc</b:SourceType>
    <b:Guid>{5EAA1B5F-CFA4-43A6-AC2A-4E45EDAC7820}</b:Guid>
    <b:Author>
      <b:Author>
        <b:Corporate>UT Econometría S.A. - AFIANZA LTDA.</b:Corporate>
      </b:Author>
    </b:Author>
    <b:Title>Producto 3: Nuevo modelo de cargas económicas y esquema de único fondo del sector TIC y Propuesta normativa”.</b:Title>
    <b:PublicationTitle>Contrato de Consultoría No. DNP-587-2016.</b:PublicationTitle>
    <b:Year>2017.</b:Year>
    <b:Month>5</b:Month>
    <b:Day>Mayo</b:Day>
    <b:RefOrder>12</b:RefOrder>
  </b:Source>
  <b:Source>
    <b:Tag>Min18</b:Tag>
    <b:SourceType>Misc</b:SourceType>
    <b:Guid>{AEF3D5B9-CCAD-42D5-AA33-EE10D62159BB}</b:Guid>
    <b:Author>
      <b:Author>
        <b:Corporate>MinTIC</b:Corporate>
      </b:Author>
    </b:Author>
    <b:Title>Plan TIC. “El Futuro Digital es de Todos” </b:Title>
    <b:Year>2018</b:Year>
    <b:RefOrder>13</b:RefOrder>
  </b:Source>
  <b:Source>
    <b:Tag>Ley09</b:Tag>
    <b:SourceType>Misc</b:SourceType>
    <b:Guid>{4300B696-4F70-42E5-8C14-72FD4BFC1168}</b:Guid>
    <b:Year>2009</b:Year>
    <b:Author>
      <b:Author>
        <b:Corporate>Ley 1369</b:Corporate>
      </b:Author>
    </b:Author>
    <b:Month>diciembre</b:Month>
    <b:Day>30</b:Day>
    <b:RefOrder>1</b:RefOrder>
  </b:Source>
  <b:Source>
    <b:Tag>Dec141</b:Tag>
    <b:SourceType>Misc</b:SourceType>
    <b:Guid>{8B629B27-D8A4-427B-9F2B-7788A70D5603}</b:Guid>
    <b:Author>
      <b:Author>
        <b:Corporate>Decreto 223</b:Corporate>
      </b:Author>
    </b:Author>
    <b:Year>2014</b:Year>
    <b:Month>Febrero</b:Month>
    <b:Day>12</b:Day>
    <b:RefOrder>8</b:RefOrder>
  </b:Source>
  <b:Source>
    <b:Tag>DNP16</b:Tag>
    <b:SourceType>Misc</b:SourceType>
    <b:Guid>{41134142-F995-4732-A49F-91B13F0569CE}</b:Guid>
    <b:Author>
      <b:Author>
        <b:Corporate>DNP</b:Corporate>
      </b:Author>
    </b:Author>
    <b:Title>Contrato de Consultoría No. DNP-587-2016</b:Title>
    <b:Year>2016 </b:Year>
    <b:Month>noviembre</b:Month>
    <b:Day>23</b:Day>
    <b:City>Bogotá</b:City>
    <b:RefOrder>14</b:RefOrder>
  </b:Source>
  <b:Source>
    <b:Tag>Min10</b:Tag>
    <b:SourceType>Misc</b:SourceType>
    <b:Guid>{AB099EB2-8434-4824-B913-D76B587451AF}</b:Guid>
    <b:Author>
      <b:Author>
        <b:Corporate>MinTIC-Econometría</b:Corporate>
      </b:Author>
    </b:Author>
    <b:Title>Estructura y características del mercado postal colombiano</b:Title>
    <b:Year>2010</b:Year>
    <b:RefOrder>15</b:RefOrder>
  </b:Source>
  <b:Source>
    <b:Tag>FON12</b:Tag>
    <b:SourceType>Misc</b:SourceType>
    <b:Guid>{A3400057-74D0-4647-9CAA-97F63716AC95}</b:Guid>
    <b:Author>
      <b:Author>
        <b:Corporate>FONADE-SAI</b:Corporate>
      </b:Author>
    </b:Author>
    <b:Title>Consultoría para establecer el modelo que asegure la prestación del servicio postal universal — SPU, a cargo de la Nación</b:Title>
    <b:PublicationTitle>Contrato No. 2122379 de 2012. Sistemas Administración e Ingeniería LTDA,</b:PublicationTitle>
    <b:Year>2012</b:Year>
    <b:RefOrder>16</b:RefOrder>
  </b:Source>
  <b:Source>
    <b:Tag>Min203</b:Tag>
    <b:SourceType>Misc</b:SourceType>
    <b:Guid>{AF61E48C-176E-4783-AEB1-D5FAC8717CE4}</b:Guid>
    <b:Author>
      <b:Author>
        <b:Corporate>MinTIC</b:Corporate>
      </b:Author>
    </b:Author>
    <b:Title>Definición para el FUTIC de la tasa de contraprestación periódica para el sector postal 2020 -2022</b:Title>
    <b:Year>2020</b:Year>
    <b:Month>Mayo</b:Month>
    <b:Day>11</b:Day>
    <b:City>Bogotá</b:City>
    <b:RefOrder>2</b:RefOrder>
  </b:Source>
  <b:Source>
    <b:Tag>Col22</b:Tag>
    <b:SourceType>Misc</b:SourceType>
    <b:Guid>{DB29FBED-5569-4A73-AF80-232E96E79F6E}</b:Guid>
    <b:Title>Giros Fintech</b:Title>
    <b:Author>
      <b:Author>
        <b:Corporate>Colombia Fintech</b:Corporate>
      </b:Author>
    </b:Author>
    <b:YearAccessed>2022</b:YearAccessed>
    <b:MonthAccessed>04</b:MonthAccessed>
    <b:DayAccessed>01</b:DayAccessed>
    <b:URL>https://colombiafintech.co/lineaDeTiempo/articulo/cuales-son-y-como-estan-las-billeteras-digitales-en-colombia</b:URL>
    <b:Year>2022</b:Year>
    <b:RefOrder>11</b:RefOrder>
  </b:Source>
  <b:Source>
    <b:Tag>Dec15</b:Tag>
    <b:SourceType>Misc</b:SourceType>
    <b:Guid>{48FDE126-712D-487E-AB47-416D9A30CB0B}</b:Guid>
    <b:Title>Decreto 1078</b:Title>
    <b:PublicationTitle>Por el cual se compila el Decreto 223 de 2014</b:PublicationTitle>
    <b:Year>2015</b:Year>
    <b:RefOrder>7</b:RefOrder>
  </b:Source>
  <b:Source>
    <b:Tag>Bla22</b:Tag>
    <b:SourceType>Misc</b:SourceType>
    <b:Guid>{8C1C9B0F-1901-4E40-80F8-3FCE0F448B5E}</b:Guid>
    <b:Title>BLACKINDEX: el reporte del e-commerce en Colombia 2019.</b:Title>
    <b:Year>2022</b:Year>
    <b:Month>mayo</b:Month>
    <b:Day>3</b:Day>
    <b:City>Bogotá</b:City>
    <b:Author>
      <b:Author>
        <b:Corporate>BlackSip</b:Corporate>
      </b:Author>
    </b:Author>
    <b:YearAccessed>2022</b:YearAccessed>
    <b:MonthAccessed>mayo</b:MonthAccessed>
    <b:DayAccessed>4</b:DayAccessed>
    <b:URL>https://content.blacksip.com/hubfs/EBOOK%20BLACKINDEX%20REPORTE%202019%20ECOMMERCE%20COLOMBIA%20by%20BLACKSIP%202.pdf?utm_medium=email&amp;_hsenc=p2ANqtz-81wecDYK02e3T9ooTPVtyhueu8U6OA2HSZhPRBUgXJzbkLzUf</b:URL>
    <b:RefOrder>4</b:RefOrder>
  </b:Source>
  <b:Source>
    <b:Tag>Ban22</b:Tag>
    <b:SourceType>InternetSite</b:SourceType>
    <b:Guid>{4FD8EFA8-7B29-4A2C-BDE0-36F5BE8712F2}</b:Guid>
    <b:Title>Banca de las Oportunidades</b:Title>
    <b:Year>2022</b:Year>
    <b:Month>mayo</b:Month>
    <b:Day>4</b:Day>
    <b:Author>
      <b:Author>
        <b:Corporate>BanOpor</b:Corporate>
      </b:Author>
    </b:Author>
    <b:URL>https://www.bancadelasoportunidades.gov.co/es/estadisticas </b:URL>
    <b:RefOrder>5</b:RefOrder>
  </b:Source>
  <b:Source>
    <b:Tag>Ley22</b:Tag>
    <b:SourceType>InternetSite</b:SourceType>
    <b:Guid>{285B60B4-4344-4899-AA61-BC2A845695B2}</b:Guid>
    <b:Author>
      <b:Author>
        <b:Corporate>Ley 2159 de 2021</b:Corporate>
      </b:Author>
    </b:Author>
    <b:URL>https://dapre.presidencia.gov.co/normativa/normativa/LEY%202159%20DEL%2012%20DE%20NOVIEMBRE%20DE%202021.pdf</b:URL>
    <b:YearAccessed>2022</b:YearAccessed>
    <b:MonthAccessed>mayo</b:MonthAccessed>
    <b:DayAccessed>2</b:DayAccessed>
    <b:Year>2021</b:Year>
    <b:Month>noviembre</b:Month>
    <b:Day>12</b:Day>
    <b:RefOrder>9</b:RefOrder>
  </b:Source>
  <b:Source>
    <b:Tag>CCC</b:Tag>
    <b:SourceType>DocumentFromInternetSite</b:SourceType>
    <b:Guid>{1D2AAB31-6636-472F-A51A-358E1847ACA2}</b:Guid>
    <b:Author>
      <b:Author>
        <b:Corporate>CCCE</b:Corporate>
      </b:Author>
    </b:Author>
    <b:Title>CCCE. https://www.ccce.org.co/gestion-gremial/ </b:Title>
    <b:URL>https://drive.google.com/file/d/1wc0L5j-CiO2S6BqshObtmYErk1eyj4P1/view</b:URL>
    <b:Year>2022</b:Year>
    <b:Month>mayo</b:Month>
    <b:YearAccessed>2022</b:YearAccessed>
    <b:MonthAccessed>05</b:MonthAccessed>
    <b:DayAccessed>20</b:DayAccessed>
    <b:Version>Informe Trimestral del comportamiento del Comerci electrónico en Colombia. Primer Trimestre de 2022.</b:Version>
    <b:RefOrder>10</b:RefOrder>
  </b:Source>
  <b:Source>
    <b:Tag>DNP</b:Tag>
    <b:SourceType>Misc</b:SourceType>
    <b:Guid>{248349A9-BF7A-48A7-B504-EBAB6B63BC16}</b:Guid>
    <b:Author>
      <b:Author>
        <b:Corporate>DNP</b:Corporate>
      </b:Author>
    </b:Author>
    <b:Title>Bases del Plan Nacional de Desarrollo. Pacto por Colombia. Pacto por la equidad.</b:Title>
    <b:City>Bogotá</b:City>
    <b:Year>2019</b:Year>
    <b:RefOrder>17</b:RefOrder>
  </b:Source>
  <b:Source>
    <b:Tag>Dec20</b:Tag>
    <b:SourceType>DocumentFromInternetSite</b:SourceType>
    <b:Guid>{D39A07E1-DB5E-4A74-BD84-D4E2E1445E63}</b:Guid>
    <b:Author>
      <b:Author>
        <b:Corporate>Decreto 887</b:Corporate>
      </b:Author>
    </b:Author>
    <b:Year>2020</b:Year>
    <b:Month>junio</b:Month>
    <b:Day>25</b:Day>
    <b:RefOrder>3</b:RefOrder>
  </b:Source>
</b:Sources>
</file>

<file path=customXml/itemProps1.xml><?xml version="1.0" encoding="utf-8"?>
<ds:datastoreItem xmlns:ds="http://schemas.openxmlformats.org/officeDocument/2006/customXml" ds:itemID="{EB0BAD66-0563-42EF-AC46-4D45B8246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85</Pages>
  <Words>23729</Words>
  <Characters>130514</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Definición de la contraprestación periódica PARA EL SECTOR POStal - perIodo 2022 - 2024</vt:lpstr>
    </vt:vector>
  </TitlesOfParts>
  <Company/>
  <LinksUpToDate>false</LinksUpToDate>
  <CharactersWithSpaces>153936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Definición de la contraprestación periódica PARA EL SECTOR POStal - perIodo 2022 - 2024</dc:title>
  <dc:subject>El artículo 36 de la Ley 1978 de julio de 2019 modifica la Ley 1341 de 2009 y define que todos los PRST pagarán una contraprestación periódica única como un único porcentaje sobre sus ingresos brutos.</dc:subject>
  <dc:creator>Francisco Castro C.</dc:creator>
  <cp:keywords/>
  <dc:description/>
  <cp:lastModifiedBy>Jairo Luis Marulanda Lazcarro</cp:lastModifiedBy>
  <cp:revision>11</cp:revision>
  <cp:lastPrinted>2022-05-05T15:35:00Z</cp:lastPrinted>
  <dcterms:created xsi:type="dcterms:W3CDTF">2022-05-24T12:57:00Z</dcterms:created>
  <dcterms:modified xsi:type="dcterms:W3CDTF">2022-05-31T05:17:00Z</dcterms:modified>
</cp:coreProperties>
</file>