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9F7CED"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8C703D" w:rsidRDefault="00795C6B" w:rsidP="002264B8">
            <w:pPr>
              <w:pStyle w:val="Ttulo2"/>
              <w:ind w:right="72"/>
              <w:jc w:val="left"/>
              <w:rPr>
                <w:rFonts w:cs="Arial"/>
                <w:bCs/>
                <w:sz w:val="22"/>
                <w:szCs w:val="22"/>
              </w:rPr>
            </w:pPr>
            <w:r w:rsidRPr="008C703D">
              <w:rPr>
                <w:rFonts w:cs="Arial"/>
                <w:sz w:val="22"/>
                <w:szCs w:val="22"/>
                <w:lang w:val="es-CO"/>
              </w:rPr>
              <w:t>Entidad</w:t>
            </w:r>
            <w:r w:rsidR="00086B16" w:rsidRPr="008C703D">
              <w:rPr>
                <w:rFonts w:cs="Arial"/>
                <w:sz w:val="22"/>
                <w:szCs w:val="22"/>
                <w:lang w:val="es-CO"/>
              </w:rPr>
              <w:t xml:space="preserve"> </w:t>
            </w:r>
            <w:r w:rsidRPr="008C703D">
              <w:rPr>
                <w:rFonts w:cs="Arial"/>
                <w:sz w:val="22"/>
                <w:szCs w:val="22"/>
                <w:lang w:val="es-CO"/>
              </w:rPr>
              <w:t>originadora</w:t>
            </w:r>
            <w:r w:rsidR="00293F29" w:rsidRPr="008C703D">
              <w:rPr>
                <w:rFonts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9406CB6" w14:textId="68828CD3" w:rsidR="0026513E" w:rsidRPr="00084B49" w:rsidRDefault="004156D2" w:rsidP="00795C6B">
            <w:pPr>
              <w:pStyle w:val="Ttulo2"/>
              <w:ind w:left="72" w:right="72"/>
              <w:jc w:val="left"/>
              <w:rPr>
                <w:rFonts w:cs="Arial"/>
                <w:b w:val="0"/>
                <w:i/>
                <w:color w:val="808080"/>
                <w:sz w:val="22"/>
                <w:szCs w:val="22"/>
              </w:rPr>
            </w:pPr>
            <w:r>
              <w:rPr>
                <w:rFonts w:cs="Arial"/>
                <w:b w:val="0"/>
                <w:i/>
                <w:color w:val="808080"/>
                <w:sz w:val="22"/>
                <w:szCs w:val="22"/>
              </w:rPr>
              <w:t>Dirección de Industria de Comunicaciones</w:t>
            </w:r>
          </w:p>
        </w:tc>
      </w:tr>
      <w:tr w:rsidR="005C4522" w:rsidRPr="009F7CED"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8C703D" w:rsidRDefault="0026513E" w:rsidP="002264B8">
            <w:pPr>
              <w:pStyle w:val="Ttulo2"/>
              <w:ind w:right="72"/>
              <w:jc w:val="left"/>
              <w:rPr>
                <w:rFonts w:cs="Arial"/>
                <w:bCs/>
                <w:sz w:val="22"/>
                <w:szCs w:val="22"/>
              </w:rPr>
            </w:pPr>
            <w:r w:rsidRPr="008C703D">
              <w:rPr>
                <w:rFonts w:cs="Arial"/>
                <w:bCs/>
                <w:sz w:val="22"/>
                <w:szCs w:val="22"/>
              </w:rPr>
              <w:t>Fecha</w:t>
            </w:r>
            <w:r w:rsidR="00BB545F" w:rsidRPr="008C703D">
              <w:rPr>
                <w:rFonts w:cs="Arial"/>
                <w:bCs/>
                <w:sz w:val="22"/>
                <w:szCs w:val="22"/>
              </w:rPr>
              <w:t xml:space="preserve"> (</w:t>
            </w:r>
            <w:proofErr w:type="spellStart"/>
            <w:r w:rsidR="00BB545F" w:rsidRPr="008C703D">
              <w:rPr>
                <w:rFonts w:cs="Arial"/>
                <w:bCs/>
                <w:sz w:val="22"/>
                <w:szCs w:val="22"/>
              </w:rPr>
              <w:t>dd</w:t>
            </w:r>
            <w:proofErr w:type="spellEnd"/>
            <w:r w:rsidR="00BB545F" w:rsidRPr="008C703D">
              <w:rPr>
                <w:rFonts w:cs="Arial"/>
                <w:bCs/>
                <w:sz w:val="22"/>
                <w:szCs w:val="22"/>
              </w:rPr>
              <w:t>/mm/</w:t>
            </w:r>
            <w:proofErr w:type="spellStart"/>
            <w:r w:rsidR="00BB545F" w:rsidRPr="008C703D">
              <w:rPr>
                <w:rFonts w:cs="Arial"/>
                <w:bCs/>
                <w:sz w:val="22"/>
                <w:szCs w:val="22"/>
              </w:rPr>
              <w:t>aa</w:t>
            </w:r>
            <w:proofErr w:type="spellEnd"/>
            <w:r w:rsidR="00BB545F" w:rsidRPr="008C703D">
              <w:rPr>
                <w:rFonts w:cs="Arial"/>
                <w:bCs/>
                <w:sz w:val="22"/>
                <w:szCs w:val="22"/>
              </w:rPr>
              <w:t>)</w:t>
            </w:r>
            <w:r w:rsidR="00293F29" w:rsidRPr="008C703D">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5178B63B" w:rsidR="00C47F73" w:rsidRPr="009F7CED" w:rsidRDefault="00794954" w:rsidP="005F30C3">
            <w:pPr>
              <w:pStyle w:val="Ttulo2"/>
              <w:ind w:left="72" w:right="72"/>
              <w:jc w:val="left"/>
              <w:rPr>
                <w:rFonts w:cs="Arial"/>
                <w:b w:val="0"/>
                <w:sz w:val="22"/>
                <w:szCs w:val="22"/>
              </w:rPr>
            </w:pPr>
            <w:r>
              <w:rPr>
                <w:rFonts w:cs="Arial"/>
                <w:b w:val="0"/>
                <w:i/>
                <w:color w:val="808080"/>
                <w:sz w:val="22"/>
                <w:szCs w:val="22"/>
              </w:rPr>
              <w:t>2</w:t>
            </w:r>
            <w:r w:rsidR="008D0EB0">
              <w:rPr>
                <w:rFonts w:cs="Arial"/>
                <w:b w:val="0"/>
                <w:i/>
                <w:color w:val="808080"/>
                <w:sz w:val="22"/>
                <w:szCs w:val="22"/>
              </w:rPr>
              <w:t>8</w:t>
            </w:r>
            <w:r>
              <w:rPr>
                <w:rFonts w:cs="Arial"/>
                <w:b w:val="0"/>
                <w:i/>
                <w:color w:val="808080"/>
                <w:sz w:val="22"/>
                <w:szCs w:val="22"/>
              </w:rPr>
              <w:t>/0</w:t>
            </w:r>
            <w:r w:rsidR="008D0EB0">
              <w:rPr>
                <w:rFonts w:cs="Arial"/>
                <w:b w:val="0"/>
                <w:i/>
                <w:color w:val="808080"/>
                <w:sz w:val="22"/>
                <w:szCs w:val="22"/>
              </w:rPr>
              <w:t>5</w:t>
            </w:r>
            <w:r>
              <w:rPr>
                <w:rFonts w:cs="Arial"/>
                <w:b w:val="0"/>
                <w:i/>
                <w:color w:val="808080"/>
                <w:sz w:val="22"/>
                <w:szCs w:val="22"/>
              </w:rPr>
              <w:t>/2025</w:t>
            </w:r>
          </w:p>
        </w:tc>
      </w:tr>
      <w:tr w:rsidR="005C4522" w:rsidRPr="009F7CED"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7777777" w:rsidR="0059316B" w:rsidRPr="008C703D" w:rsidRDefault="00A55DB6" w:rsidP="002264B8">
            <w:pPr>
              <w:pStyle w:val="Ttulo2"/>
              <w:ind w:right="72"/>
              <w:jc w:val="left"/>
              <w:rPr>
                <w:rFonts w:cs="Arial"/>
                <w:bCs/>
                <w:sz w:val="22"/>
                <w:szCs w:val="22"/>
              </w:rPr>
            </w:pPr>
            <w:r w:rsidRPr="008C703D">
              <w:rPr>
                <w:rFonts w:cs="Arial"/>
                <w:bCs/>
                <w:sz w:val="22"/>
                <w:szCs w:val="22"/>
              </w:rPr>
              <w:t xml:space="preserve">Proyecto de </w:t>
            </w:r>
            <w:r w:rsidR="00587695" w:rsidRPr="008C703D">
              <w:rPr>
                <w:rFonts w:cs="Arial"/>
                <w:bCs/>
                <w:sz w:val="22"/>
                <w:szCs w:val="22"/>
              </w:rPr>
              <w:t>D</w:t>
            </w:r>
            <w:r w:rsidRPr="008C703D">
              <w:rPr>
                <w:rFonts w:cs="Arial"/>
                <w:bCs/>
                <w:sz w:val="22"/>
                <w:szCs w:val="22"/>
              </w:rPr>
              <w:t>ecreto</w:t>
            </w:r>
            <w:r w:rsidR="00795C6B" w:rsidRPr="008C703D">
              <w:rPr>
                <w:rFonts w:cs="Arial"/>
                <w:bCs/>
                <w:sz w:val="22"/>
                <w:szCs w:val="22"/>
              </w:rPr>
              <w:t>/Resolución</w:t>
            </w:r>
            <w:r w:rsidR="00293F29" w:rsidRPr="008C703D">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5F80A8D6" w14:textId="350F922B" w:rsidR="00023135" w:rsidRPr="00023135" w:rsidRDefault="00B54C9F" w:rsidP="00023135">
            <w:pPr>
              <w:pStyle w:val="Textoindependiente"/>
              <w:rPr>
                <w:rFonts w:ascii="Arial Narrow" w:eastAsia="Arial Narrow" w:hAnsi="Arial Narrow" w:cs="Arial Narrow"/>
                <w:i/>
                <w:color w:val="000000" w:themeColor="text1"/>
              </w:rPr>
            </w:pPr>
            <w:r w:rsidRPr="005736D6">
              <w:rPr>
                <w:rFonts w:ascii="Arial Narrow" w:eastAsia="Arial Narrow" w:hAnsi="Arial Narrow" w:cs="Arial Narrow"/>
                <w:i/>
                <w:color w:val="000000" w:themeColor="text1"/>
                <w:sz w:val="20"/>
              </w:rPr>
              <w:t>“</w:t>
            </w:r>
            <w:bookmarkStart w:id="0" w:name="_Hlk199353183"/>
            <w:r w:rsidR="00023135" w:rsidRPr="00023135">
              <w:rPr>
                <w:rFonts w:ascii="Arial Narrow" w:eastAsia="Arial Narrow" w:hAnsi="Arial Narrow" w:cs="Arial Narrow"/>
                <w:i/>
                <w:color w:val="000000" w:themeColor="text1"/>
              </w:rPr>
              <w:t xml:space="preserve">Por la cual se </w:t>
            </w:r>
            <w:r w:rsidR="00023135" w:rsidRPr="00023135">
              <w:rPr>
                <w:rFonts w:ascii="Arial Narrow" w:eastAsia="Arial Narrow" w:hAnsi="Arial Narrow" w:cs="Arial Narrow"/>
                <w:i/>
                <w:color w:val="000000" w:themeColor="text1"/>
                <w:lang w:val="es-CO"/>
              </w:rPr>
              <w:t>compilan y simplifican las disposiciones contenidas en las normas de carácter general vigentes expedidas por las extintas Comisión Nacional de Televisión – CNTV- y la Autoridad Nacional de Televisión – ANTV-, de conformidad con las funciones asignadas al Ministerio de Tecnologías de la Información y las Comunicaciones</w:t>
            </w:r>
            <w:r w:rsidR="00023135" w:rsidRPr="00023135">
              <w:rPr>
                <w:rFonts w:ascii="Arial Narrow" w:eastAsia="Arial Narrow" w:hAnsi="Arial Narrow" w:cs="Arial Narrow"/>
                <w:i/>
                <w:color w:val="000000" w:themeColor="text1"/>
              </w:rPr>
              <w:t>”</w:t>
            </w:r>
          </w:p>
          <w:bookmarkEnd w:id="0"/>
          <w:p w14:paraId="74136248" w14:textId="65D9F6E0" w:rsidR="001F238A" w:rsidRPr="009F7CED" w:rsidRDefault="001F238A" w:rsidP="005F30C3">
            <w:pPr>
              <w:pStyle w:val="Ttulo2"/>
              <w:ind w:left="72" w:right="72"/>
              <w:jc w:val="left"/>
              <w:rPr>
                <w:rFonts w:cs="Arial"/>
                <w:spacing w:val="-3"/>
                <w:sz w:val="22"/>
                <w:szCs w:val="22"/>
              </w:rPr>
            </w:pPr>
          </w:p>
        </w:tc>
      </w:tr>
      <w:tr w:rsidR="00DF60FD" w:rsidRPr="009F7CED"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9F7CED" w:rsidRDefault="006315B4" w:rsidP="0075705D">
            <w:pPr>
              <w:autoSpaceDE w:val="0"/>
              <w:autoSpaceDN w:val="0"/>
              <w:adjustRightInd w:val="0"/>
              <w:jc w:val="both"/>
              <w:rPr>
                <w:rFonts w:eastAsia="Calibri" w:cs="Arial"/>
                <w:sz w:val="22"/>
                <w:szCs w:val="22"/>
                <w:lang w:val="es-CO" w:eastAsia="en-US"/>
              </w:rPr>
            </w:pPr>
          </w:p>
          <w:p w14:paraId="23A54342" w14:textId="77777777" w:rsidR="0095690D" w:rsidRPr="005F30C3" w:rsidRDefault="0095690D" w:rsidP="0075705D">
            <w:pPr>
              <w:numPr>
                <w:ilvl w:val="0"/>
                <w:numId w:val="44"/>
              </w:numPr>
              <w:ind w:left="494"/>
              <w:rPr>
                <w:rFonts w:cs="Arial"/>
                <w:b/>
                <w:color w:val="000000"/>
                <w:sz w:val="22"/>
                <w:szCs w:val="22"/>
                <w:lang w:val="es-CO"/>
              </w:rPr>
            </w:pPr>
            <w:r w:rsidRPr="005F30C3">
              <w:rPr>
                <w:rFonts w:cs="Arial"/>
                <w:b/>
                <w:color w:val="000000"/>
                <w:sz w:val="22"/>
                <w:szCs w:val="22"/>
                <w:lang w:val="es-CO"/>
              </w:rPr>
              <w:t>ANTECEDENTES Y RAZONES DE OPORTUNIDAD Y CONVENIENCIA QUE JUSTIFICAN SU EXPEDICIÓN.</w:t>
            </w:r>
          </w:p>
          <w:p w14:paraId="71D4FA16" w14:textId="77777777" w:rsidR="004156D2" w:rsidRDefault="004156D2" w:rsidP="00EF08D3">
            <w:pPr>
              <w:autoSpaceDE w:val="0"/>
              <w:autoSpaceDN w:val="0"/>
              <w:adjustRightInd w:val="0"/>
              <w:ind w:left="426"/>
              <w:jc w:val="both"/>
              <w:rPr>
                <w:rFonts w:eastAsia="Calibri" w:cs="Arial"/>
                <w:sz w:val="22"/>
                <w:szCs w:val="22"/>
                <w:lang w:eastAsia="en-US"/>
              </w:rPr>
            </w:pPr>
          </w:p>
          <w:p w14:paraId="5DD03969" w14:textId="7EEB4B15" w:rsidR="00EF08D3" w:rsidRPr="00EF08D3" w:rsidRDefault="00EF08D3" w:rsidP="00EF08D3">
            <w:pPr>
              <w:autoSpaceDE w:val="0"/>
              <w:autoSpaceDN w:val="0"/>
              <w:adjustRightInd w:val="0"/>
              <w:ind w:left="426"/>
              <w:jc w:val="both"/>
              <w:rPr>
                <w:rFonts w:eastAsia="Calibri" w:cs="Arial"/>
                <w:sz w:val="22"/>
                <w:szCs w:val="22"/>
                <w:lang w:eastAsia="en-US"/>
              </w:rPr>
            </w:pPr>
            <w:r w:rsidRPr="00EF08D3">
              <w:rPr>
                <w:rFonts w:eastAsia="Calibri" w:cs="Arial"/>
                <w:sz w:val="22"/>
                <w:szCs w:val="22"/>
                <w:lang w:eastAsia="en-US"/>
              </w:rPr>
              <w:t xml:space="preserve">La extinta Comisión Nacional de Televisión CNTV </w:t>
            </w:r>
            <w:r>
              <w:rPr>
                <w:rFonts w:eastAsia="Calibri" w:cs="Arial"/>
                <w:sz w:val="22"/>
                <w:szCs w:val="22"/>
                <w:lang w:eastAsia="en-US"/>
              </w:rPr>
              <w:t>en el marco de sus competencias, expidió normatividad aplicable a la prestación del servicio de Televisión, en todas sus modalidades</w:t>
            </w:r>
            <w:r w:rsidR="007A60CE">
              <w:rPr>
                <w:rFonts w:eastAsia="Calibri" w:cs="Arial"/>
                <w:sz w:val="22"/>
                <w:szCs w:val="22"/>
                <w:lang w:eastAsia="en-US"/>
              </w:rPr>
              <w:t>.</w:t>
            </w:r>
            <w:r>
              <w:rPr>
                <w:rFonts w:eastAsia="Calibri" w:cs="Arial"/>
                <w:sz w:val="22"/>
                <w:szCs w:val="22"/>
                <w:lang w:eastAsia="en-US"/>
              </w:rPr>
              <w:t xml:space="preserve"> </w:t>
            </w:r>
          </w:p>
          <w:p w14:paraId="1837655C" w14:textId="77777777" w:rsidR="00EF08D3" w:rsidRPr="00EF08D3" w:rsidRDefault="00EF08D3" w:rsidP="00EF08D3">
            <w:pPr>
              <w:autoSpaceDE w:val="0"/>
              <w:autoSpaceDN w:val="0"/>
              <w:adjustRightInd w:val="0"/>
              <w:ind w:left="426"/>
              <w:jc w:val="both"/>
              <w:rPr>
                <w:rFonts w:eastAsia="Calibri" w:cs="Arial"/>
                <w:sz w:val="22"/>
                <w:szCs w:val="22"/>
                <w:lang w:eastAsia="en-US"/>
              </w:rPr>
            </w:pPr>
          </w:p>
          <w:p w14:paraId="6EE11E23" w14:textId="65C0758D" w:rsidR="00B71ED2" w:rsidRDefault="00EF08D3" w:rsidP="00EF08D3">
            <w:pPr>
              <w:autoSpaceDE w:val="0"/>
              <w:autoSpaceDN w:val="0"/>
              <w:adjustRightInd w:val="0"/>
              <w:ind w:left="426"/>
              <w:jc w:val="both"/>
              <w:rPr>
                <w:rFonts w:eastAsia="Calibri" w:cs="Arial"/>
                <w:sz w:val="22"/>
                <w:szCs w:val="22"/>
                <w:lang w:eastAsia="en-US"/>
              </w:rPr>
            </w:pPr>
            <w:r>
              <w:rPr>
                <w:rFonts w:eastAsia="Calibri" w:cs="Arial"/>
                <w:sz w:val="22"/>
                <w:szCs w:val="22"/>
                <w:lang w:eastAsia="en-US"/>
              </w:rPr>
              <w:t>Sin embargo, m</w:t>
            </w:r>
            <w:r w:rsidRPr="00EF08D3">
              <w:rPr>
                <w:rFonts w:eastAsia="Calibri" w:cs="Arial"/>
                <w:sz w:val="22"/>
                <w:szCs w:val="22"/>
                <w:lang w:eastAsia="en-US"/>
              </w:rPr>
              <w:t xml:space="preserve">ediante la Ley 1507 de 2012 se ordenó la liquidación de la Comisión Nacional de Televisión </w:t>
            </w:r>
            <w:r>
              <w:rPr>
                <w:rFonts w:eastAsia="Calibri" w:cs="Arial"/>
                <w:sz w:val="22"/>
                <w:szCs w:val="22"/>
                <w:lang w:eastAsia="en-US"/>
              </w:rPr>
              <w:t xml:space="preserve">y </w:t>
            </w:r>
            <w:r w:rsidR="00B71ED2">
              <w:rPr>
                <w:rFonts w:eastAsia="Calibri" w:cs="Arial"/>
                <w:sz w:val="22"/>
                <w:szCs w:val="22"/>
                <w:lang w:eastAsia="en-US"/>
              </w:rPr>
              <w:t xml:space="preserve">creó la Autoridad Nacional de Televisión </w:t>
            </w:r>
            <w:r w:rsidR="00794954">
              <w:rPr>
                <w:rFonts w:eastAsia="Calibri" w:cs="Arial"/>
                <w:sz w:val="22"/>
                <w:szCs w:val="22"/>
                <w:lang w:eastAsia="en-US"/>
              </w:rPr>
              <w:t>ANTV, entidad</w:t>
            </w:r>
            <w:r w:rsidR="00B71ED2">
              <w:rPr>
                <w:rFonts w:eastAsia="Calibri" w:cs="Arial"/>
                <w:sz w:val="22"/>
                <w:szCs w:val="22"/>
                <w:lang w:eastAsia="en-US"/>
              </w:rPr>
              <w:t xml:space="preserve"> que tuvo </w:t>
            </w:r>
            <w:r w:rsidR="00794954">
              <w:rPr>
                <w:rFonts w:eastAsia="Calibri" w:cs="Arial"/>
                <w:sz w:val="22"/>
                <w:szCs w:val="22"/>
                <w:lang w:eastAsia="en-US"/>
              </w:rPr>
              <w:t>por</w:t>
            </w:r>
            <w:r w:rsidR="00B71ED2">
              <w:rPr>
                <w:rFonts w:eastAsia="Calibri" w:cs="Arial"/>
                <w:sz w:val="22"/>
                <w:szCs w:val="22"/>
                <w:lang w:eastAsia="en-US"/>
              </w:rPr>
              <w:t xml:space="preserve"> objeto </w:t>
            </w:r>
            <w:r w:rsidR="00B71ED2" w:rsidRPr="00B71ED2">
              <w:rPr>
                <w:rFonts w:eastAsia="Calibri" w:cs="Arial"/>
                <w:sz w:val="22"/>
                <w:szCs w:val="22"/>
                <w:lang w:eastAsia="en-US"/>
              </w:rPr>
              <w:t>brindar las herramientas para la ejecución de los planes y programas de la prestación del servicio público de televisión, con el fin de velar por el acceso a la televisión, garantizar el pluralismo e imparcialidad informativa, la competencia y la eficiencia en la prestación del servicio, así como evitar las prácticas monopolísticas en su operación y explotación, en los términos de la Constitución y la ley.</w:t>
            </w:r>
            <w:r w:rsidR="00B71ED2">
              <w:rPr>
                <w:rFonts w:eastAsia="Calibri" w:cs="Arial"/>
                <w:sz w:val="22"/>
                <w:szCs w:val="22"/>
                <w:lang w:eastAsia="en-US"/>
              </w:rPr>
              <w:t xml:space="preserve"> </w:t>
            </w:r>
            <w:r w:rsidR="00794954">
              <w:rPr>
                <w:rFonts w:eastAsia="Calibri" w:cs="Arial"/>
                <w:sz w:val="22"/>
                <w:szCs w:val="22"/>
                <w:lang w:eastAsia="en-US"/>
              </w:rPr>
              <w:t>Además de ser el principal</w:t>
            </w:r>
            <w:r w:rsidR="00B71ED2" w:rsidRPr="00B71ED2">
              <w:rPr>
                <w:rFonts w:eastAsia="Calibri" w:cs="Arial"/>
                <w:sz w:val="22"/>
                <w:szCs w:val="22"/>
                <w:lang w:eastAsia="en-US"/>
              </w:rPr>
              <w:t xml:space="preserve"> interlocutor con los usuarios del servicio de televisión y la opinión pública en relación con la difusión, protección y defensa de los intereses de los televidentes</w:t>
            </w:r>
            <w:r w:rsidR="00B71ED2">
              <w:rPr>
                <w:rFonts w:eastAsia="Calibri" w:cs="Arial"/>
                <w:sz w:val="22"/>
                <w:szCs w:val="22"/>
                <w:lang w:eastAsia="en-US"/>
              </w:rPr>
              <w:t>.</w:t>
            </w:r>
          </w:p>
          <w:p w14:paraId="49F3BCCE" w14:textId="77777777" w:rsidR="00B71ED2" w:rsidRDefault="00B71ED2" w:rsidP="00EF08D3">
            <w:pPr>
              <w:autoSpaceDE w:val="0"/>
              <w:autoSpaceDN w:val="0"/>
              <w:adjustRightInd w:val="0"/>
              <w:ind w:left="426"/>
              <w:jc w:val="both"/>
              <w:rPr>
                <w:rFonts w:eastAsia="Calibri" w:cs="Arial"/>
                <w:sz w:val="22"/>
                <w:szCs w:val="22"/>
                <w:lang w:eastAsia="en-US"/>
              </w:rPr>
            </w:pPr>
          </w:p>
          <w:p w14:paraId="50D88CB7" w14:textId="77777777" w:rsidR="00794954" w:rsidRDefault="00B71ED2" w:rsidP="00EF08D3">
            <w:pPr>
              <w:autoSpaceDE w:val="0"/>
              <w:autoSpaceDN w:val="0"/>
              <w:adjustRightInd w:val="0"/>
              <w:ind w:left="426"/>
              <w:jc w:val="both"/>
              <w:rPr>
                <w:rFonts w:eastAsia="Calibri" w:cs="Arial"/>
                <w:sz w:val="22"/>
                <w:szCs w:val="22"/>
                <w:lang w:eastAsia="en-US"/>
              </w:rPr>
            </w:pPr>
            <w:r>
              <w:rPr>
                <w:rFonts w:eastAsia="Calibri" w:cs="Arial"/>
                <w:sz w:val="22"/>
                <w:szCs w:val="22"/>
                <w:lang w:eastAsia="en-US"/>
              </w:rPr>
              <w:t>Sumado a lo anterior</w:t>
            </w:r>
            <w:r w:rsidR="00794954">
              <w:rPr>
                <w:rFonts w:eastAsia="Calibri" w:cs="Arial"/>
                <w:sz w:val="22"/>
                <w:szCs w:val="22"/>
                <w:lang w:eastAsia="en-US"/>
              </w:rPr>
              <w:t>, la misma Ley en sus</w:t>
            </w:r>
            <w:r w:rsidR="00EF08D3">
              <w:rPr>
                <w:rFonts w:eastAsia="Calibri" w:cs="Arial"/>
                <w:sz w:val="22"/>
                <w:szCs w:val="22"/>
                <w:lang w:eastAsia="en-US"/>
              </w:rPr>
              <w:t xml:space="preserve"> artículos 11, 12, 13, 14 y 15 </w:t>
            </w:r>
            <w:r w:rsidR="00794954">
              <w:rPr>
                <w:rFonts w:eastAsia="Calibri" w:cs="Arial"/>
                <w:sz w:val="22"/>
                <w:szCs w:val="22"/>
                <w:lang w:eastAsia="en-US"/>
              </w:rPr>
              <w:t>realizó</w:t>
            </w:r>
            <w:r w:rsidR="00EF08D3">
              <w:rPr>
                <w:rFonts w:eastAsia="Calibri" w:cs="Arial"/>
                <w:sz w:val="22"/>
                <w:szCs w:val="22"/>
                <w:lang w:eastAsia="en-US"/>
              </w:rPr>
              <w:t xml:space="preserve"> la distribución de funciones entre ANTV y las demás entidades del sector de telecomunicaciones</w:t>
            </w:r>
            <w:r w:rsidR="00794954">
              <w:rPr>
                <w:rFonts w:eastAsia="Calibri" w:cs="Arial"/>
                <w:sz w:val="22"/>
                <w:szCs w:val="22"/>
                <w:lang w:eastAsia="en-US"/>
              </w:rPr>
              <w:t xml:space="preserve">. </w:t>
            </w:r>
          </w:p>
          <w:p w14:paraId="40E7F0CE" w14:textId="77777777" w:rsidR="00794954" w:rsidRDefault="00794954" w:rsidP="00EF08D3">
            <w:pPr>
              <w:autoSpaceDE w:val="0"/>
              <w:autoSpaceDN w:val="0"/>
              <w:adjustRightInd w:val="0"/>
              <w:ind w:left="426"/>
              <w:jc w:val="both"/>
              <w:rPr>
                <w:rFonts w:eastAsia="Calibri" w:cs="Arial"/>
                <w:sz w:val="22"/>
                <w:szCs w:val="22"/>
                <w:lang w:eastAsia="en-US"/>
              </w:rPr>
            </w:pPr>
          </w:p>
          <w:p w14:paraId="571B3D59" w14:textId="77777777" w:rsidR="005B52FB" w:rsidRDefault="00794954" w:rsidP="005B52FB">
            <w:pPr>
              <w:autoSpaceDE w:val="0"/>
              <w:autoSpaceDN w:val="0"/>
              <w:adjustRightInd w:val="0"/>
              <w:ind w:left="426"/>
              <w:jc w:val="both"/>
              <w:rPr>
                <w:rFonts w:eastAsia="Calibri" w:cs="Arial"/>
                <w:sz w:val="22"/>
                <w:szCs w:val="22"/>
                <w:lang w:eastAsia="en-US"/>
              </w:rPr>
            </w:pPr>
            <w:r>
              <w:rPr>
                <w:rFonts w:eastAsia="Calibri" w:cs="Arial"/>
                <w:sz w:val="22"/>
                <w:szCs w:val="22"/>
                <w:lang w:eastAsia="en-US"/>
              </w:rPr>
              <w:t>E</w:t>
            </w:r>
            <w:r w:rsidR="00B71ED2">
              <w:rPr>
                <w:rFonts w:eastAsia="Calibri" w:cs="Arial"/>
                <w:sz w:val="22"/>
                <w:szCs w:val="22"/>
                <w:lang w:eastAsia="en-US"/>
              </w:rPr>
              <w:t>n cumplimiento de su objeto y</w:t>
            </w:r>
            <w:r>
              <w:rPr>
                <w:rFonts w:eastAsia="Calibri" w:cs="Arial"/>
                <w:sz w:val="22"/>
                <w:szCs w:val="22"/>
                <w:lang w:eastAsia="en-US"/>
              </w:rPr>
              <w:t xml:space="preserve"> las</w:t>
            </w:r>
            <w:r w:rsidR="00B71ED2">
              <w:rPr>
                <w:rFonts w:eastAsia="Calibri" w:cs="Arial"/>
                <w:sz w:val="22"/>
                <w:szCs w:val="22"/>
                <w:lang w:eastAsia="en-US"/>
              </w:rPr>
              <w:t xml:space="preserve"> funciones</w:t>
            </w:r>
            <w:r>
              <w:rPr>
                <w:rFonts w:eastAsia="Calibri" w:cs="Arial"/>
                <w:sz w:val="22"/>
                <w:szCs w:val="22"/>
                <w:lang w:eastAsia="en-US"/>
              </w:rPr>
              <w:t xml:space="preserve"> que le fueron asignadas</w:t>
            </w:r>
            <w:r w:rsidR="00B71ED2">
              <w:rPr>
                <w:rFonts w:eastAsia="Calibri" w:cs="Arial"/>
                <w:sz w:val="22"/>
                <w:szCs w:val="22"/>
                <w:lang w:eastAsia="en-US"/>
              </w:rPr>
              <w:t>, la ANTV expidió marcos normativos para la regulación del servicio de televisión en todas sus modalidades.</w:t>
            </w:r>
          </w:p>
          <w:p w14:paraId="5BDD6ABD" w14:textId="77777777" w:rsidR="005B52FB" w:rsidRDefault="005B52FB" w:rsidP="005B52FB">
            <w:pPr>
              <w:autoSpaceDE w:val="0"/>
              <w:autoSpaceDN w:val="0"/>
              <w:adjustRightInd w:val="0"/>
              <w:ind w:left="426"/>
              <w:jc w:val="both"/>
              <w:rPr>
                <w:rFonts w:eastAsia="Calibri" w:cs="Arial"/>
                <w:sz w:val="22"/>
                <w:szCs w:val="22"/>
                <w:lang w:eastAsia="en-US"/>
              </w:rPr>
            </w:pPr>
          </w:p>
          <w:p w14:paraId="7DF46E6A" w14:textId="77777777" w:rsidR="005B52FB" w:rsidRPr="005B52FB" w:rsidRDefault="005B52FB" w:rsidP="005B52FB">
            <w:pPr>
              <w:autoSpaceDE w:val="0"/>
              <w:autoSpaceDN w:val="0"/>
              <w:adjustRightInd w:val="0"/>
              <w:ind w:left="426"/>
              <w:jc w:val="both"/>
              <w:rPr>
                <w:rFonts w:eastAsia="Calibri" w:cs="Arial"/>
                <w:sz w:val="22"/>
                <w:szCs w:val="22"/>
                <w:lang w:eastAsia="en-US"/>
              </w:rPr>
            </w:pPr>
            <w:r w:rsidRPr="005B52FB">
              <w:rPr>
                <w:rFonts w:eastAsia="Calibri" w:cs="Arial"/>
                <w:sz w:val="22"/>
                <w:szCs w:val="22"/>
                <w:lang w:eastAsia="en-US"/>
              </w:rPr>
              <w:t>Con la expedición de la Ley 1978 de 2019 se estableció el marco legal para modernizar el sector de las tecnologías de la información y las comunicaciones en un entorno de convergencia, de tal suerte que se introdujeron medidas en pro del cierre de la brecha digital, la seguridad jurídica y la simplificación normativa. En el caso específico del servicio de televisión se adoptaron medidas de eliminación de barreras de acceso e incentivos para que los agentes de este sector contribuyan al cierre de la brecha digital mediante la prestación del servicio de internet, pero además se establecieron medidas para promover y fortalecer la televisión pública y la provisión de contenidos audiovisuales, todo esto manteniendo la actual clasificación de este servicio y la normatividad vigente asociada a cada modalidad</w:t>
            </w:r>
          </w:p>
          <w:p w14:paraId="01B9F2EC" w14:textId="77777777" w:rsidR="005B52FB" w:rsidRPr="005B52FB" w:rsidRDefault="005B52FB" w:rsidP="005B52FB">
            <w:pPr>
              <w:autoSpaceDE w:val="0"/>
              <w:autoSpaceDN w:val="0"/>
              <w:adjustRightInd w:val="0"/>
              <w:ind w:left="426"/>
              <w:jc w:val="both"/>
              <w:rPr>
                <w:rFonts w:eastAsia="Calibri" w:cs="Arial"/>
                <w:sz w:val="22"/>
                <w:szCs w:val="22"/>
                <w:lang w:eastAsia="en-US"/>
              </w:rPr>
            </w:pPr>
          </w:p>
          <w:p w14:paraId="5C7BD75A" w14:textId="77777777" w:rsidR="004F1F4F" w:rsidRDefault="005B52FB" w:rsidP="004F1F4F">
            <w:pPr>
              <w:autoSpaceDE w:val="0"/>
              <w:autoSpaceDN w:val="0"/>
              <w:adjustRightInd w:val="0"/>
              <w:ind w:left="426"/>
              <w:jc w:val="both"/>
              <w:rPr>
                <w:rFonts w:eastAsia="Calibri" w:cs="Arial"/>
                <w:sz w:val="22"/>
                <w:szCs w:val="22"/>
                <w:lang w:eastAsia="en-US"/>
              </w:rPr>
            </w:pPr>
            <w:r w:rsidRPr="005B52FB">
              <w:rPr>
                <w:rFonts w:eastAsia="Calibri" w:cs="Arial"/>
                <w:sz w:val="22"/>
                <w:szCs w:val="22"/>
                <w:lang w:eastAsia="en-US"/>
              </w:rPr>
              <w:t>En pro del cumplimiento de dichos objetivos, la Ley define un nuevo orden institucional con la liquidación de la ANTV y la distribución de funciones entre el MINTIC, la Comisión de Regulación de Comunicaciones CRC, la Agencia Nacional del Espectro ANE y la Superintendencia de Industria y Comercio SIC, asumiendo el MinTIC las funciones relacionadas con el fortalecimiento del servicio de televisión, la promoción del contenido multiplataforma, la habilitación y el otorgamiento de concesiones, permisos y licencias, la administración del régimen de contraprestaciones, la supervisión de los contratos de concesión para la prestación de este servicio y su vigilancia y el control</w:t>
            </w:r>
            <w:r w:rsidRPr="005B52FB">
              <w:rPr>
                <w:rFonts w:eastAsia="Calibri" w:cs="Arial"/>
                <w:sz w:val="22"/>
                <w:szCs w:val="22"/>
                <w:lang w:eastAsia="en-US"/>
              </w:rPr>
              <w:footnoteReference w:id="1"/>
            </w:r>
            <w:r w:rsidRPr="005B52FB">
              <w:rPr>
                <w:rFonts w:eastAsia="Calibri" w:cs="Arial"/>
                <w:sz w:val="22"/>
                <w:szCs w:val="22"/>
                <w:lang w:eastAsia="en-US"/>
              </w:rPr>
              <w:t xml:space="preserve">. </w:t>
            </w:r>
          </w:p>
          <w:p w14:paraId="512DFDC7" w14:textId="77777777" w:rsidR="004F1F4F" w:rsidRDefault="004F1F4F" w:rsidP="004F1F4F">
            <w:pPr>
              <w:autoSpaceDE w:val="0"/>
              <w:autoSpaceDN w:val="0"/>
              <w:adjustRightInd w:val="0"/>
              <w:ind w:left="426"/>
              <w:jc w:val="both"/>
              <w:rPr>
                <w:rFonts w:eastAsia="Calibri" w:cs="Arial"/>
                <w:sz w:val="22"/>
                <w:szCs w:val="22"/>
                <w:lang w:eastAsia="en-US"/>
              </w:rPr>
            </w:pPr>
          </w:p>
          <w:p w14:paraId="26D160B6" w14:textId="77777777" w:rsidR="004F1F4F" w:rsidRDefault="004F1F4F" w:rsidP="004F1F4F">
            <w:pPr>
              <w:autoSpaceDE w:val="0"/>
              <w:autoSpaceDN w:val="0"/>
              <w:adjustRightInd w:val="0"/>
              <w:ind w:left="426"/>
              <w:jc w:val="both"/>
              <w:rPr>
                <w:rFonts w:eastAsia="Calibri" w:cs="Arial"/>
                <w:sz w:val="22"/>
                <w:szCs w:val="22"/>
                <w:lang w:eastAsia="en-US"/>
              </w:rPr>
            </w:pPr>
            <w:r>
              <w:rPr>
                <w:rFonts w:eastAsia="Calibri" w:cs="Arial"/>
                <w:sz w:val="22"/>
                <w:szCs w:val="22"/>
                <w:lang w:eastAsia="en-US"/>
              </w:rPr>
              <w:lastRenderedPageBreak/>
              <w:t xml:space="preserve">En este sentido, </w:t>
            </w:r>
            <w:r w:rsidRPr="004F1F4F">
              <w:rPr>
                <w:rFonts w:eastAsia="Calibri" w:cs="Arial"/>
                <w:sz w:val="22"/>
                <w:szCs w:val="22"/>
                <w:lang w:eastAsia="en-US"/>
              </w:rPr>
              <w:t>de conformidad con el numeral 19 del artículo 18 de la Ley 1341 de 2009 es función del Ministerio de Tecnologías de la Información y las Comunicaciones preparar y expedir los actos administrativos, para los siguientes fines, entre otros: “</w:t>
            </w:r>
            <w:r w:rsidRPr="004F1F4F">
              <w:rPr>
                <w:rFonts w:eastAsia="Calibri" w:cs="Arial"/>
                <w:i/>
                <w:iCs/>
                <w:sz w:val="22"/>
                <w:szCs w:val="22"/>
                <w:lang w:eastAsia="en-US"/>
              </w:rPr>
              <w:t>a). Ejercer la intervención del Estado en el sector de las tecnologías de la información y las comunicaciones, dentro de los límites y con las finalidades previstas por la ley, con excepción de lo dispuesto por el artículo 76 de la Constitución Política. b) Establecer condiciones generales de operación y explotación comercial de redes y servicios que soportan las tecnologías de la información y las comunicaciones y que no se encuentren asignados por la ley a otros entes. c). Expedir de acuerdo con la ley, los reglamentos, condiciones y requisitos para el otorgamiento de licencias, permisos y registros para el uso o explotación de los derechos del Estado sobre el espectro radioeléctrico y los servicios del sector de las tecnologías de la información y las comunicaciones. d). Expedir y administrar las contraprestaciones que le corresponden por ley</w:t>
            </w:r>
            <w:r w:rsidRPr="004F1F4F">
              <w:rPr>
                <w:rFonts w:eastAsia="Calibri" w:cs="Arial"/>
                <w:sz w:val="22"/>
                <w:szCs w:val="22"/>
                <w:lang w:eastAsia="en-US"/>
              </w:rPr>
              <w:t>.”</w:t>
            </w:r>
          </w:p>
          <w:p w14:paraId="19C8E104" w14:textId="77777777" w:rsidR="004F1F4F" w:rsidRDefault="004F1F4F" w:rsidP="004F1F4F">
            <w:pPr>
              <w:autoSpaceDE w:val="0"/>
              <w:autoSpaceDN w:val="0"/>
              <w:adjustRightInd w:val="0"/>
              <w:ind w:left="426"/>
              <w:jc w:val="both"/>
              <w:rPr>
                <w:rFonts w:eastAsia="Calibri" w:cs="Arial"/>
                <w:sz w:val="22"/>
                <w:szCs w:val="22"/>
                <w:lang w:eastAsia="en-US"/>
              </w:rPr>
            </w:pPr>
          </w:p>
          <w:p w14:paraId="55E24DE3" w14:textId="4B079FD4" w:rsidR="00F61214" w:rsidRPr="00F61214" w:rsidRDefault="004F1F4F" w:rsidP="00F61214">
            <w:pPr>
              <w:autoSpaceDE w:val="0"/>
              <w:autoSpaceDN w:val="0"/>
              <w:adjustRightInd w:val="0"/>
              <w:ind w:left="426"/>
              <w:jc w:val="both"/>
              <w:rPr>
                <w:rFonts w:eastAsia="Calibri" w:cs="Arial"/>
                <w:i/>
                <w:iCs/>
                <w:sz w:val="22"/>
                <w:szCs w:val="22"/>
                <w:lang w:val="es-CO" w:eastAsia="en-US"/>
              </w:rPr>
            </w:pPr>
            <w:r>
              <w:rPr>
                <w:rFonts w:eastAsia="Calibri" w:cs="Arial"/>
                <w:sz w:val="22"/>
                <w:szCs w:val="22"/>
                <w:lang w:eastAsia="en-US"/>
              </w:rPr>
              <w:t xml:space="preserve">Así mismo, </w:t>
            </w:r>
            <w:r w:rsidRPr="004F1F4F">
              <w:rPr>
                <w:rFonts w:eastAsia="Calibri" w:cs="Arial"/>
                <w:sz w:val="22"/>
                <w:szCs w:val="22"/>
                <w:lang w:eastAsia="en-US"/>
              </w:rPr>
              <w:t>de conformidad con los numerales 23, 24, 25 y 30 adicionados al artículo 18 de la Ley 1341 de 2009 por la Ley 1978 de 2019, le corresponde al MinTIC:</w:t>
            </w:r>
            <w:r w:rsidR="00F61214" w:rsidRPr="00F61214">
              <w:rPr>
                <w:rFonts w:eastAsia="Calibri" w:cs="Arial"/>
                <w:i/>
                <w:iCs/>
                <w:sz w:val="22"/>
                <w:szCs w:val="22"/>
                <w:lang w:val="es-CO" w:eastAsia="en-US"/>
              </w:rPr>
              <w:t xml:space="preserve"> </w:t>
            </w:r>
            <w:r w:rsidR="00F61214" w:rsidRPr="00F61214">
              <w:rPr>
                <w:rFonts w:eastAsia="Calibri" w:cs="Arial"/>
                <w:i/>
                <w:iCs/>
                <w:sz w:val="22"/>
                <w:szCs w:val="22"/>
                <w:lang w:eastAsia="en-US"/>
              </w:rPr>
              <w:t>“23. Reglamentar el otorgamiento y prórroga de las concesiones para la operación del servicio, los contratos de concesión de espacios de televisión y los contratos de cesión de derechos de emisión, producción y coproducción de los programas de televisión, así como los requisitos de las licitaciones, contratos y licencias para acceder al servicio, y el régimen sancionatorio aplicable a los concesionarios, operadores y contratistas de televisión, de conformidad con las normas previstas en la Ley y en los reglamentos. 24. Fijar las tarifas, tasas y derechos, asociados a la concesión, a que se refiere la Ley 182 de 1995. En materia del pago de la contraprestación los operadores públicos del servicio de televisión mantendrán las exenciones y excepciones que les sean aplicables a la fecha de entrada en vigencia de la presente Ley. 25. Asignar las concesiones para la operación del servicio público de televisión, así como adjudicar y celebrar los contratos de concesión de espacios de televisión. (…) 27. Reglamentar de modo general las condiciones y requisitos que deben cumplir los acuerdos que celebren los concesionarios de espacios de televisión y los contratistas de televisión regional para modificar, sin más limitaciones que las derivadas de la voluntad mayoritaria de los mismos y del respeto de los derechos que los amparan, el carácter y la modalidad de los espacios de que son titulares, la franja de audiencia, los horarios de emisión y la duración de los programas, entre otros. (…) 29. Establecer las condiciones para que los canales regionales de los que hagan parte entidades territoriales de zonas de frontera puedan. asociarse, en condiciones de reciprocidad y observando los acuerdos y tratados internacionales de integración y cooperación, con entidades territoriales de países vecinos o miembros de organismos de cooperación e integración regional de los que Colombia haga parte, para la prestación del servicio público de televisión. 30. Reglamentar lo relativo al servicio de televisión étnica y afrocolombiana a la que se refiere el parágrafo 2 del artículo 20 de la Ley 335 de 1996, como acción afirmativa para que a través de los entes que por mandato legal del artículo 35 de la Ley 70 de 1993 se desarrollen procesos de etnoeducación. Para el efecto, dentro de los veinticuatro (24) meses siguientes a la vigencia de la presente Ley, el Gobierno Nacional revisará la reglamentación vigente relativa al servicio de televisión étnica y afrocolombiana y adelantará la actualización de la reglamentación que sea requerida.”</w:t>
            </w:r>
          </w:p>
          <w:p w14:paraId="17876AC5" w14:textId="77777777" w:rsidR="004F1F4F" w:rsidRPr="004F1F4F" w:rsidRDefault="004F1F4F" w:rsidP="004F1F4F">
            <w:pPr>
              <w:rPr>
                <w:rFonts w:eastAsia="Calibri" w:cs="Arial"/>
                <w:sz w:val="22"/>
                <w:szCs w:val="22"/>
                <w:lang w:eastAsia="en-US"/>
              </w:rPr>
            </w:pPr>
          </w:p>
          <w:p w14:paraId="3D005ED7" w14:textId="77777777" w:rsidR="005B52FB" w:rsidRPr="00C46F09" w:rsidRDefault="005B52FB" w:rsidP="005B52FB">
            <w:pPr>
              <w:autoSpaceDE w:val="0"/>
              <w:autoSpaceDN w:val="0"/>
              <w:adjustRightInd w:val="0"/>
              <w:ind w:left="426"/>
              <w:jc w:val="both"/>
              <w:rPr>
                <w:rFonts w:eastAsia="Calibri" w:cs="Arial"/>
                <w:sz w:val="22"/>
                <w:szCs w:val="22"/>
                <w:lang w:eastAsia="en-US"/>
              </w:rPr>
            </w:pPr>
            <w:r w:rsidRPr="00C46F09">
              <w:rPr>
                <w:rFonts w:eastAsia="Calibri" w:cs="Arial"/>
                <w:sz w:val="22"/>
                <w:szCs w:val="22"/>
                <w:lang w:eastAsia="en-US"/>
              </w:rPr>
              <w:t xml:space="preserve">Dado que el marco reglamentario del servicio de televisión fue expedido por las extintas CNTV y ANTV bajo un entorno legal e institucional diferente, las entidades que asumieron las funciones de la extinta ANTV han venido realizando ejercicios de compilación y actualización normativa según sus competencias. </w:t>
            </w:r>
          </w:p>
          <w:p w14:paraId="771F5815" w14:textId="77777777" w:rsidR="005B52FB" w:rsidRPr="00C46F09" w:rsidRDefault="005B52FB" w:rsidP="005B52FB">
            <w:pPr>
              <w:autoSpaceDE w:val="0"/>
              <w:autoSpaceDN w:val="0"/>
              <w:adjustRightInd w:val="0"/>
              <w:ind w:left="426"/>
              <w:jc w:val="both"/>
              <w:rPr>
                <w:rFonts w:eastAsia="Calibri" w:cs="Arial"/>
                <w:sz w:val="22"/>
                <w:szCs w:val="22"/>
                <w:lang w:eastAsia="en-US"/>
              </w:rPr>
            </w:pPr>
          </w:p>
          <w:p w14:paraId="4F3C734A" w14:textId="77777777" w:rsidR="005B52FB" w:rsidRPr="00C46F09" w:rsidRDefault="005B52FB" w:rsidP="005B52FB">
            <w:pPr>
              <w:autoSpaceDE w:val="0"/>
              <w:autoSpaceDN w:val="0"/>
              <w:adjustRightInd w:val="0"/>
              <w:ind w:left="426"/>
              <w:jc w:val="both"/>
              <w:rPr>
                <w:rFonts w:eastAsia="Calibri" w:cs="Arial"/>
                <w:sz w:val="22"/>
                <w:szCs w:val="22"/>
                <w:lang w:eastAsia="en-US"/>
              </w:rPr>
            </w:pPr>
            <w:r w:rsidRPr="00C46F09">
              <w:rPr>
                <w:rFonts w:eastAsia="Calibri" w:cs="Arial"/>
                <w:sz w:val="22"/>
                <w:szCs w:val="22"/>
                <w:lang w:eastAsia="en-US"/>
              </w:rPr>
              <w:t>En este sentido, la CRC expidió en el año 2021 las resoluciones 6261 y 6383 mediante las cuales compiló y simplificó las normas vigentes expedidas por la CNTV y la ANTV en los asuntos de competencia de la Sesión de Contenidos Audiovisuales y la Sesión de Comunicaciones respectivamente.</w:t>
            </w:r>
          </w:p>
          <w:p w14:paraId="2495F73E" w14:textId="77777777" w:rsidR="005B52FB" w:rsidRPr="00C46F09" w:rsidRDefault="005B52FB" w:rsidP="005B52FB">
            <w:pPr>
              <w:autoSpaceDE w:val="0"/>
              <w:autoSpaceDN w:val="0"/>
              <w:adjustRightInd w:val="0"/>
              <w:ind w:left="426"/>
              <w:jc w:val="both"/>
              <w:rPr>
                <w:rFonts w:eastAsia="Calibri" w:cs="Arial"/>
                <w:sz w:val="22"/>
                <w:szCs w:val="22"/>
                <w:lang w:eastAsia="en-US"/>
              </w:rPr>
            </w:pPr>
          </w:p>
          <w:p w14:paraId="7557E7F5" w14:textId="3F2AD41B" w:rsidR="005B52FB" w:rsidRPr="00C46F09" w:rsidRDefault="005B52FB" w:rsidP="005B52FB">
            <w:pPr>
              <w:autoSpaceDE w:val="0"/>
              <w:autoSpaceDN w:val="0"/>
              <w:adjustRightInd w:val="0"/>
              <w:ind w:left="426"/>
              <w:jc w:val="both"/>
              <w:rPr>
                <w:rFonts w:eastAsia="Calibri" w:cs="Arial"/>
                <w:sz w:val="22"/>
                <w:szCs w:val="22"/>
                <w:lang w:eastAsia="en-US"/>
              </w:rPr>
            </w:pPr>
            <w:r w:rsidRPr="00C46F09">
              <w:rPr>
                <w:rFonts w:eastAsia="Calibri" w:cs="Arial"/>
                <w:sz w:val="22"/>
                <w:szCs w:val="22"/>
                <w:lang w:eastAsia="en-US"/>
              </w:rPr>
              <w:lastRenderedPageBreak/>
              <w:t xml:space="preserve">Por su parte el MinTIC expidió las Resoluciones 922 de 2020 y 2285 de 2023, mediante las cuales se definieron reglas para la asignación de recursos para el fortalecimiento de la televisión pública y la promoción del contenido multiplataforma; las cuales fueron derogadas por la Resolución 3556 de 2024, actual reglamentación vigente en esa materia; el Decreto 377 de 2021, mediante el cual se subrogó el título 1 de la parte 2 del Decreto 1078 de 2015, relacionado con la reglamentación del registro único de TIC incluyendo la prestación del servicio de televisión; la Resolución 175 de 2021, mediante la cual se modificó la Resolución 3484 de 2012 por la cual se crea el Sistema de Información Integral del Sector de TIC – Colombia TIC, con el fin de establecer los reportes de información a dicho sistema por parte de los operadores del servicio de televisión y la Resolución 4672 de 2022, mediante la cual se modificó el artículo 8 del Acuerdo 002 de 2012, con el fin de definir las condiciones para el cese de emisiones analógicas de la televisión abierta.   </w:t>
            </w:r>
          </w:p>
          <w:p w14:paraId="2256FC0E" w14:textId="6F7B0F38" w:rsidR="007C18A2" w:rsidRPr="00EF08D3" w:rsidRDefault="007C18A2" w:rsidP="007C18A2">
            <w:pPr>
              <w:autoSpaceDE w:val="0"/>
              <w:autoSpaceDN w:val="0"/>
              <w:adjustRightInd w:val="0"/>
              <w:ind w:left="426"/>
              <w:jc w:val="both"/>
              <w:rPr>
                <w:rFonts w:eastAsia="Calibri" w:cs="Arial"/>
                <w:sz w:val="22"/>
                <w:szCs w:val="22"/>
                <w:lang w:eastAsia="en-US"/>
              </w:rPr>
            </w:pPr>
          </w:p>
          <w:p w14:paraId="56C2523F" w14:textId="6999C9DA" w:rsidR="004F1F4F" w:rsidRDefault="004F1F4F" w:rsidP="004F1F4F">
            <w:pPr>
              <w:autoSpaceDE w:val="0"/>
              <w:autoSpaceDN w:val="0"/>
              <w:adjustRightInd w:val="0"/>
              <w:ind w:left="426"/>
              <w:jc w:val="both"/>
              <w:rPr>
                <w:rFonts w:eastAsia="Calibri" w:cs="Arial"/>
                <w:sz w:val="22"/>
                <w:szCs w:val="22"/>
                <w:lang w:eastAsia="en-US"/>
              </w:rPr>
            </w:pPr>
            <w:r>
              <w:rPr>
                <w:rFonts w:eastAsia="Calibri" w:cs="Arial"/>
                <w:sz w:val="22"/>
                <w:szCs w:val="22"/>
                <w:lang w:eastAsia="en-US"/>
              </w:rPr>
              <w:t>No obstante,</w:t>
            </w:r>
            <w:r w:rsidR="005B52FB">
              <w:rPr>
                <w:rFonts w:eastAsia="Calibri" w:cs="Arial"/>
                <w:sz w:val="22"/>
                <w:szCs w:val="22"/>
                <w:lang w:eastAsia="en-US"/>
              </w:rPr>
              <w:t xml:space="preserve"> en la actualidad existen </w:t>
            </w:r>
            <w:r w:rsidR="00B84F72">
              <w:rPr>
                <w:rFonts w:eastAsia="Calibri" w:cs="Arial"/>
                <w:sz w:val="22"/>
                <w:szCs w:val="22"/>
                <w:lang w:eastAsia="en-US"/>
              </w:rPr>
              <w:t>múltiples</w:t>
            </w:r>
            <w:r w:rsidR="005B52FB">
              <w:rPr>
                <w:rFonts w:eastAsia="Calibri" w:cs="Arial"/>
                <w:sz w:val="22"/>
                <w:szCs w:val="22"/>
                <w:lang w:eastAsia="en-US"/>
              </w:rPr>
              <w:t xml:space="preserve"> actos administrativos</w:t>
            </w:r>
            <w:r w:rsidR="00E55420">
              <w:rPr>
                <w:rFonts w:eastAsia="Calibri" w:cs="Arial"/>
                <w:sz w:val="22"/>
                <w:szCs w:val="22"/>
                <w:lang w:eastAsia="en-US"/>
              </w:rPr>
              <w:t xml:space="preserve">, que fueron </w:t>
            </w:r>
            <w:r w:rsidR="005B52FB">
              <w:rPr>
                <w:rFonts w:eastAsia="Calibri" w:cs="Arial"/>
                <w:sz w:val="22"/>
                <w:szCs w:val="22"/>
                <w:lang w:eastAsia="en-US"/>
              </w:rPr>
              <w:t xml:space="preserve">expedidos </w:t>
            </w:r>
            <w:r w:rsidR="00E55420">
              <w:rPr>
                <w:rFonts w:eastAsia="Calibri" w:cs="Arial"/>
                <w:sz w:val="22"/>
                <w:szCs w:val="22"/>
                <w:lang w:eastAsia="en-US"/>
              </w:rPr>
              <w:t xml:space="preserve">en su momento por las extintas </w:t>
            </w:r>
            <w:r w:rsidR="005B52FB">
              <w:rPr>
                <w:rFonts w:eastAsia="Calibri" w:cs="Arial"/>
                <w:sz w:val="22"/>
                <w:szCs w:val="22"/>
                <w:lang w:eastAsia="en-US"/>
              </w:rPr>
              <w:t>ANTV y CNTV</w:t>
            </w:r>
            <w:r w:rsidR="00E55420">
              <w:rPr>
                <w:rFonts w:eastAsia="Calibri" w:cs="Arial"/>
                <w:sz w:val="22"/>
                <w:szCs w:val="22"/>
                <w:lang w:eastAsia="en-US"/>
              </w:rPr>
              <w:t xml:space="preserve"> e</w:t>
            </w:r>
            <w:r w:rsidR="007C18A2">
              <w:rPr>
                <w:rFonts w:eastAsia="Calibri" w:cs="Arial"/>
                <w:sz w:val="22"/>
                <w:szCs w:val="22"/>
                <w:lang w:eastAsia="en-US"/>
              </w:rPr>
              <w:t xml:space="preserve">n </w:t>
            </w:r>
            <w:r w:rsidR="00E55420">
              <w:rPr>
                <w:rFonts w:eastAsia="Calibri" w:cs="Arial"/>
                <w:sz w:val="22"/>
                <w:szCs w:val="22"/>
                <w:lang w:eastAsia="en-US"/>
              </w:rPr>
              <w:t xml:space="preserve">ejercicio de </w:t>
            </w:r>
            <w:r w:rsidR="007C18A2">
              <w:rPr>
                <w:rFonts w:eastAsia="Calibri" w:cs="Arial"/>
                <w:sz w:val="22"/>
                <w:szCs w:val="22"/>
                <w:lang w:eastAsia="en-US"/>
              </w:rPr>
              <w:t xml:space="preserve">funciones </w:t>
            </w:r>
            <w:r w:rsidR="00E55420">
              <w:rPr>
                <w:rFonts w:eastAsia="Calibri" w:cs="Arial"/>
                <w:sz w:val="22"/>
                <w:szCs w:val="22"/>
                <w:lang w:eastAsia="en-US"/>
              </w:rPr>
              <w:t>que hoy en día están en cabeza del MinTIC en virtud de las disposiciones de la Ley 1978 de 2019</w:t>
            </w:r>
            <w:r>
              <w:rPr>
                <w:rFonts w:eastAsia="Calibri" w:cs="Arial"/>
                <w:sz w:val="22"/>
                <w:szCs w:val="22"/>
                <w:lang w:eastAsia="en-US"/>
              </w:rPr>
              <w:t xml:space="preserve">. </w:t>
            </w:r>
          </w:p>
          <w:p w14:paraId="047F5391" w14:textId="77777777" w:rsidR="004F1F4F" w:rsidRDefault="004F1F4F" w:rsidP="004F1F4F">
            <w:pPr>
              <w:autoSpaceDE w:val="0"/>
              <w:autoSpaceDN w:val="0"/>
              <w:adjustRightInd w:val="0"/>
              <w:ind w:left="426"/>
              <w:jc w:val="both"/>
              <w:rPr>
                <w:rFonts w:eastAsia="Calibri" w:cs="Arial"/>
                <w:sz w:val="22"/>
                <w:szCs w:val="22"/>
                <w:lang w:eastAsia="en-US"/>
              </w:rPr>
            </w:pPr>
          </w:p>
          <w:p w14:paraId="6E2B6B28" w14:textId="78F53ADA" w:rsidR="003E673F" w:rsidRDefault="004F1F4F" w:rsidP="003E673F">
            <w:pPr>
              <w:autoSpaceDE w:val="0"/>
              <w:autoSpaceDN w:val="0"/>
              <w:adjustRightInd w:val="0"/>
              <w:ind w:left="426"/>
              <w:jc w:val="both"/>
              <w:rPr>
                <w:rFonts w:eastAsia="Calibri" w:cs="Arial"/>
                <w:sz w:val="22"/>
                <w:szCs w:val="22"/>
                <w:lang w:eastAsia="en-US"/>
              </w:rPr>
            </w:pPr>
            <w:r>
              <w:rPr>
                <w:rFonts w:eastAsia="Calibri" w:cs="Arial"/>
                <w:sz w:val="22"/>
                <w:szCs w:val="22"/>
                <w:lang w:eastAsia="en-US"/>
              </w:rPr>
              <w:t>De acuerdo con lo expuesto, c</w:t>
            </w:r>
            <w:r w:rsidRPr="004F1F4F">
              <w:rPr>
                <w:rFonts w:eastAsia="Calibri" w:cs="Arial"/>
                <w:sz w:val="22"/>
                <w:szCs w:val="22"/>
                <w:lang w:eastAsia="en-US"/>
              </w:rPr>
              <w:t>on el objetivo de tener claridad sobre la reg</w:t>
            </w:r>
            <w:r w:rsidR="00E40179">
              <w:rPr>
                <w:rFonts w:eastAsia="Calibri" w:cs="Arial"/>
                <w:sz w:val="22"/>
                <w:szCs w:val="22"/>
                <w:lang w:eastAsia="en-US"/>
              </w:rPr>
              <w:t>lamentación</w:t>
            </w:r>
            <w:r w:rsidRPr="004F1F4F">
              <w:rPr>
                <w:rFonts w:eastAsia="Calibri" w:cs="Arial"/>
                <w:sz w:val="22"/>
                <w:szCs w:val="22"/>
                <w:lang w:eastAsia="en-US"/>
              </w:rPr>
              <w:t xml:space="preserve"> vigente aplicable al servicio de televisión, cuya competencia corresponda al Ministerio de Tecnologías de la Información y las Comunicaciones, se hace necesario, realizar un análisis de vigencia de las mencionadas normas y compilar e incorporar en </w:t>
            </w:r>
            <w:r w:rsidR="00027FFD">
              <w:rPr>
                <w:rFonts w:eastAsia="Calibri" w:cs="Arial"/>
                <w:sz w:val="22"/>
                <w:szCs w:val="22"/>
                <w:lang w:eastAsia="en-US"/>
              </w:rPr>
              <w:t xml:space="preserve">un mismo </w:t>
            </w:r>
            <w:proofErr w:type="spellStart"/>
            <w:r w:rsidR="00027FFD">
              <w:rPr>
                <w:rFonts w:eastAsia="Calibri" w:cs="Arial"/>
                <w:sz w:val="22"/>
                <w:szCs w:val="22"/>
                <w:lang w:eastAsia="en-US"/>
              </w:rPr>
              <w:t>tecto</w:t>
            </w:r>
            <w:proofErr w:type="spellEnd"/>
            <w:r w:rsidRPr="004F1F4F">
              <w:rPr>
                <w:rFonts w:eastAsia="Calibri" w:cs="Arial"/>
                <w:sz w:val="22"/>
                <w:szCs w:val="22"/>
                <w:lang w:eastAsia="en-US"/>
              </w:rPr>
              <w:t xml:space="preserve"> las normas que se encuentran vigentes y que fueron expedidas por las hoy extintas Comisión Nacional de Televisión y Autoridad Nacional de Televisión.</w:t>
            </w:r>
          </w:p>
          <w:p w14:paraId="2124DD29" w14:textId="77777777" w:rsidR="003E673F" w:rsidRDefault="003E673F" w:rsidP="003E673F">
            <w:pPr>
              <w:autoSpaceDE w:val="0"/>
              <w:autoSpaceDN w:val="0"/>
              <w:adjustRightInd w:val="0"/>
              <w:ind w:left="426"/>
              <w:jc w:val="both"/>
              <w:rPr>
                <w:rFonts w:eastAsia="Calibri" w:cs="Arial"/>
                <w:sz w:val="22"/>
                <w:szCs w:val="22"/>
                <w:lang w:eastAsia="en-US"/>
              </w:rPr>
            </w:pPr>
          </w:p>
          <w:p w14:paraId="536A865B" w14:textId="77777777" w:rsidR="00027FFD" w:rsidRPr="00027FFD" w:rsidRDefault="00027FFD" w:rsidP="00027FFD">
            <w:pPr>
              <w:autoSpaceDE w:val="0"/>
              <w:autoSpaceDN w:val="0"/>
              <w:adjustRightInd w:val="0"/>
              <w:ind w:left="426"/>
              <w:jc w:val="both"/>
              <w:rPr>
                <w:rFonts w:eastAsia="Arial Narrow" w:cs="Arial"/>
                <w:sz w:val="22"/>
                <w:szCs w:val="22"/>
                <w:lang w:val="es-CO"/>
              </w:rPr>
            </w:pPr>
            <w:r w:rsidRPr="00027FFD">
              <w:rPr>
                <w:rFonts w:eastAsia="Arial Narrow" w:cs="Arial"/>
                <w:sz w:val="22"/>
                <w:szCs w:val="22"/>
                <w:lang w:val="es-CO"/>
              </w:rPr>
              <w:t>En desarrollo de las funciones de las extintas Comisión Nacional de Televisión, en adelante, CNTV y la Autoridad Nacional de Televisión, en adelante ANTV, fueron proferidos múltiples actos administrativos que desde su fecha de expedición no habían sido objeto de análisis de vigencia frente a los cambios de los marcos legales, en particular, la modernización del sector realizada mediante la Ley 1978 de 2019.</w:t>
            </w:r>
          </w:p>
          <w:p w14:paraId="38B12C3F" w14:textId="77777777" w:rsidR="00027FFD" w:rsidRPr="00027FFD" w:rsidRDefault="00027FFD" w:rsidP="00027FFD">
            <w:pPr>
              <w:autoSpaceDE w:val="0"/>
              <w:autoSpaceDN w:val="0"/>
              <w:adjustRightInd w:val="0"/>
              <w:ind w:left="426"/>
              <w:jc w:val="both"/>
              <w:rPr>
                <w:rFonts w:eastAsia="Arial Narrow" w:cs="Arial"/>
                <w:sz w:val="22"/>
                <w:szCs w:val="22"/>
                <w:lang w:val="es-CO"/>
              </w:rPr>
            </w:pPr>
          </w:p>
          <w:p w14:paraId="7FFB48E5" w14:textId="77777777" w:rsidR="00027FFD" w:rsidRPr="00027FFD" w:rsidRDefault="00027FFD" w:rsidP="00027FFD">
            <w:pPr>
              <w:autoSpaceDE w:val="0"/>
              <w:autoSpaceDN w:val="0"/>
              <w:adjustRightInd w:val="0"/>
              <w:ind w:left="426"/>
              <w:jc w:val="both"/>
              <w:rPr>
                <w:rFonts w:eastAsia="Arial Narrow" w:cs="Arial"/>
                <w:sz w:val="22"/>
                <w:szCs w:val="22"/>
                <w:lang w:val="es-CO"/>
              </w:rPr>
            </w:pPr>
            <w:r w:rsidRPr="00027FFD">
              <w:rPr>
                <w:rFonts w:eastAsia="Arial Narrow" w:cs="Arial"/>
                <w:sz w:val="22"/>
                <w:szCs w:val="22"/>
                <w:lang w:val="es-CO"/>
              </w:rPr>
              <w:t>Con el objetivo de tener claridad sobre la regulación vigente aplicable al servicio de televisión, cuya competencia corresponda al Ministerio de Tecnologías de la Información y las Comunicaciones, se hace necesario, compilar e incorporar en un solo texto, las disposiciones jurídicas que se encuentran vigentes y que fueron expedidas por las hoy extintas CNTV y ANTV.</w:t>
            </w:r>
          </w:p>
          <w:p w14:paraId="66287B7D" w14:textId="77777777" w:rsidR="00027FFD" w:rsidRPr="00027FFD" w:rsidRDefault="00027FFD" w:rsidP="00027FFD">
            <w:pPr>
              <w:autoSpaceDE w:val="0"/>
              <w:autoSpaceDN w:val="0"/>
              <w:adjustRightInd w:val="0"/>
              <w:ind w:left="426"/>
              <w:jc w:val="both"/>
              <w:rPr>
                <w:rFonts w:eastAsia="Arial Narrow" w:cs="Arial"/>
                <w:sz w:val="22"/>
                <w:szCs w:val="22"/>
                <w:lang w:val="es-CO"/>
              </w:rPr>
            </w:pPr>
          </w:p>
          <w:p w14:paraId="3A1665D1" w14:textId="77777777" w:rsidR="00027FFD" w:rsidRPr="00027FFD" w:rsidRDefault="00027FFD" w:rsidP="00027FFD">
            <w:pPr>
              <w:autoSpaceDE w:val="0"/>
              <w:autoSpaceDN w:val="0"/>
              <w:adjustRightInd w:val="0"/>
              <w:ind w:left="426"/>
              <w:jc w:val="both"/>
              <w:rPr>
                <w:rFonts w:eastAsia="Arial Narrow" w:cs="Arial"/>
                <w:sz w:val="22"/>
                <w:szCs w:val="22"/>
                <w:lang w:val="es-CO"/>
              </w:rPr>
            </w:pPr>
            <w:r w:rsidRPr="00027FFD">
              <w:rPr>
                <w:rFonts w:eastAsia="Arial Narrow" w:cs="Arial"/>
                <w:sz w:val="22"/>
                <w:szCs w:val="22"/>
              </w:rPr>
              <w:t xml:space="preserve">La compilación en este caso implica, la actualización de las disposiciones jurídicas vigentes, para que se ajusten a la realidad institucional y a la normativa actual, sin que haya una modificación en su naturaleza, lo cual conlleva el respectivo análisis de derogatoria tácita y/o decaimiento de los actos administrativos, ordenar sistemáticamente las diferentes disposiciones y modificar su titulación en los casos que se requiera, garantizando así la seguridad jurídica. </w:t>
            </w:r>
          </w:p>
          <w:p w14:paraId="084CE2FD" w14:textId="77777777" w:rsidR="00027FFD" w:rsidRPr="00027FFD" w:rsidRDefault="00027FFD" w:rsidP="00027FFD">
            <w:pPr>
              <w:autoSpaceDE w:val="0"/>
              <w:autoSpaceDN w:val="0"/>
              <w:adjustRightInd w:val="0"/>
              <w:ind w:left="426"/>
              <w:jc w:val="both"/>
              <w:rPr>
                <w:rFonts w:eastAsia="Arial Narrow" w:cs="Arial"/>
                <w:sz w:val="22"/>
                <w:szCs w:val="22"/>
                <w:lang w:val="es-CO"/>
              </w:rPr>
            </w:pPr>
          </w:p>
          <w:p w14:paraId="08ACB225" w14:textId="77777777" w:rsidR="00027FFD" w:rsidRDefault="00027FFD" w:rsidP="00027FFD">
            <w:pPr>
              <w:autoSpaceDE w:val="0"/>
              <w:autoSpaceDN w:val="0"/>
              <w:adjustRightInd w:val="0"/>
              <w:ind w:left="426"/>
              <w:jc w:val="both"/>
              <w:rPr>
                <w:rFonts w:eastAsia="Arial Narrow" w:cs="Arial"/>
                <w:sz w:val="22"/>
                <w:szCs w:val="22"/>
              </w:rPr>
            </w:pPr>
            <w:r w:rsidRPr="00027FFD">
              <w:rPr>
                <w:rFonts w:eastAsia="Arial Narrow" w:cs="Arial"/>
                <w:sz w:val="22"/>
                <w:szCs w:val="22"/>
              </w:rPr>
              <w:t xml:space="preserve">La actividad compilatoria se realiza sobre las normas de televisión que hayan expedido la ANTV y la CNTV que, al momento de la compilación, estén vigentes, no hayan sido compiladas en¿ otras normas y hagan parte de la competencia del Ministerio de Tecnologías de la Información y las Comunicaciones, </w:t>
            </w:r>
            <w:r w:rsidRPr="00027FFD">
              <w:rPr>
                <w:rFonts w:eastAsia="Arial Narrow" w:cs="Arial"/>
                <w:sz w:val="22"/>
                <w:szCs w:val="22"/>
                <w:lang w:val="es"/>
              </w:rPr>
              <w:t>en razón de la inclusión del servicio de televisión en la provisión de redes y servicio de telecomunicaciones realizada por la Ley 1978 de 2019, por lo cual se deben tener claras las disposiciones vigentes relacionadas con habilitación general, transición de operadores, otorgamiento de concesiones, licencias, permisos, determinación de sus condiciones y registros, entre otros aspectos. L</w:t>
            </w:r>
            <w:proofErr w:type="spellStart"/>
            <w:r w:rsidRPr="00027FFD">
              <w:rPr>
                <w:rFonts w:eastAsia="Arial Narrow" w:cs="Arial"/>
                <w:sz w:val="22"/>
                <w:szCs w:val="22"/>
              </w:rPr>
              <w:t>as</w:t>
            </w:r>
            <w:proofErr w:type="spellEnd"/>
            <w:r w:rsidRPr="00027FFD">
              <w:rPr>
                <w:rFonts w:eastAsia="Arial Narrow" w:cs="Arial"/>
                <w:sz w:val="22"/>
                <w:szCs w:val="22"/>
              </w:rPr>
              <w:t xml:space="preserve"> normas sobre la materia que estén vigentes y que no hayan sido compiladas en la presente resolución, por no ser de competencia del Ministerio, permanecerán insertas en las normas que las contienen actualmente.</w:t>
            </w:r>
          </w:p>
          <w:p w14:paraId="1C480D97" w14:textId="77777777" w:rsidR="00027FFD" w:rsidRPr="00027FFD" w:rsidRDefault="00027FFD" w:rsidP="00027FFD">
            <w:pPr>
              <w:autoSpaceDE w:val="0"/>
              <w:autoSpaceDN w:val="0"/>
              <w:adjustRightInd w:val="0"/>
              <w:ind w:left="426"/>
              <w:jc w:val="both"/>
              <w:rPr>
                <w:rFonts w:eastAsia="Arial Narrow" w:cs="Arial"/>
                <w:sz w:val="22"/>
                <w:szCs w:val="22"/>
                <w:lang w:val="es-CO"/>
              </w:rPr>
            </w:pPr>
          </w:p>
          <w:p w14:paraId="643AEBB0" w14:textId="77777777" w:rsidR="00027FFD" w:rsidRPr="00027FFD" w:rsidRDefault="00027FFD" w:rsidP="00027FFD">
            <w:pPr>
              <w:autoSpaceDE w:val="0"/>
              <w:autoSpaceDN w:val="0"/>
              <w:adjustRightInd w:val="0"/>
              <w:ind w:left="426"/>
              <w:jc w:val="both"/>
              <w:rPr>
                <w:rFonts w:eastAsia="Arial Narrow" w:cs="Arial"/>
                <w:sz w:val="22"/>
                <w:szCs w:val="22"/>
                <w:lang w:val="es-CO"/>
              </w:rPr>
            </w:pPr>
            <w:r w:rsidRPr="00027FFD">
              <w:rPr>
                <w:rFonts w:eastAsia="Arial Narrow" w:cs="Arial"/>
                <w:sz w:val="22"/>
                <w:szCs w:val="22"/>
              </w:rPr>
              <w:lastRenderedPageBreak/>
              <w:t>Delimitado el alcance del presente proyecto compilatorio, fueron definidos como objetivos los siguientes: (i) Contar con un marco normativo consolidado y simplificado en materia de televisión, que facilite su consulta y actualización; (</w:t>
            </w:r>
            <w:proofErr w:type="spellStart"/>
            <w:r w:rsidRPr="00027FFD">
              <w:rPr>
                <w:rFonts w:eastAsia="Arial Narrow" w:cs="Arial"/>
                <w:sz w:val="22"/>
                <w:szCs w:val="22"/>
              </w:rPr>
              <w:t>ii</w:t>
            </w:r>
            <w:proofErr w:type="spellEnd"/>
            <w:r w:rsidRPr="00027FFD">
              <w:rPr>
                <w:rFonts w:eastAsia="Arial Narrow" w:cs="Arial"/>
                <w:sz w:val="22"/>
                <w:szCs w:val="22"/>
              </w:rPr>
              <w:t>) Identificar la reglamentación de carácter general vigente expedida por las hoy extintas CNTV y ANTV, en materia televisión; (</w:t>
            </w:r>
            <w:proofErr w:type="spellStart"/>
            <w:r w:rsidRPr="00027FFD">
              <w:rPr>
                <w:rFonts w:eastAsia="Arial Narrow" w:cs="Arial"/>
                <w:sz w:val="22"/>
                <w:szCs w:val="22"/>
              </w:rPr>
              <w:t>iii</w:t>
            </w:r>
            <w:proofErr w:type="spellEnd"/>
            <w:r w:rsidRPr="00027FFD">
              <w:rPr>
                <w:rFonts w:eastAsia="Arial Narrow" w:cs="Arial"/>
                <w:sz w:val="22"/>
                <w:szCs w:val="22"/>
              </w:rPr>
              <w:t>) Compilar la reglamentación vigente en materia de televisión, que de acuerdo con la distribución de funciones son competencia del Ministerio de Tecnologías de la Información y las Comunicaciones; (</w:t>
            </w:r>
            <w:proofErr w:type="spellStart"/>
            <w:r w:rsidRPr="00027FFD">
              <w:rPr>
                <w:rFonts w:eastAsia="Arial Narrow" w:cs="Arial"/>
                <w:sz w:val="22"/>
                <w:szCs w:val="22"/>
              </w:rPr>
              <w:t>iv</w:t>
            </w:r>
            <w:proofErr w:type="spellEnd"/>
            <w:r w:rsidRPr="00027FFD">
              <w:rPr>
                <w:rFonts w:eastAsia="Arial Narrow" w:cs="Arial"/>
                <w:sz w:val="22"/>
                <w:szCs w:val="22"/>
              </w:rPr>
              <w:t xml:space="preserve">) Simplificar las normas en desuso que en materia de televisión son sujetas a compilación. </w:t>
            </w:r>
          </w:p>
          <w:p w14:paraId="50DF8D0A" w14:textId="77777777" w:rsidR="00027FFD" w:rsidRDefault="00027FFD" w:rsidP="00027FFD">
            <w:pPr>
              <w:autoSpaceDE w:val="0"/>
              <w:autoSpaceDN w:val="0"/>
              <w:adjustRightInd w:val="0"/>
              <w:ind w:left="426"/>
              <w:jc w:val="both"/>
              <w:rPr>
                <w:rFonts w:eastAsia="Arial Narrow" w:cs="Arial"/>
                <w:sz w:val="22"/>
                <w:szCs w:val="22"/>
              </w:rPr>
            </w:pPr>
          </w:p>
          <w:p w14:paraId="4370AC42" w14:textId="133E1CB2" w:rsidR="00027FFD" w:rsidRPr="00027FFD" w:rsidRDefault="00027FFD" w:rsidP="00027FFD">
            <w:pPr>
              <w:autoSpaceDE w:val="0"/>
              <w:autoSpaceDN w:val="0"/>
              <w:adjustRightInd w:val="0"/>
              <w:ind w:left="426"/>
              <w:jc w:val="both"/>
              <w:rPr>
                <w:rFonts w:eastAsia="Arial Narrow" w:cs="Arial"/>
                <w:sz w:val="22"/>
                <w:szCs w:val="22"/>
                <w:lang w:val="es-CO"/>
              </w:rPr>
            </w:pPr>
            <w:r w:rsidRPr="00027FFD">
              <w:rPr>
                <w:rFonts w:eastAsia="Arial Narrow" w:cs="Arial"/>
                <w:sz w:val="22"/>
                <w:szCs w:val="22"/>
              </w:rPr>
              <w:t>En todo caso, se aclara que, al ser el Ministerio de Tecnologías de la Información y las Comunicaciones, la entidad competente para reglamentar las materias objeto de la presente compilación y simplificación, con el propósito de brindar mayor claridad, se eliminarán las referencias a las extintas CNTV y ANTV sustituyéndolas por la entidad que actualmente resulte competente, de acuerdo con la distribución de funciones realizada por la Ley </w:t>
            </w:r>
            <w:hyperlink r:id="rId11">
              <w:r w:rsidRPr="00027FFD">
                <w:rPr>
                  <w:rStyle w:val="Hipervnculo"/>
                  <w:rFonts w:eastAsia="Arial Narrow" w:cs="Arial"/>
                  <w:color w:val="auto"/>
                  <w:sz w:val="22"/>
                  <w:szCs w:val="22"/>
                  <w:u w:val="none"/>
                </w:rPr>
                <w:t>1978</w:t>
              </w:r>
            </w:hyperlink>
            <w:r w:rsidRPr="00027FFD">
              <w:rPr>
                <w:rFonts w:eastAsia="Arial Narrow" w:cs="Arial"/>
                <w:sz w:val="22"/>
                <w:szCs w:val="22"/>
              </w:rPr>
              <w:t> de 2019. En este mismo sentido, se incluirán las referencias pertinentes relacionadas con la posibilidad de acogerse al régimen de habilitación general en materia de televisión, establecida en el artículo </w:t>
            </w:r>
            <w:hyperlink r:id="rId12">
              <w:r w:rsidRPr="00027FFD">
                <w:rPr>
                  <w:rStyle w:val="Hipervnculo"/>
                  <w:rFonts w:eastAsia="Arial Narrow" w:cs="Arial"/>
                  <w:color w:val="auto"/>
                  <w:sz w:val="22"/>
                  <w:szCs w:val="22"/>
                  <w:u w:val="none"/>
                </w:rPr>
                <w:t>7</w:t>
              </w:r>
            </w:hyperlink>
            <w:r w:rsidRPr="00027FFD">
              <w:rPr>
                <w:rFonts w:eastAsia="Arial Narrow" w:cs="Arial"/>
                <w:sz w:val="22"/>
                <w:szCs w:val="22"/>
              </w:rPr>
              <w:t> de la Ley 1978 de 2019, modificatorio del artículo </w:t>
            </w:r>
            <w:hyperlink r:id="rId13">
              <w:r w:rsidRPr="00027FFD">
                <w:rPr>
                  <w:rStyle w:val="Hipervnculo"/>
                  <w:rFonts w:eastAsia="Arial Narrow" w:cs="Arial"/>
                  <w:color w:val="auto"/>
                  <w:sz w:val="22"/>
                  <w:szCs w:val="22"/>
                  <w:u w:val="none"/>
                </w:rPr>
                <w:t>10</w:t>
              </w:r>
            </w:hyperlink>
            <w:r w:rsidRPr="00027FFD">
              <w:rPr>
                <w:rFonts w:eastAsia="Arial Narrow" w:cs="Arial"/>
                <w:sz w:val="22"/>
                <w:szCs w:val="22"/>
              </w:rPr>
              <w:t>  de la Ley 1341 de 2009. Igualmente, se eliminarán o ajustarán las referencias que los actos administrativos objeto de la compilación hacían a sí mismos o a un artículo específico, y se realizará cualquier otra modificación de redacción a la que haya lugar.</w:t>
            </w:r>
          </w:p>
          <w:p w14:paraId="4CD27D53" w14:textId="366DFE6B" w:rsidR="003E673F" w:rsidRPr="00EF08D3" w:rsidRDefault="003E673F" w:rsidP="00E86B07">
            <w:pPr>
              <w:autoSpaceDE w:val="0"/>
              <w:autoSpaceDN w:val="0"/>
              <w:adjustRightInd w:val="0"/>
              <w:jc w:val="both"/>
              <w:rPr>
                <w:rFonts w:eastAsia="Calibri" w:cs="Arial"/>
                <w:sz w:val="22"/>
                <w:szCs w:val="22"/>
                <w:lang w:eastAsia="en-US"/>
              </w:rPr>
            </w:pPr>
          </w:p>
        </w:tc>
      </w:tr>
      <w:tr w:rsidR="00DF60FD" w:rsidRPr="009F7CED" w14:paraId="2C8A0E56" w14:textId="77777777" w:rsidTr="0075705D">
        <w:trPr>
          <w:trHeight w:val="47"/>
        </w:trPr>
        <w:tc>
          <w:tcPr>
            <w:tcW w:w="10774" w:type="dxa"/>
            <w:gridSpan w:val="3"/>
            <w:shd w:val="clear" w:color="auto" w:fill="FFFFFF"/>
            <w:vAlign w:val="center"/>
          </w:tcPr>
          <w:p w14:paraId="2EF9499E" w14:textId="77777777" w:rsidR="00251FCE" w:rsidRPr="009F7CED" w:rsidRDefault="00251FCE" w:rsidP="0075705D">
            <w:pPr>
              <w:jc w:val="both"/>
              <w:rPr>
                <w:lang w:eastAsia="es-CO"/>
              </w:rPr>
            </w:pPr>
          </w:p>
        </w:tc>
      </w:tr>
      <w:tr w:rsidR="00DF60FD" w:rsidRPr="009F7CED"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754CE36" w14:textId="77777777" w:rsidR="00DF60FD" w:rsidRDefault="00DF60FD" w:rsidP="0075705D">
            <w:pPr>
              <w:numPr>
                <w:ilvl w:val="0"/>
                <w:numId w:val="44"/>
              </w:numPr>
              <w:ind w:left="494"/>
              <w:rPr>
                <w:rFonts w:cs="Arial"/>
                <w:b/>
                <w:color w:val="000000"/>
                <w:sz w:val="22"/>
                <w:szCs w:val="22"/>
              </w:rPr>
            </w:pPr>
            <w:r w:rsidRPr="009F7CED">
              <w:rPr>
                <w:rFonts w:cs="Arial"/>
                <w:b/>
                <w:color w:val="000000"/>
                <w:sz w:val="22"/>
                <w:szCs w:val="22"/>
              </w:rPr>
              <w:t>AMBITO DE APLICACIÓN Y SUJETO</w:t>
            </w:r>
            <w:r w:rsidR="00795C6B">
              <w:rPr>
                <w:rFonts w:cs="Arial"/>
                <w:b/>
                <w:color w:val="000000"/>
                <w:sz w:val="22"/>
                <w:szCs w:val="22"/>
              </w:rPr>
              <w:t>S</w:t>
            </w:r>
            <w:r w:rsidRPr="009F7CED">
              <w:rPr>
                <w:rFonts w:cs="Arial"/>
                <w:b/>
                <w:color w:val="000000"/>
                <w:sz w:val="22"/>
                <w:szCs w:val="22"/>
              </w:rPr>
              <w:t xml:space="preserve"> A QUIEN</w:t>
            </w:r>
            <w:r w:rsidR="00795C6B">
              <w:rPr>
                <w:rFonts w:cs="Arial"/>
                <w:b/>
                <w:color w:val="000000"/>
                <w:sz w:val="22"/>
                <w:szCs w:val="22"/>
              </w:rPr>
              <w:t>ES</w:t>
            </w:r>
            <w:r w:rsidRPr="009F7CED">
              <w:rPr>
                <w:rFonts w:cs="Arial"/>
                <w:b/>
                <w:color w:val="000000"/>
                <w:sz w:val="22"/>
                <w:szCs w:val="22"/>
              </w:rPr>
              <w:t xml:space="preserve"> VA DIRIGIDO</w:t>
            </w:r>
          </w:p>
          <w:p w14:paraId="5D0EE678" w14:textId="77777777" w:rsidR="00795C6B" w:rsidRDefault="00795C6B" w:rsidP="0075705D">
            <w:pPr>
              <w:rPr>
                <w:rFonts w:cs="Arial"/>
                <w:b/>
                <w:color w:val="000000"/>
                <w:sz w:val="22"/>
                <w:szCs w:val="22"/>
              </w:rPr>
            </w:pPr>
          </w:p>
          <w:p w14:paraId="0392A2A6" w14:textId="4F5DF9B1" w:rsidR="0050488E" w:rsidRPr="0050488E" w:rsidRDefault="00E86B07" w:rsidP="00EF08D3">
            <w:pPr>
              <w:ind w:left="285"/>
              <w:rPr>
                <w:rFonts w:cs="Arial"/>
                <w:bCs/>
                <w:color w:val="000000"/>
                <w:sz w:val="22"/>
                <w:szCs w:val="22"/>
              </w:rPr>
            </w:pPr>
            <w:r>
              <w:rPr>
                <w:rFonts w:cs="Arial"/>
                <w:bCs/>
                <w:color w:val="000000"/>
                <w:sz w:val="22"/>
                <w:szCs w:val="22"/>
              </w:rPr>
              <w:t>La resolución</w:t>
            </w:r>
            <w:r w:rsidR="0050488E">
              <w:rPr>
                <w:rFonts w:cs="Arial"/>
                <w:bCs/>
                <w:color w:val="000000"/>
                <w:sz w:val="22"/>
                <w:szCs w:val="22"/>
              </w:rPr>
              <w:t xml:space="preserve"> aplica para todos los operadores del servicio de televisión en todas sus modalidades</w:t>
            </w:r>
            <w:r w:rsidR="004F1F4F">
              <w:rPr>
                <w:rFonts w:cs="Arial"/>
                <w:bCs/>
                <w:color w:val="000000"/>
                <w:sz w:val="22"/>
                <w:szCs w:val="22"/>
              </w:rPr>
              <w:t xml:space="preserve">. </w:t>
            </w:r>
          </w:p>
          <w:p w14:paraId="1FAC65D5" w14:textId="77777777" w:rsidR="00795C6B" w:rsidRDefault="00795C6B" w:rsidP="0075705D">
            <w:pPr>
              <w:rPr>
                <w:rFonts w:cs="Arial"/>
                <w:b/>
                <w:color w:val="000000"/>
                <w:sz w:val="22"/>
                <w:szCs w:val="22"/>
              </w:rPr>
            </w:pPr>
          </w:p>
          <w:p w14:paraId="33CB66DC" w14:textId="77777777" w:rsidR="00795C6B" w:rsidRPr="009F7CED" w:rsidRDefault="00795C6B" w:rsidP="0075705D">
            <w:pPr>
              <w:rPr>
                <w:rFonts w:cs="Arial"/>
                <w:iCs/>
                <w:color w:val="000000"/>
                <w:sz w:val="22"/>
                <w:szCs w:val="22"/>
              </w:rPr>
            </w:pPr>
          </w:p>
        </w:tc>
      </w:tr>
      <w:tr w:rsidR="00DF60FD" w:rsidRPr="009F7CED" w14:paraId="568C284A" w14:textId="77777777" w:rsidTr="0075705D">
        <w:trPr>
          <w:trHeight w:val="278"/>
        </w:trPr>
        <w:tc>
          <w:tcPr>
            <w:tcW w:w="10774" w:type="dxa"/>
            <w:gridSpan w:val="3"/>
            <w:tcBorders>
              <w:bottom w:val="single" w:sz="4" w:space="0" w:color="auto"/>
            </w:tcBorders>
            <w:shd w:val="clear" w:color="auto" w:fill="FFFFFF"/>
            <w:vAlign w:val="center"/>
          </w:tcPr>
          <w:p w14:paraId="3440EB42" w14:textId="77777777" w:rsidR="00DF60FD" w:rsidRPr="003E673F" w:rsidRDefault="00795C6B" w:rsidP="0075705D">
            <w:pPr>
              <w:ind w:left="494" w:hanging="283"/>
              <w:rPr>
                <w:rFonts w:eastAsia="Calibri" w:cs="Arial"/>
                <w:b/>
                <w:bCs/>
                <w:sz w:val="22"/>
                <w:szCs w:val="22"/>
                <w:lang w:eastAsia="en-US"/>
              </w:rPr>
            </w:pPr>
            <w:r w:rsidRPr="003E673F">
              <w:rPr>
                <w:rFonts w:eastAsia="Calibri" w:cs="Arial"/>
                <w:b/>
                <w:bCs/>
                <w:sz w:val="22"/>
                <w:szCs w:val="22"/>
                <w:lang w:eastAsia="en-US"/>
              </w:rPr>
              <w:t xml:space="preserve">3. </w:t>
            </w:r>
            <w:r w:rsidR="00DF60FD" w:rsidRPr="003E673F">
              <w:rPr>
                <w:rFonts w:eastAsia="Calibri" w:cs="Arial"/>
                <w:b/>
                <w:bCs/>
                <w:sz w:val="22"/>
                <w:szCs w:val="22"/>
                <w:lang w:eastAsia="en-US"/>
              </w:rPr>
              <w:t>VIABILIDAD JURÍDICA</w:t>
            </w:r>
          </w:p>
          <w:p w14:paraId="1A33E3C6" w14:textId="77777777" w:rsidR="00D05B67" w:rsidRPr="001576E1" w:rsidRDefault="00D05B67" w:rsidP="0075705D">
            <w:pPr>
              <w:ind w:left="494" w:hanging="283"/>
              <w:rPr>
                <w:rFonts w:eastAsia="Calibri" w:cs="Arial"/>
                <w:sz w:val="22"/>
                <w:szCs w:val="22"/>
                <w:lang w:eastAsia="en-US"/>
              </w:rPr>
            </w:pPr>
          </w:p>
          <w:p w14:paraId="53B5F307" w14:textId="77777777" w:rsidR="00795C6B" w:rsidRPr="001576E1" w:rsidRDefault="00795C6B" w:rsidP="0075705D">
            <w:pPr>
              <w:ind w:left="494" w:hanging="283"/>
              <w:jc w:val="both"/>
              <w:rPr>
                <w:rFonts w:eastAsia="Calibri" w:cs="Arial"/>
                <w:sz w:val="22"/>
                <w:szCs w:val="22"/>
                <w:lang w:eastAsia="en-US"/>
              </w:rPr>
            </w:pPr>
            <w:r w:rsidRPr="001576E1">
              <w:rPr>
                <w:rFonts w:eastAsia="Calibri" w:cs="Arial"/>
                <w:sz w:val="22"/>
                <w:szCs w:val="22"/>
                <w:lang w:eastAsia="en-US"/>
              </w:rPr>
              <w:t>3.1 Análisis de las normas que otorgan la competencia para la expedición del proyecto normativo</w:t>
            </w:r>
          </w:p>
          <w:p w14:paraId="0639340E" w14:textId="77777777" w:rsidR="00795C6B" w:rsidRPr="001576E1" w:rsidRDefault="00795C6B" w:rsidP="0075705D">
            <w:pPr>
              <w:ind w:left="494" w:hanging="283"/>
              <w:jc w:val="both"/>
              <w:rPr>
                <w:rFonts w:eastAsia="Calibri" w:cs="Arial"/>
                <w:sz w:val="22"/>
                <w:szCs w:val="22"/>
                <w:lang w:eastAsia="en-US"/>
              </w:rPr>
            </w:pPr>
          </w:p>
          <w:p w14:paraId="46BEDC1C" w14:textId="6C85251E" w:rsidR="004F1F4F" w:rsidRDefault="00E86B07" w:rsidP="004F1F4F">
            <w:pPr>
              <w:autoSpaceDE w:val="0"/>
              <w:autoSpaceDN w:val="0"/>
              <w:adjustRightInd w:val="0"/>
              <w:ind w:left="426"/>
              <w:jc w:val="both"/>
              <w:rPr>
                <w:rFonts w:eastAsia="Calibri" w:cs="Arial"/>
                <w:sz w:val="22"/>
                <w:szCs w:val="22"/>
                <w:lang w:eastAsia="en-US"/>
              </w:rPr>
            </w:pPr>
            <w:r>
              <w:rPr>
                <w:rFonts w:eastAsia="Calibri" w:cs="Arial"/>
                <w:sz w:val="22"/>
                <w:szCs w:val="22"/>
                <w:lang w:eastAsia="en-US"/>
              </w:rPr>
              <w:t>E</w:t>
            </w:r>
            <w:r w:rsidR="004F1F4F" w:rsidRPr="004F1F4F">
              <w:rPr>
                <w:rFonts w:eastAsia="Calibri" w:cs="Arial"/>
                <w:sz w:val="22"/>
                <w:szCs w:val="22"/>
                <w:lang w:eastAsia="en-US"/>
              </w:rPr>
              <w:t xml:space="preserve">l numeral 19 del artículo 18 de la Ley 1341 de 2009 </w:t>
            </w:r>
            <w:r w:rsidR="001E4534">
              <w:rPr>
                <w:rFonts w:eastAsia="Calibri" w:cs="Arial"/>
                <w:sz w:val="22"/>
                <w:szCs w:val="22"/>
                <w:lang w:eastAsia="en-US"/>
              </w:rPr>
              <w:t xml:space="preserve">señala que </w:t>
            </w:r>
            <w:r w:rsidR="004F1F4F" w:rsidRPr="004F1F4F">
              <w:rPr>
                <w:rFonts w:eastAsia="Calibri" w:cs="Arial"/>
                <w:sz w:val="22"/>
                <w:szCs w:val="22"/>
                <w:lang w:eastAsia="en-US"/>
              </w:rPr>
              <w:t>es función del Ministerio de Tecnologías de la Información y las Comunicaciones preparar y expedir los actos administrativos, para los siguientes fines, entre otros: “</w:t>
            </w:r>
            <w:r w:rsidR="004F1F4F" w:rsidRPr="001576E1">
              <w:rPr>
                <w:rFonts w:eastAsia="Calibri" w:cs="Arial"/>
                <w:sz w:val="22"/>
                <w:szCs w:val="22"/>
                <w:lang w:eastAsia="en-US"/>
              </w:rPr>
              <w:t>a). Ejercer la intervención del Estado en el sector de las tecnologías de la información y las comunicaciones, dentro de los límites y con las finalidades previstas por la ley, con excepción de lo dispuesto por el artículo 76 de la Constitución Política. b) Establecer condiciones generales de operación y explotación comercial de redes y servicios que soportan las tecnologías de la información y las comunicaciones y que no se encuentren asignados por la ley a otros entes. c). Expedir de acuerdo con la ley, los reglamentos, condiciones y requisitos para el otorgamiento de licencias, permisos y registros para el uso o explotación de los derechos del Estado sobre el espectro radioeléctrico y los servicios del sector de las tecnologías de la información y las comunicaciones. d). Expedir y administrar las contraprestaciones que le corresponden por ley</w:t>
            </w:r>
            <w:r w:rsidR="004F1F4F" w:rsidRPr="004F1F4F">
              <w:rPr>
                <w:rFonts w:eastAsia="Calibri" w:cs="Arial"/>
                <w:sz w:val="22"/>
                <w:szCs w:val="22"/>
                <w:lang w:eastAsia="en-US"/>
              </w:rPr>
              <w:t>.”</w:t>
            </w:r>
          </w:p>
          <w:p w14:paraId="230F081F" w14:textId="77777777" w:rsidR="004F1F4F" w:rsidRDefault="004F1F4F" w:rsidP="004F1F4F">
            <w:pPr>
              <w:autoSpaceDE w:val="0"/>
              <w:autoSpaceDN w:val="0"/>
              <w:adjustRightInd w:val="0"/>
              <w:ind w:left="426"/>
              <w:jc w:val="both"/>
              <w:rPr>
                <w:rFonts w:eastAsia="Calibri" w:cs="Arial"/>
                <w:sz w:val="22"/>
                <w:szCs w:val="22"/>
                <w:lang w:eastAsia="en-US"/>
              </w:rPr>
            </w:pPr>
          </w:p>
          <w:p w14:paraId="12B760F6" w14:textId="77777777" w:rsidR="004F1F4F" w:rsidRPr="001576E1" w:rsidRDefault="004F1F4F" w:rsidP="004F1F4F">
            <w:pPr>
              <w:autoSpaceDE w:val="0"/>
              <w:autoSpaceDN w:val="0"/>
              <w:adjustRightInd w:val="0"/>
              <w:ind w:left="426"/>
              <w:jc w:val="both"/>
              <w:rPr>
                <w:rFonts w:eastAsia="Calibri" w:cs="Arial"/>
                <w:sz w:val="22"/>
                <w:szCs w:val="22"/>
                <w:lang w:eastAsia="en-US"/>
              </w:rPr>
            </w:pPr>
            <w:r>
              <w:rPr>
                <w:rFonts w:eastAsia="Calibri" w:cs="Arial"/>
                <w:sz w:val="22"/>
                <w:szCs w:val="22"/>
                <w:lang w:eastAsia="en-US"/>
              </w:rPr>
              <w:t xml:space="preserve">Así mismo, </w:t>
            </w:r>
            <w:r w:rsidRPr="004F1F4F">
              <w:rPr>
                <w:rFonts w:eastAsia="Calibri" w:cs="Arial"/>
                <w:sz w:val="22"/>
                <w:szCs w:val="22"/>
                <w:lang w:eastAsia="en-US"/>
              </w:rPr>
              <w:t>de conformidad con los numerales 23, 24, 25 y 30 adicionados al artículo 18 de la Ley 1341 de 2009 por la Ley 1978 de 2019, le corresponde al MinTIC: “</w:t>
            </w:r>
            <w:r w:rsidRPr="001576E1">
              <w:rPr>
                <w:rFonts w:eastAsia="Calibri" w:cs="Arial"/>
                <w:sz w:val="22"/>
                <w:szCs w:val="22"/>
                <w:lang w:eastAsia="en-US"/>
              </w:rPr>
              <w:t xml:space="preserve">23. Reglamentar el otorgamiento y prórroga de las concesiones para la operación del servicio, los contratos de concesión de espacios de televisión y los contratos de cesión de derechos de emisión , producción y coproducción de los programas de televisión, así como los requisitos de las licitaciones, contratos y licencias para acceder al servicio , y el régimen sancionatorio aplicable a los concesionarios, operadores y contratistas de televisión, de conformidad con las normas previstas en la Ley y en los reglamentos. 24. Fijar las tarifas, tasas y derechos, asociados a la concesión, a que se refiere la Ley 182 de 1995. En materia del pago de la </w:t>
            </w:r>
            <w:r w:rsidRPr="001576E1">
              <w:rPr>
                <w:rFonts w:eastAsia="Calibri" w:cs="Arial"/>
                <w:sz w:val="22"/>
                <w:szCs w:val="22"/>
                <w:lang w:eastAsia="en-US"/>
              </w:rPr>
              <w:lastRenderedPageBreak/>
              <w:t>contraprestación los operadores públicos del servicio de televisión mantendrán las exenciones y excepciones que les sean aplicables a la fecha de entrada en vigencia de la presente Ley. 25. Asignar las concesiones para la operación del servicio público de televisión, así como adjudicar y celebrar los contratos de concesión de espacios de televisión. (…) 30. Reglamentar lo relativo al servicio de televisión étnica y afrocolombiana a la que se refiere el parágrafo 2 del artículo 20 de la Ley 335 de 1996, como acción afirmativa para que a través de los entes que por mandato legal del artículo 35 de la Ley 70 de 1993 se desarrollen procesos de etnoeducación. Para el efecto, dentro de los veinticuatro (24) meses siguientes a la vigencia de la presente Ley, el Gobierno Nacional revisará la reglamentación vigente relativa al servicio de televisión étnica y afrocolombiana y adelantará la actualización de la reglamentación que sea requerida.”</w:t>
            </w:r>
          </w:p>
          <w:p w14:paraId="1576EFB8" w14:textId="77777777" w:rsidR="004F1F4F" w:rsidRPr="001576E1" w:rsidRDefault="004F1F4F" w:rsidP="004F1F4F">
            <w:pPr>
              <w:autoSpaceDE w:val="0"/>
              <w:autoSpaceDN w:val="0"/>
              <w:adjustRightInd w:val="0"/>
              <w:ind w:left="426"/>
              <w:jc w:val="both"/>
              <w:rPr>
                <w:rFonts w:eastAsia="Calibri" w:cs="Arial"/>
                <w:sz w:val="22"/>
                <w:szCs w:val="22"/>
                <w:lang w:eastAsia="en-US"/>
              </w:rPr>
            </w:pPr>
          </w:p>
          <w:p w14:paraId="57FC48BA" w14:textId="25F96FCF" w:rsidR="004156D2" w:rsidRPr="001576E1" w:rsidRDefault="00ED3231" w:rsidP="004156D2">
            <w:pPr>
              <w:ind w:left="285"/>
              <w:jc w:val="both"/>
              <w:rPr>
                <w:rFonts w:eastAsia="Calibri" w:cs="Arial"/>
                <w:sz w:val="22"/>
                <w:szCs w:val="22"/>
                <w:lang w:eastAsia="en-US"/>
              </w:rPr>
            </w:pPr>
            <w:r w:rsidRPr="001576E1">
              <w:rPr>
                <w:rFonts w:eastAsia="Calibri" w:cs="Arial"/>
                <w:sz w:val="22"/>
                <w:szCs w:val="22"/>
                <w:lang w:eastAsia="en-US"/>
              </w:rPr>
              <w:t xml:space="preserve">De acuerdo con lo anterior, en el proyecto de </w:t>
            </w:r>
            <w:r w:rsidR="00E86B07">
              <w:rPr>
                <w:rFonts w:eastAsia="Calibri" w:cs="Arial"/>
                <w:sz w:val="22"/>
                <w:szCs w:val="22"/>
                <w:lang w:eastAsia="en-US"/>
              </w:rPr>
              <w:t>Resolución</w:t>
            </w:r>
            <w:r w:rsidRPr="001576E1">
              <w:rPr>
                <w:rFonts w:eastAsia="Calibri" w:cs="Arial"/>
                <w:sz w:val="22"/>
                <w:szCs w:val="22"/>
                <w:lang w:eastAsia="en-US"/>
              </w:rPr>
              <w:t xml:space="preserve"> se compilan las normas expedidas por las extintas ANTV y CNTV que estén relacionadas con las mencionadas funciones. </w:t>
            </w:r>
          </w:p>
          <w:p w14:paraId="59385E88" w14:textId="77777777" w:rsidR="004156D2" w:rsidRPr="001576E1" w:rsidRDefault="004156D2" w:rsidP="004156D2">
            <w:pPr>
              <w:ind w:left="285"/>
              <w:jc w:val="both"/>
              <w:rPr>
                <w:rFonts w:eastAsia="Calibri" w:cs="Arial"/>
                <w:sz w:val="22"/>
                <w:szCs w:val="22"/>
                <w:lang w:eastAsia="en-US"/>
              </w:rPr>
            </w:pPr>
          </w:p>
          <w:p w14:paraId="5B8EAEC3" w14:textId="77777777" w:rsidR="00795C6B" w:rsidRPr="001576E1" w:rsidRDefault="00795C6B" w:rsidP="0075705D">
            <w:pPr>
              <w:ind w:left="494" w:hanging="283"/>
              <w:jc w:val="both"/>
              <w:rPr>
                <w:rFonts w:eastAsia="Calibri" w:cs="Arial"/>
                <w:sz w:val="22"/>
                <w:szCs w:val="22"/>
                <w:lang w:eastAsia="en-US"/>
              </w:rPr>
            </w:pPr>
            <w:r w:rsidRPr="001576E1">
              <w:rPr>
                <w:rFonts w:eastAsia="Calibri" w:cs="Arial"/>
                <w:sz w:val="22"/>
                <w:szCs w:val="22"/>
                <w:lang w:eastAsia="en-US"/>
              </w:rPr>
              <w:t>3.2 Vigencia de la ley o norma reglamentada o desarrollada</w:t>
            </w:r>
          </w:p>
          <w:p w14:paraId="0BD35917" w14:textId="77777777" w:rsidR="00795C6B" w:rsidRPr="001576E1" w:rsidRDefault="00795C6B" w:rsidP="0075705D">
            <w:pPr>
              <w:ind w:left="494" w:hanging="283"/>
              <w:jc w:val="both"/>
              <w:rPr>
                <w:rFonts w:eastAsia="Calibri" w:cs="Arial"/>
                <w:sz w:val="22"/>
                <w:szCs w:val="22"/>
                <w:lang w:eastAsia="en-US"/>
              </w:rPr>
            </w:pPr>
          </w:p>
          <w:p w14:paraId="0AC4DCA9" w14:textId="39A3E77A" w:rsidR="0050488E" w:rsidRPr="001576E1" w:rsidRDefault="00ED3231" w:rsidP="00ED3231">
            <w:pPr>
              <w:ind w:left="421"/>
              <w:jc w:val="both"/>
              <w:rPr>
                <w:rFonts w:eastAsia="Calibri" w:cs="Arial"/>
                <w:sz w:val="22"/>
                <w:szCs w:val="22"/>
                <w:lang w:eastAsia="en-US"/>
              </w:rPr>
            </w:pPr>
            <w:r w:rsidRPr="001576E1">
              <w:rPr>
                <w:rFonts w:eastAsia="Calibri" w:cs="Arial"/>
                <w:sz w:val="22"/>
                <w:szCs w:val="22"/>
                <w:lang w:eastAsia="en-US"/>
              </w:rPr>
              <w:t xml:space="preserve">Teniendo en cuenta que se trata de un ejercicio compilatorio, de las normas expedidas por las extintas ANTV y CNTV se identificaron aquellas disposiciones que son competencia del MinTIC y posteriormente se realizó un análisis de vigencia de cada uno de ellos, teniendo en cuenta el nuevo marco legal del sector TIC. </w:t>
            </w:r>
          </w:p>
          <w:p w14:paraId="0AAD8C3F" w14:textId="77777777" w:rsidR="0050488E" w:rsidRPr="001576E1" w:rsidRDefault="0050488E" w:rsidP="0075705D">
            <w:pPr>
              <w:ind w:left="494" w:hanging="283"/>
              <w:jc w:val="both"/>
              <w:rPr>
                <w:rFonts w:eastAsia="Calibri" w:cs="Arial"/>
                <w:sz w:val="22"/>
                <w:szCs w:val="22"/>
                <w:lang w:eastAsia="en-US"/>
              </w:rPr>
            </w:pPr>
          </w:p>
          <w:p w14:paraId="460D908F" w14:textId="77777777" w:rsidR="00795C6B" w:rsidRPr="001576E1" w:rsidRDefault="00795C6B" w:rsidP="0075705D">
            <w:pPr>
              <w:ind w:left="494" w:hanging="283"/>
              <w:jc w:val="both"/>
              <w:rPr>
                <w:rFonts w:eastAsia="Calibri" w:cs="Arial"/>
                <w:sz w:val="22"/>
                <w:szCs w:val="22"/>
                <w:lang w:eastAsia="en-US"/>
              </w:rPr>
            </w:pPr>
            <w:r w:rsidRPr="001576E1">
              <w:rPr>
                <w:rFonts w:eastAsia="Calibri" w:cs="Arial"/>
                <w:sz w:val="22"/>
                <w:szCs w:val="22"/>
                <w:lang w:eastAsia="en-US"/>
              </w:rPr>
              <w:t>3.3. Disposiciones derogas, subrogadas, modificadas, adicionadas</w:t>
            </w:r>
            <w:r w:rsidR="00D05B67" w:rsidRPr="001576E1">
              <w:rPr>
                <w:rFonts w:eastAsia="Calibri" w:cs="Arial"/>
                <w:sz w:val="22"/>
                <w:szCs w:val="22"/>
                <w:lang w:eastAsia="en-US"/>
              </w:rPr>
              <w:t xml:space="preserve"> o sustituidas </w:t>
            </w:r>
          </w:p>
          <w:p w14:paraId="116FA98D" w14:textId="77777777" w:rsidR="00D05B67" w:rsidRPr="001576E1" w:rsidRDefault="00D05B67" w:rsidP="0075705D">
            <w:pPr>
              <w:ind w:left="494" w:hanging="283"/>
              <w:jc w:val="both"/>
              <w:rPr>
                <w:rFonts w:eastAsia="Calibri" w:cs="Arial"/>
                <w:sz w:val="22"/>
                <w:szCs w:val="22"/>
                <w:lang w:eastAsia="en-US"/>
              </w:rPr>
            </w:pPr>
          </w:p>
          <w:p w14:paraId="34CB26D5" w14:textId="5528272E" w:rsidR="0050488E" w:rsidRPr="001576E1" w:rsidRDefault="00181BFF" w:rsidP="0075705D">
            <w:pPr>
              <w:ind w:left="494" w:hanging="283"/>
              <w:jc w:val="both"/>
              <w:rPr>
                <w:rFonts w:eastAsia="Calibri" w:cs="Arial"/>
                <w:sz w:val="22"/>
                <w:szCs w:val="22"/>
                <w:lang w:eastAsia="en-US"/>
              </w:rPr>
            </w:pPr>
            <w:r>
              <w:rPr>
                <w:rFonts w:eastAsia="Calibri" w:cs="Arial"/>
                <w:sz w:val="22"/>
                <w:szCs w:val="22"/>
                <w:lang w:eastAsia="en-US"/>
              </w:rPr>
              <w:t>La</w:t>
            </w:r>
            <w:r w:rsidR="0050488E" w:rsidRPr="001576E1">
              <w:rPr>
                <w:rFonts w:eastAsia="Calibri" w:cs="Arial"/>
                <w:sz w:val="22"/>
                <w:szCs w:val="22"/>
                <w:lang w:eastAsia="en-US"/>
              </w:rPr>
              <w:t xml:space="preserve"> presente </w:t>
            </w:r>
            <w:r>
              <w:rPr>
                <w:rFonts w:eastAsia="Calibri" w:cs="Arial"/>
                <w:sz w:val="22"/>
                <w:szCs w:val="22"/>
                <w:lang w:eastAsia="en-US"/>
              </w:rPr>
              <w:t>Resolución</w:t>
            </w:r>
            <w:r w:rsidR="0050488E" w:rsidRPr="001576E1">
              <w:rPr>
                <w:rFonts w:eastAsia="Calibri" w:cs="Arial"/>
                <w:sz w:val="22"/>
                <w:szCs w:val="22"/>
                <w:lang w:eastAsia="en-US"/>
              </w:rPr>
              <w:t xml:space="preserve"> deroga las siguientes normas o apartes</w:t>
            </w:r>
          </w:p>
          <w:p w14:paraId="7E7BCBA8" w14:textId="77777777" w:rsidR="003E673F" w:rsidRPr="0091580B" w:rsidRDefault="003E673F" w:rsidP="003E673F">
            <w:pPr>
              <w:pStyle w:val="Prrafodelista"/>
              <w:numPr>
                <w:ilvl w:val="0"/>
                <w:numId w:val="46"/>
              </w:numPr>
              <w:spacing w:after="160" w:line="259" w:lineRule="auto"/>
              <w:rPr>
                <w:rFonts w:cs="Arial"/>
                <w:sz w:val="22"/>
                <w:szCs w:val="22"/>
              </w:rPr>
            </w:pPr>
            <w:r w:rsidRPr="0091580B">
              <w:rPr>
                <w:rFonts w:cs="Arial"/>
                <w:sz w:val="22"/>
                <w:szCs w:val="22"/>
              </w:rPr>
              <w:t>Artículo 10 del Acuerdo CNTV 1 de 1995.</w:t>
            </w:r>
          </w:p>
          <w:p w14:paraId="6E40F96B"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Artículos 24, 25 y 26 del Acuerdo CNTV 2 de 1995.</w:t>
            </w:r>
          </w:p>
          <w:p w14:paraId="4DAD74C8"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6, 7, 8, 9, 10, 11, 12, 13, 14, 15, 16, 17, 18, 19, 22, 23 y 24 del Acuerdo CNTV 12 de 1997. </w:t>
            </w:r>
          </w:p>
          <w:p w14:paraId="126600B0"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1, 2, 3, 4, 5, 6, 7, 8, 9, 10, 11, 12, 13 y 14 del Acuerdo CNTV 20 de 1997. </w:t>
            </w:r>
          </w:p>
          <w:p w14:paraId="6E352638"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Artículos 1, 2, 3, 4, 5, 6, 7, 8, 9, 10, 12, 13 y 14 del Acuerdo CNTV 23 de 1997.</w:t>
            </w:r>
          </w:p>
          <w:p w14:paraId="08081AB9"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Artículos 5, 6, 8, 9, 10, 13, 14, 36, 39, 43, 44, 45, 46, 62 y 63 del Acuerdo CNTV 24 de 1997.</w:t>
            </w:r>
          </w:p>
          <w:p w14:paraId="39F5DFBC"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 1 del Acuerdo CNTV 25 de 1997. </w:t>
            </w:r>
          </w:p>
          <w:p w14:paraId="2894EF70"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Artículos 1, 2, 3, 4, 5, 6, 7, 8, 9, 10, 11, 12, 13, 14 y 15 del Acuerdo CNTV 31 de 1997.</w:t>
            </w:r>
          </w:p>
          <w:p w14:paraId="74B261BE"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 1 de la Resolución CNTV 636 de 1999.</w:t>
            </w:r>
          </w:p>
          <w:p w14:paraId="7A5CAFDB"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Artículos 1 y 2 de la Resolución CNTV 856 de 2001.</w:t>
            </w:r>
          </w:p>
          <w:p w14:paraId="50D34BE2"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 1 de la Resolución CNTV 708 de 2004. </w:t>
            </w:r>
          </w:p>
          <w:p w14:paraId="55130986"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1, 2, 3, 4, 5, 6, 7, 8, 9, 10, 11, 12, 13 y 14 del Acuerdo 1 de 2005. </w:t>
            </w:r>
          </w:p>
          <w:p w14:paraId="56612D26"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 1 del Acuerdo CNTV 2 de 2005. </w:t>
            </w:r>
          </w:p>
          <w:p w14:paraId="690DF1FB"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 9 del Acuerdo CNTV 1 de 2006. </w:t>
            </w:r>
          </w:p>
          <w:p w14:paraId="57090898"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1, 2, 3, 4, 5 y 6 del Acuerdo CNTV 3 de 2008. </w:t>
            </w:r>
          </w:p>
          <w:p w14:paraId="109B83F7"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3, 4 y 5 del Acuerdo CNTV 8 de 2010. </w:t>
            </w:r>
          </w:p>
          <w:p w14:paraId="39225EEA"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49, 50, 51 y 52 del Acuerdo CNTV 2 de 2011. </w:t>
            </w:r>
          </w:p>
          <w:p w14:paraId="76A01C15"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 1 del Acuerdo CNTV 4 del 20 de diciembre de 2011.</w:t>
            </w:r>
          </w:p>
          <w:p w14:paraId="7762531A"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8, 26, 28 y 29 del Acuerdo CNTV 2 de 2012. </w:t>
            </w:r>
          </w:p>
          <w:p w14:paraId="121B07DB"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 10, 11, 12, 13, 14, 15, 16, 17, 18, 19, 20, 21, 22, 23, 24, 25, 33, 34, 35, 36, 37, </w:t>
            </w:r>
            <w:proofErr w:type="gramStart"/>
            <w:r w:rsidRPr="0091580B">
              <w:rPr>
                <w:rFonts w:cs="Arial"/>
                <w:sz w:val="22"/>
                <w:szCs w:val="22"/>
              </w:rPr>
              <w:t>38,y</w:t>
            </w:r>
            <w:proofErr w:type="gramEnd"/>
            <w:r w:rsidRPr="0091580B">
              <w:rPr>
                <w:rFonts w:cs="Arial"/>
                <w:sz w:val="22"/>
                <w:szCs w:val="22"/>
              </w:rPr>
              <w:t xml:space="preserve"> 39 del Acuerdo CNTV 3 de 2012.</w:t>
            </w:r>
          </w:p>
          <w:p w14:paraId="32091654"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1, 2, 4 y 5 de la Resolución ANTV 33 de 2012. </w:t>
            </w:r>
          </w:p>
          <w:p w14:paraId="21AA7015"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lastRenderedPageBreak/>
              <w:t xml:space="preserve">Artículo 1 de la Resolución ANTV 134 de 2012. </w:t>
            </w:r>
          </w:p>
          <w:p w14:paraId="229A87C2"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Artículos 1,2, 3, 4, 5, 6, 7, 8, 9, 10, 11, 12, 13, 14, 15, 16 y 17 de la Resolución ANTV 202 de 2012.</w:t>
            </w:r>
          </w:p>
          <w:p w14:paraId="1D56E4D0"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19, 20, 21 y 22 de la Resolución ANTV 350 de 2016. </w:t>
            </w:r>
          </w:p>
          <w:p w14:paraId="2994B00B"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3, 4, 5, 6, 7, 8, 9, 10, 11, 12, 13, 14, 15, 16, 18, 19, 20, 31, 32 y 33 de la Resolución ANTV 26 de 2018. </w:t>
            </w:r>
          </w:p>
          <w:p w14:paraId="48325D7A"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5, 6, 7, 8, 9, 10, 11, 12, 13, 14, 15, 16, 17, 18, 25, 30, 31, 32, 33 y 34 de la Resolución ANTV 650 de 2018. </w:t>
            </w:r>
          </w:p>
          <w:p w14:paraId="4F38F619" w14:textId="77777777" w:rsidR="003E673F" w:rsidRPr="0091580B" w:rsidRDefault="003E673F" w:rsidP="003E673F">
            <w:pPr>
              <w:pStyle w:val="Prrafodelista"/>
              <w:numPr>
                <w:ilvl w:val="0"/>
                <w:numId w:val="46"/>
              </w:numPr>
              <w:spacing w:after="160" w:line="259" w:lineRule="auto"/>
              <w:jc w:val="both"/>
              <w:rPr>
                <w:rFonts w:cs="Arial"/>
                <w:sz w:val="22"/>
                <w:szCs w:val="22"/>
              </w:rPr>
            </w:pPr>
            <w:r w:rsidRPr="0091580B">
              <w:rPr>
                <w:rFonts w:cs="Arial"/>
                <w:sz w:val="22"/>
                <w:szCs w:val="22"/>
              </w:rPr>
              <w:t xml:space="preserve">Artículos 1, 2, 3, 4, 5, 6, 7, 8, 9, 10, 11, 12, 13 y 14 de la Resolución ANTV 474 de 2019. </w:t>
            </w:r>
          </w:p>
          <w:p w14:paraId="574602AF" w14:textId="053DFCAD" w:rsidR="003E673F" w:rsidRPr="0091580B" w:rsidRDefault="003E673F" w:rsidP="003E673F">
            <w:pPr>
              <w:pStyle w:val="Prrafodelista"/>
              <w:numPr>
                <w:ilvl w:val="0"/>
                <w:numId w:val="46"/>
              </w:numPr>
              <w:spacing w:after="160" w:line="259" w:lineRule="auto"/>
              <w:jc w:val="both"/>
              <w:rPr>
                <w:rFonts w:cs="Arial"/>
              </w:rPr>
            </w:pPr>
            <w:r w:rsidRPr="0091580B">
              <w:rPr>
                <w:rFonts w:cs="Arial"/>
                <w:sz w:val="22"/>
                <w:szCs w:val="22"/>
              </w:rPr>
              <w:t xml:space="preserve">Artículos 1 y 2 de la Resolución </w:t>
            </w:r>
            <w:r>
              <w:rPr>
                <w:rFonts w:cs="Arial"/>
                <w:sz w:val="22"/>
                <w:szCs w:val="22"/>
              </w:rPr>
              <w:t xml:space="preserve">MINTIC </w:t>
            </w:r>
            <w:r w:rsidRPr="0091580B">
              <w:rPr>
                <w:rFonts w:cs="Arial"/>
                <w:sz w:val="22"/>
                <w:szCs w:val="22"/>
              </w:rPr>
              <w:t xml:space="preserve">2107 de 2020. </w:t>
            </w:r>
          </w:p>
          <w:p w14:paraId="33E1D91A" w14:textId="77777777" w:rsidR="003E673F" w:rsidRDefault="003E673F" w:rsidP="003E673F">
            <w:pPr>
              <w:spacing w:after="160" w:line="257" w:lineRule="auto"/>
              <w:jc w:val="both"/>
              <w:rPr>
                <w:rFonts w:eastAsia="Arial" w:cs="Arial"/>
                <w:sz w:val="22"/>
                <w:szCs w:val="22"/>
              </w:rPr>
            </w:pPr>
            <w:r w:rsidRPr="447F240D">
              <w:rPr>
                <w:rFonts w:eastAsia="Arial" w:cs="Arial"/>
                <w:sz w:val="22"/>
                <w:szCs w:val="22"/>
              </w:rPr>
              <w:t>Por pérdida de fuerza de ejecutoria</w:t>
            </w:r>
            <w:r>
              <w:rPr>
                <w:rFonts w:eastAsia="Arial" w:cs="Arial"/>
                <w:sz w:val="22"/>
                <w:szCs w:val="22"/>
              </w:rPr>
              <w:t>:</w:t>
            </w:r>
          </w:p>
          <w:p w14:paraId="7A529900" w14:textId="77777777" w:rsidR="003E673F" w:rsidRPr="00D85D87" w:rsidRDefault="003E673F" w:rsidP="003E673F">
            <w:pPr>
              <w:pStyle w:val="Prrafodelista"/>
              <w:numPr>
                <w:ilvl w:val="0"/>
                <w:numId w:val="47"/>
              </w:numPr>
              <w:spacing w:line="257" w:lineRule="auto"/>
              <w:jc w:val="both"/>
              <w:rPr>
                <w:rFonts w:cs="Arial"/>
              </w:rPr>
            </w:pPr>
            <w:r w:rsidRPr="447F240D">
              <w:rPr>
                <w:rFonts w:eastAsia="Arial" w:cs="Arial"/>
                <w:sz w:val="22"/>
                <w:szCs w:val="22"/>
              </w:rPr>
              <w:t>Artículos 1, 2, 3, 4, 5, 6, 7, 8 y 9 del Acuerdo CNTV 4 de 2004.</w:t>
            </w:r>
          </w:p>
          <w:p w14:paraId="4DC49E0B" w14:textId="77777777" w:rsidR="003E673F" w:rsidRDefault="003E673F" w:rsidP="003E673F">
            <w:pPr>
              <w:pStyle w:val="Prrafodelista"/>
              <w:numPr>
                <w:ilvl w:val="0"/>
                <w:numId w:val="46"/>
              </w:numPr>
              <w:spacing w:after="160" w:line="259" w:lineRule="auto"/>
              <w:jc w:val="both"/>
              <w:rPr>
                <w:rFonts w:cs="Arial"/>
                <w:sz w:val="22"/>
                <w:szCs w:val="22"/>
              </w:rPr>
            </w:pPr>
            <w:r w:rsidRPr="09A11810">
              <w:rPr>
                <w:rFonts w:cs="Arial"/>
                <w:sz w:val="22"/>
                <w:szCs w:val="22"/>
              </w:rPr>
              <w:t>Artículos 1, 2, 3 y 4 del Acuerdo CNTV 6 de 2006.</w:t>
            </w:r>
          </w:p>
          <w:p w14:paraId="172643C3" w14:textId="77777777" w:rsidR="0050488E" w:rsidRPr="001576E1" w:rsidRDefault="0050488E" w:rsidP="0075705D">
            <w:pPr>
              <w:ind w:left="494" w:hanging="283"/>
              <w:jc w:val="both"/>
              <w:rPr>
                <w:rFonts w:eastAsia="Calibri" w:cs="Arial"/>
                <w:sz w:val="22"/>
                <w:szCs w:val="22"/>
                <w:lang w:eastAsia="en-US"/>
              </w:rPr>
            </w:pPr>
          </w:p>
          <w:p w14:paraId="03C83369" w14:textId="77777777" w:rsidR="00D05B67" w:rsidRPr="001576E1" w:rsidRDefault="00D05B67" w:rsidP="0075705D">
            <w:pPr>
              <w:ind w:left="494" w:hanging="283"/>
              <w:jc w:val="both"/>
              <w:rPr>
                <w:rFonts w:eastAsia="Calibri" w:cs="Arial"/>
                <w:sz w:val="22"/>
                <w:szCs w:val="22"/>
                <w:lang w:eastAsia="en-US"/>
              </w:rPr>
            </w:pPr>
            <w:r w:rsidRPr="001576E1">
              <w:rPr>
                <w:rFonts w:eastAsia="Calibri" w:cs="Arial"/>
                <w:sz w:val="22"/>
                <w:szCs w:val="22"/>
                <w:lang w:eastAsia="en-US"/>
              </w:rPr>
              <w:t>3.4 Revisión y análisis de la jurisprudencia que tenga impacto o sea relevante para la expedición del proyecto normativo (órganos de cierre de cada jurisdicción)</w:t>
            </w:r>
          </w:p>
          <w:p w14:paraId="3268E490" w14:textId="77777777" w:rsidR="00D05B67" w:rsidRDefault="00D05B67" w:rsidP="0075705D">
            <w:pPr>
              <w:ind w:left="494" w:hanging="283"/>
              <w:jc w:val="both"/>
              <w:rPr>
                <w:rFonts w:eastAsia="Calibri" w:cs="Arial"/>
                <w:sz w:val="22"/>
                <w:szCs w:val="22"/>
                <w:lang w:eastAsia="en-US"/>
              </w:rPr>
            </w:pPr>
          </w:p>
          <w:p w14:paraId="63D28914" w14:textId="646336AA" w:rsidR="003E673F" w:rsidRPr="001576E1" w:rsidRDefault="003E673F" w:rsidP="003E673F">
            <w:pPr>
              <w:ind w:left="494" w:hanging="283"/>
              <w:jc w:val="both"/>
              <w:rPr>
                <w:rFonts w:eastAsia="Calibri" w:cs="Arial"/>
                <w:sz w:val="22"/>
                <w:szCs w:val="22"/>
                <w:lang w:eastAsia="en-US"/>
              </w:rPr>
            </w:pPr>
            <w:r w:rsidRPr="003E673F">
              <w:rPr>
                <w:rFonts w:eastAsia="Calibri" w:cs="Arial"/>
                <w:sz w:val="22"/>
                <w:szCs w:val="22"/>
                <w:lang w:eastAsia="en-US"/>
              </w:rPr>
              <w:t>A la fecha no se conoce la existencia de precedentes jurisprudenciales que puedan tener impacto o ser relevantes para la expedición de</w:t>
            </w:r>
            <w:r w:rsidR="00B66141">
              <w:rPr>
                <w:rFonts w:eastAsia="Calibri" w:cs="Arial"/>
                <w:sz w:val="22"/>
                <w:szCs w:val="22"/>
                <w:lang w:eastAsia="en-US"/>
              </w:rPr>
              <w:t xml:space="preserve"> la resolución</w:t>
            </w:r>
            <w:r w:rsidRPr="003E673F">
              <w:rPr>
                <w:rFonts w:eastAsia="Calibri" w:cs="Arial"/>
                <w:sz w:val="22"/>
                <w:szCs w:val="22"/>
                <w:lang w:eastAsia="en-US"/>
              </w:rPr>
              <w:t xml:space="preserve">. </w:t>
            </w:r>
          </w:p>
          <w:p w14:paraId="3E907ECE" w14:textId="77777777" w:rsidR="00ED3231" w:rsidRPr="001576E1" w:rsidRDefault="00ED3231" w:rsidP="0075705D">
            <w:pPr>
              <w:ind w:left="494" w:hanging="283"/>
              <w:jc w:val="both"/>
              <w:rPr>
                <w:rFonts w:eastAsia="Calibri" w:cs="Arial"/>
                <w:sz w:val="22"/>
                <w:szCs w:val="22"/>
                <w:lang w:eastAsia="en-US"/>
              </w:rPr>
            </w:pPr>
          </w:p>
          <w:p w14:paraId="7D154299" w14:textId="77777777" w:rsidR="00D05B67" w:rsidRPr="001576E1" w:rsidRDefault="00D05B67" w:rsidP="0075705D">
            <w:pPr>
              <w:ind w:left="494" w:hanging="283"/>
              <w:jc w:val="both"/>
              <w:rPr>
                <w:rFonts w:eastAsia="Calibri" w:cs="Arial"/>
                <w:sz w:val="22"/>
                <w:szCs w:val="22"/>
                <w:lang w:eastAsia="en-US"/>
              </w:rPr>
            </w:pPr>
            <w:r w:rsidRPr="001576E1">
              <w:rPr>
                <w:rFonts w:eastAsia="Calibri" w:cs="Arial"/>
                <w:sz w:val="22"/>
                <w:szCs w:val="22"/>
                <w:lang w:eastAsia="en-US"/>
              </w:rPr>
              <w:t xml:space="preserve">3.5 Circunstancias jurídicas adicionales </w:t>
            </w:r>
          </w:p>
          <w:p w14:paraId="4586C7E2" w14:textId="77777777" w:rsidR="00ED3231" w:rsidRDefault="00ED3231" w:rsidP="0075705D">
            <w:pPr>
              <w:ind w:left="494" w:hanging="283"/>
              <w:jc w:val="both"/>
              <w:rPr>
                <w:rFonts w:eastAsia="Calibri" w:cs="Arial"/>
                <w:sz w:val="22"/>
                <w:szCs w:val="22"/>
                <w:lang w:eastAsia="en-US"/>
              </w:rPr>
            </w:pPr>
          </w:p>
          <w:p w14:paraId="47F8B996" w14:textId="77777777" w:rsidR="003E673F" w:rsidRPr="003E673F" w:rsidRDefault="003E673F" w:rsidP="003E673F">
            <w:pPr>
              <w:ind w:left="494" w:hanging="283"/>
              <w:jc w:val="both"/>
              <w:rPr>
                <w:rFonts w:eastAsia="Calibri" w:cs="Arial"/>
                <w:sz w:val="22"/>
                <w:szCs w:val="22"/>
                <w:lang w:eastAsia="en-US"/>
              </w:rPr>
            </w:pPr>
            <w:r w:rsidRPr="003E673F">
              <w:rPr>
                <w:rFonts w:eastAsia="Calibri" w:cs="Arial"/>
                <w:sz w:val="22"/>
                <w:szCs w:val="22"/>
                <w:lang w:eastAsia="en-US"/>
              </w:rPr>
              <w:t xml:space="preserve">El proyecto de Decreto bajo estudio no pretende dar cumplimiento a requerimientos judiciales. </w:t>
            </w:r>
          </w:p>
          <w:p w14:paraId="2758CC8F" w14:textId="77777777" w:rsidR="003E673F" w:rsidRPr="001576E1" w:rsidRDefault="003E673F" w:rsidP="0075705D">
            <w:pPr>
              <w:ind w:left="494" w:hanging="283"/>
              <w:jc w:val="both"/>
              <w:rPr>
                <w:rFonts w:eastAsia="Calibri" w:cs="Arial"/>
                <w:sz w:val="22"/>
                <w:szCs w:val="22"/>
                <w:lang w:eastAsia="en-US"/>
              </w:rPr>
            </w:pPr>
          </w:p>
          <w:p w14:paraId="79CEB7B4" w14:textId="77777777" w:rsidR="00ED3231" w:rsidRPr="001576E1" w:rsidRDefault="00ED3231" w:rsidP="00ED3231">
            <w:pPr>
              <w:jc w:val="both"/>
              <w:rPr>
                <w:rFonts w:eastAsia="Calibri" w:cs="Arial"/>
                <w:sz w:val="22"/>
                <w:szCs w:val="22"/>
                <w:lang w:eastAsia="en-US"/>
              </w:rPr>
            </w:pPr>
          </w:p>
          <w:p w14:paraId="33A8E311" w14:textId="77777777" w:rsidR="00D05B67" w:rsidRPr="001576E1" w:rsidRDefault="00D05B67" w:rsidP="00795C6B">
            <w:pPr>
              <w:pBdr>
                <w:top w:val="single" w:sz="4" w:space="1" w:color="auto"/>
                <w:left w:val="single" w:sz="4" w:space="4" w:color="auto"/>
                <w:bottom w:val="single" w:sz="4" w:space="1" w:color="auto"/>
                <w:right w:val="single" w:sz="4" w:space="4" w:color="auto"/>
              </w:pBdr>
              <w:jc w:val="both"/>
              <w:rPr>
                <w:rFonts w:eastAsia="Calibri" w:cs="Arial"/>
                <w:sz w:val="22"/>
                <w:szCs w:val="22"/>
                <w:lang w:eastAsia="en-US"/>
              </w:rPr>
            </w:pPr>
          </w:p>
          <w:p w14:paraId="7B6F1C09" w14:textId="77777777" w:rsidR="003E673F" w:rsidRPr="009F7CED" w:rsidRDefault="003E673F" w:rsidP="003E673F">
            <w:pPr>
              <w:numPr>
                <w:ilvl w:val="0"/>
                <w:numId w:val="45"/>
              </w:numPr>
              <w:rPr>
                <w:rFonts w:cs="Arial"/>
                <w:b/>
                <w:color w:val="000000"/>
                <w:sz w:val="22"/>
                <w:szCs w:val="22"/>
              </w:rPr>
            </w:pPr>
            <w:r w:rsidRPr="009F7CED">
              <w:rPr>
                <w:rFonts w:cs="Arial"/>
                <w:b/>
                <w:color w:val="000000"/>
                <w:sz w:val="22"/>
                <w:szCs w:val="22"/>
              </w:rPr>
              <w:t xml:space="preserve">IMPACTO ECONÓMICO </w:t>
            </w:r>
            <w:r w:rsidRPr="00D05B67">
              <w:rPr>
                <w:rFonts w:cs="Arial"/>
                <w:color w:val="000000"/>
                <w:sz w:val="22"/>
                <w:szCs w:val="22"/>
              </w:rPr>
              <w:t>(Si se requiere)</w:t>
            </w:r>
          </w:p>
          <w:p w14:paraId="70937A9B" w14:textId="77777777" w:rsidR="003E673F" w:rsidRDefault="003E673F" w:rsidP="003E673F">
            <w:pPr>
              <w:jc w:val="both"/>
              <w:rPr>
                <w:rFonts w:cs="Arial"/>
                <w:sz w:val="22"/>
                <w:szCs w:val="22"/>
                <w:lang w:val="es-CO"/>
              </w:rPr>
            </w:pPr>
          </w:p>
          <w:p w14:paraId="64D37787" w14:textId="64B0F49F" w:rsidR="003E673F" w:rsidRDefault="00B66141" w:rsidP="003E673F">
            <w:pPr>
              <w:ind w:left="285"/>
              <w:jc w:val="both"/>
              <w:rPr>
                <w:rFonts w:cs="Arial"/>
                <w:sz w:val="22"/>
                <w:szCs w:val="22"/>
                <w:lang w:val="es-CO"/>
              </w:rPr>
            </w:pPr>
            <w:r>
              <w:rPr>
                <w:rFonts w:cs="Arial"/>
                <w:sz w:val="22"/>
                <w:szCs w:val="22"/>
                <w:lang w:val="es-CO"/>
              </w:rPr>
              <w:t xml:space="preserve">La </w:t>
            </w:r>
            <w:r w:rsidR="003E673F">
              <w:rPr>
                <w:rFonts w:cs="Arial"/>
                <w:sz w:val="22"/>
                <w:szCs w:val="22"/>
                <w:lang w:val="es-CO"/>
              </w:rPr>
              <w:t xml:space="preserve">presente </w:t>
            </w:r>
            <w:r>
              <w:rPr>
                <w:rFonts w:cs="Arial"/>
                <w:sz w:val="22"/>
                <w:szCs w:val="22"/>
                <w:lang w:val="es-CO"/>
              </w:rPr>
              <w:t>resolución</w:t>
            </w:r>
            <w:r w:rsidR="003E673F">
              <w:rPr>
                <w:rFonts w:cs="Arial"/>
                <w:sz w:val="22"/>
                <w:szCs w:val="22"/>
                <w:lang w:val="es-CO"/>
              </w:rPr>
              <w:t xml:space="preserve"> no genera impacto económico alguno </w:t>
            </w:r>
            <w:r w:rsidR="003E673F" w:rsidRPr="003E673F">
              <w:rPr>
                <w:rFonts w:cs="Arial"/>
                <w:sz w:val="22"/>
                <w:szCs w:val="22"/>
              </w:rPr>
              <w:t>para el Ministerio ni para el Fondo Único de Tecnologías de la Información y las Comunicaciones</w:t>
            </w:r>
            <w:r w:rsidR="003E673F">
              <w:rPr>
                <w:rFonts w:cs="Arial"/>
                <w:sz w:val="22"/>
                <w:szCs w:val="22"/>
                <w:lang w:val="es-CO"/>
              </w:rPr>
              <w:t xml:space="preserve">, debido a que su naturaleza es de compilación normativa. </w:t>
            </w:r>
          </w:p>
          <w:p w14:paraId="711BC3D6" w14:textId="77777777" w:rsidR="00795C6B" w:rsidRPr="003E673F" w:rsidRDefault="00795C6B" w:rsidP="00795C6B">
            <w:pPr>
              <w:pBdr>
                <w:top w:val="single" w:sz="4" w:space="1" w:color="auto"/>
                <w:left w:val="single" w:sz="4" w:space="4" w:color="auto"/>
                <w:bottom w:val="single" w:sz="4" w:space="1" w:color="auto"/>
                <w:right w:val="single" w:sz="4" w:space="4" w:color="auto"/>
              </w:pBdr>
              <w:jc w:val="both"/>
              <w:rPr>
                <w:rFonts w:eastAsia="Calibri" w:cs="Arial"/>
                <w:sz w:val="22"/>
                <w:szCs w:val="22"/>
                <w:lang w:val="es-CO" w:eastAsia="en-US"/>
              </w:rPr>
            </w:pPr>
          </w:p>
          <w:p w14:paraId="5134DF94" w14:textId="77777777" w:rsidR="00795C6B" w:rsidRPr="001576E1" w:rsidRDefault="00795C6B" w:rsidP="00795C6B">
            <w:pPr>
              <w:pBdr>
                <w:top w:val="single" w:sz="4" w:space="1" w:color="auto"/>
                <w:left w:val="single" w:sz="4" w:space="4" w:color="auto"/>
                <w:bottom w:val="single" w:sz="4" w:space="1" w:color="auto"/>
                <w:right w:val="single" w:sz="4" w:space="4" w:color="auto"/>
              </w:pBdr>
              <w:jc w:val="both"/>
              <w:rPr>
                <w:rFonts w:eastAsia="Calibri" w:cs="Arial"/>
                <w:sz w:val="22"/>
                <w:szCs w:val="22"/>
                <w:lang w:eastAsia="en-US"/>
              </w:rPr>
            </w:pPr>
          </w:p>
          <w:p w14:paraId="74720DE6" w14:textId="77777777" w:rsidR="00795C6B" w:rsidRPr="001576E1" w:rsidRDefault="00795C6B" w:rsidP="00795C6B">
            <w:pPr>
              <w:pBdr>
                <w:top w:val="single" w:sz="4" w:space="1" w:color="auto"/>
                <w:left w:val="single" w:sz="4" w:space="4" w:color="auto"/>
                <w:bottom w:val="single" w:sz="4" w:space="1" w:color="auto"/>
                <w:right w:val="single" w:sz="4" w:space="4" w:color="auto"/>
              </w:pBdr>
              <w:jc w:val="both"/>
              <w:rPr>
                <w:rFonts w:eastAsia="Calibri" w:cs="Arial"/>
                <w:sz w:val="22"/>
                <w:szCs w:val="22"/>
                <w:lang w:eastAsia="en-US"/>
              </w:rPr>
            </w:pPr>
          </w:p>
        </w:tc>
      </w:tr>
      <w:tr w:rsidR="00DF60FD" w:rsidRPr="009F7CED"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9F7CED" w:rsidRDefault="00843EFF" w:rsidP="00A161B9">
            <w:pPr>
              <w:rPr>
                <w:rFonts w:cs="Arial"/>
                <w:b/>
                <w:color w:val="000000"/>
                <w:sz w:val="22"/>
                <w:szCs w:val="22"/>
              </w:rPr>
            </w:pPr>
          </w:p>
          <w:p w14:paraId="4AAA52F6" w14:textId="7B18323B" w:rsidR="00696582" w:rsidRDefault="00795C6B" w:rsidP="0050488E">
            <w:pPr>
              <w:numPr>
                <w:ilvl w:val="0"/>
                <w:numId w:val="45"/>
              </w:numPr>
              <w:rPr>
                <w:rFonts w:cs="Arial"/>
                <w:b/>
                <w:color w:val="000000"/>
                <w:sz w:val="22"/>
                <w:szCs w:val="22"/>
              </w:rPr>
            </w:pPr>
            <w:r>
              <w:rPr>
                <w:rFonts w:cs="Arial"/>
                <w:b/>
                <w:color w:val="000000"/>
                <w:sz w:val="22"/>
                <w:szCs w:val="22"/>
              </w:rPr>
              <w:t xml:space="preserve">VIABILIDAD O </w:t>
            </w:r>
            <w:r w:rsidR="00DF60FD" w:rsidRPr="009F7CED">
              <w:rPr>
                <w:rFonts w:cs="Arial"/>
                <w:b/>
                <w:color w:val="000000"/>
                <w:sz w:val="22"/>
                <w:szCs w:val="22"/>
              </w:rPr>
              <w:t xml:space="preserve">DISPONIBILIDAD PRESUPUESTAL </w:t>
            </w:r>
            <w:r w:rsidR="00D05B67" w:rsidRPr="00D05B67">
              <w:rPr>
                <w:rFonts w:cs="Arial"/>
                <w:color w:val="000000"/>
                <w:sz w:val="22"/>
                <w:szCs w:val="22"/>
              </w:rPr>
              <w:t>(Si se requiere)</w:t>
            </w:r>
          </w:p>
          <w:p w14:paraId="027FC99A" w14:textId="77777777" w:rsidR="0050488E" w:rsidRDefault="0050488E" w:rsidP="0050488E">
            <w:pPr>
              <w:ind w:left="360"/>
              <w:rPr>
                <w:rFonts w:cs="Arial"/>
                <w:b/>
                <w:color w:val="000000"/>
                <w:sz w:val="22"/>
                <w:szCs w:val="22"/>
              </w:rPr>
            </w:pPr>
          </w:p>
          <w:p w14:paraId="47666904" w14:textId="77777777" w:rsidR="00DD71FD" w:rsidRPr="00DD71FD" w:rsidRDefault="00DD71FD" w:rsidP="00DD71FD">
            <w:pPr>
              <w:ind w:left="360"/>
              <w:rPr>
                <w:rFonts w:cs="Arial"/>
                <w:b/>
                <w:bCs/>
                <w:color w:val="000000"/>
                <w:sz w:val="22"/>
                <w:szCs w:val="22"/>
              </w:rPr>
            </w:pPr>
            <w:r w:rsidRPr="00DD71FD">
              <w:rPr>
                <w:rFonts w:cs="Arial"/>
                <w:bCs/>
                <w:color w:val="000000"/>
                <w:sz w:val="22"/>
                <w:szCs w:val="22"/>
              </w:rPr>
              <w:t>El proyecto no requiere certificado de disponibilidad presupuestal por cuanto su implementación no genera impacto económico para el MINTIC ni el FUTIC.</w:t>
            </w:r>
          </w:p>
          <w:p w14:paraId="67DDB395" w14:textId="77777777" w:rsidR="00F77DB8" w:rsidRPr="00F77DB8" w:rsidRDefault="00F77DB8" w:rsidP="00F77DB8">
            <w:pPr>
              <w:rPr>
                <w:sz w:val="22"/>
                <w:szCs w:val="22"/>
                <w:lang w:eastAsia="es-CO"/>
              </w:rPr>
            </w:pPr>
          </w:p>
          <w:p w14:paraId="139BA6FB" w14:textId="033D75D2" w:rsidR="00F77DB8" w:rsidRPr="00F77DB8" w:rsidRDefault="00F77DB8" w:rsidP="00F77DB8">
            <w:pPr>
              <w:rPr>
                <w:sz w:val="22"/>
                <w:szCs w:val="22"/>
                <w:lang w:eastAsia="es-CO"/>
              </w:rPr>
            </w:pPr>
          </w:p>
        </w:tc>
      </w:tr>
      <w:tr w:rsidR="00DF60FD" w:rsidRPr="009F7CED"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54F70D4D" w14:textId="77777777" w:rsidR="0050488E" w:rsidRDefault="00DF60FD" w:rsidP="0050488E">
            <w:pPr>
              <w:numPr>
                <w:ilvl w:val="0"/>
                <w:numId w:val="45"/>
              </w:numPr>
              <w:jc w:val="both"/>
              <w:rPr>
                <w:rFonts w:cs="Arial"/>
                <w:b/>
                <w:color w:val="000000"/>
                <w:sz w:val="22"/>
                <w:szCs w:val="22"/>
              </w:rPr>
            </w:pPr>
            <w:r w:rsidRPr="009F7CED">
              <w:rPr>
                <w:rFonts w:cs="Arial"/>
                <w:b/>
                <w:color w:val="000000"/>
                <w:sz w:val="22"/>
                <w:szCs w:val="22"/>
              </w:rPr>
              <w:t xml:space="preserve"> IMPACTO MEDIOAMBIENTAL O SOBRE EL PATRIMONIO CULTURAL DE LA NACIÓN </w:t>
            </w:r>
            <w:r w:rsidR="00D05B67" w:rsidRPr="00D05B67">
              <w:rPr>
                <w:rFonts w:cs="Arial"/>
                <w:color w:val="000000"/>
                <w:sz w:val="22"/>
                <w:szCs w:val="22"/>
              </w:rPr>
              <w:t>(Si se requiere)</w:t>
            </w:r>
          </w:p>
          <w:p w14:paraId="757A3696" w14:textId="77777777" w:rsidR="0050488E" w:rsidRDefault="0050488E" w:rsidP="0050488E">
            <w:pPr>
              <w:ind w:left="360"/>
              <w:jc w:val="both"/>
              <w:rPr>
                <w:rFonts w:cs="Arial"/>
                <w:b/>
                <w:color w:val="000000"/>
                <w:sz w:val="22"/>
                <w:szCs w:val="22"/>
              </w:rPr>
            </w:pPr>
          </w:p>
          <w:p w14:paraId="1576B219" w14:textId="34F71C41" w:rsidR="00DD71FD" w:rsidRPr="00DD71FD" w:rsidRDefault="00DD71FD" w:rsidP="00DD71FD">
            <w:pPr>
              <w:ind w:left="360"/>
              <w:jc w:val="both"/>
              <w:rPr>
                <w:rFonts w:cs="Arial"/>
                <w:b/>
                <w:bCs/>
                <w:color w:val="000000"/>
                <w:sz w:val="22"/>
                <w:szCs w:val="22"/>
              </w:rPr>
            </w:pPr>
            <w:r w:rsidRPr="00DD71FD">
              <w:rPr>
                <w:rFonts w:cs="Arial"/>
                <w:bCs/>
                <w:color w:val="000000"/>
                <w:sz w:val="22"/>
                <w:szCs w:val="22"/>
              </w:rPr>
              <w:t xml:space="preserve">Las disposiciones contenidas en </w:t>
            </w:r>
            <w:r w:rsidR="00B66141">
              <w:rPr>
                <w:rFonts w:cs="Arial"/>
                <w:bCs/>
                <w:color w:val="000000"/>
                <w:sz w:val="22"/>
                <w:szCs w:val="22"/>
              </w:rPr>
              <w:t>la resolución compilatoria</w:t>
            </w:r>
            <w:r w:rsidRPr="00DD71FD">
              <w:rPr>
                <w:rFonts w:cs="Arial"/>
                <w:bCs/>
                <w:color w:val="000000"/>
                <w:sz w:val="22"/>
                <w:szCs w:val="22"/>
              </w:rPr>
              <w:t xml:space="preserve"> a expedir no generan impacto medioambiental o sobre el patrimonio cultural de la Nación</w:t>
            </w:r>
          </w:p>
          <w:p w14:paraId="49D2B544" w14:textId="18ABE4D6" w:rsidR="0050488E" w:rsidRPr="0050488E" w:rsidRDefault="0050488E" w:rsidP="0050488E">
            <w:pPr>
              <w:ind w:left="360"/>
              <w:jc w:val="both"/>
              <w:rPr>
                <w:rFonts w:cs="Arial"/>
                <w:bCs/>
                <w:color w:val="000000"/>
                <w:sz w:val="22"/>
                <w:szCs w:val="22"/>
              </w:rPr>
            </w:pPr>
          </w:p>
        </w:tc>
      </w:tr>
      <w:tr w:rsidR="00DF60FD" w:rsidRPr="009F7CED"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63762FA7" w14:textId="77777777" w:rsidR="00D05B67" w:rsidRDefault="00D05B67" w:rsidP="00696582">
            <w:pPr>
              <w:numPr>
                <w:ilvl w:val="0"/>
                <w:numId w:val="45"/>
              </w:numPr>
              <w:jc w:val="both"/>
              <w:rPr>
                <w:rFonts w:cs="Arial"/>
                <w:sz w:val="22"/>
                <w:szCs w:val="22"/>
              </w:rPr>
            </w:pPr>
            <w:r w:rsidRPr="00D05B67">
              <w:rPr>
                <w:rFonts w:cs="Arial"/>
                <w:b/>
                <w:sz w:val="22"/>
                <w:szCs w:val="22"/>
              </w:rPr>
              <w:lastRenderedPageBreak/>
              <w:t>ESTUDIOS TÉCNICOS QUE SUSTENTEN EL PROYECTO NORMATIVO</w:t>
            </w:r>
            <w:r>
              <w:rPr>
                <w:rFonts w:cs="Arial"/>
                <w:sz w:val="22"/>
                <w:szCs w:val="22"/>
              </w:rPr>
              <w:t xml:space="preserve"> (Si cuenta con ellos)</w:t>
            </w:r>
            <w:r w:rsidR="00696582" w:rsidRPr="009F7CED">
              <w:rPr>
                <w:rFonts w:cs="Arial"/>
                <w:sz w:val="22"/>
                <w:szCs w:val="22"/>
              </w:rPr>
              <w:t xml:space="preserve"> </w:t>
            </w:r>
          </w:p>
          <w:p w14:paraId="6F1FC5FF" w14:textId="77777777" w:rsidR="0050488E" w:rsidRDefault="0050488E" w:rsidP="0050488E">
            <w:pPr>
              <w:ind w:left="360"/>
              <w:jc w:val="both"/>
              <w:rPr>
                <w:rFonts w:cs="Arial"/>
                <w:b/>
                <w:sz w:val="22"/>
                <w:szCs w:val="22"/>
              </w:rPr>
            </w:pPr>
          </w:p>
          <w:p w14:paraId="6D2D5AC3" w14:textId="52ECFE85" w:rsidR="0050488E" w:rsidRPr="0050488E" w:rsidRDefault="00B66141" w:rsidP="0050488E">
            <w:pPr>
              <w:ind w:left="360"/>
              <w:jc w:val="both"/>
              <w:rPr>
                <w:rFonts w:cs="Arial"/>
                <w:bCs/>
                <w:sz w:val="22"/>
                <w:szCs w:val="22"/>
              </w:rPr>
            </w:pPr>
            <w:r>
              <w:rPr>
                <w:rFonts w:cs="Arial"/>
                <w:bCs/>
                <w:sz w:val="22"/>
                <w:szCs w:val="22"/>
              </w:rPr>
              <w:t xml:space="preserve">La </w:t>
            </w:r>
            <w:r w:rsidR="00082C69">
              <w:rPr>
                <w:rFonts w:cs="Arial"/>
                <w:bCs/>
                <w:sz w:val="22"/>
                <w:szCs w:val="22"/>
              </w:rPr>
              <w:t>presente</w:t>
            </w:r>
            <w:r w:rsidR="0050488E">
              <w:rPr>
                <w:rFonts w:cs="Arial"/>
                <w:bCs/>
                <w:sz w:val="22"/>
                <w:szCs w:val="22"/>
              </w:rPr>
              <w:t xml:space="preserve"> </w:t>
            </w:r>
            <w:r w:rsidR="00082C69">
              <w:rPr>
                <w:rFonts w:cs="Arial"/>
                <w:bCs/>
                <w:sz w:val="22"/>
                <w:szCs w:val="22"/>
              </w:rPr>
              <w:t>Resolución</w:t>
            </w:r>
            <w:r w:rsidR="0050488E">
              <w:rPr>
                <w:rFonts w:cs="Arial"/>
                <w:bCs/>
                <w:sz w:val="22"/>
                <w:szCs w:val="22"/>
              </w:rPr>
              <w:t xml:space="preserve"> tiene como estudios </w:t>
            </w:r>
            <w:r w:rsidR="00ED3231">
              <w:rPr>
                <w:rFonts w:cs="Arial"/>
                <w:bCs/>
                <w:sz w:val="22"/>
                <w:szCs w:val="22"/>
              </w:rPr>
              <w:t>la matriz de análisis de competencia y vigencia de las normas revisadas, realizada</w:t>
            </w:r>
            <w:r w:rsidR="0050488E">
              <w:rPr>
                <w:rFonts w:cs="Arial"/>
                <w:bCs/>
                <w:sz w:val="22"/>
                <w:szCs w:val="22"/>
              </w:rPr>
              <w:t xml:space="preserve"> por la firma Legis en desarrollo del Contrato No. </w:t>
            </w:r>
            <w:r w:rsidR="00ED3231">
              <w:rPr>
                <w:rFonts w:cs="Arial"/>
                <w:bCs/>
                <w:sz w:val="22"/>
                <w:szCs w:val="22"/>
              </w:rPr>
              <w:t>1064</w:t>
            </w:r>
            <w:r w:rsidR="0050488E">
              <w:rPr>
                <w:rFonts w:cs="Arial"/>
                <w:bCs/>
                <w:sz w:val="22"/>
                <w:szCs w:val="22"/>
              </w:rPr>
              <w:t xml:space="preserve"> de 2024</w:t>
            </w:r>
            <w:r w:rsidR="00DD71FD">
              <w:rPr>
                <w:rFonts w:cs="Arial"/>
                <w:bCs/>
                <w:sz w:val="22"/>
                <w:szCs w:val="22"/>
              </w:rPr>
              <w:t xml:space="preserve">. </w:t>
            </w:r>
          </w:p>
        </w:tc>
      </w:tr>
      <w:tr w:rsidR="00DF60FD" w:rsidRPr="009F7CED" w14:paraId="6A58A95F"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77E7B9B" w14:textId="77777777" w:rsidR="00843EFF" w:rsidRPr="009F7CED" w:rsidRDefault="00843EFF" w:rsidP="00A161B9">
            <w:pPr>
              <w:rPr>
                <w:rFonts w:cs="Arial"/>
                <w:b/>
                <w:color w:val="000000"/>
                <w:sz w:val="22"/>
                <w:szCs w:val="22"/>
              </w:rPr>
            </w:pPr>
          </w:p>
        </w:tc>
      </w:tr>
      <w:tr w:rsidR="00DF60FD" w:rsidRPr="009F7CED" w14:paraId="06548953"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66686F6" w14:textId="77777777" w:rsidR="00DF60FD" w:rsidRPr="009F7CED" w:rsidRDefault="00DF60FD" w:rsidP="00F55DC4">
            <w:pPr>
              <w:jc w:val="both"/>
              <w:rPr>
                <w:rFonts w:cs="Arial"/>
                <w:sz w:val="22"/>
                <w:szCs w:val="22"/>
              </w:rPr>
            </w:pPr>
          </w:p>
        </w:tc>
      </w:tr>
      <w:tr w:rsidR="00DF60FD" w:rsidRPr="009F7CED" w14:paraId="48EE83C9"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424F596" w14:textId="77777777" w:rsidR="00DF60FD" w:rsidRPr="009F7CED" w:rsidRDefault="00DF60FD" w:rsidP="00A161B9">
            <w:pPr>
              <w:rPr>
                <w:rFonts w:cs="Arial"/>
                <w:color w:val="996633"/>
                <w:sz w:val="22"/>
                <w:szCs w:val="22"/>
              </w:rPr>
            </w:pPr>
          </w:p>
        </w:tc>
      </w:tr>
      <w:tr w:rsidR="00DF60FD" w:rsidRPr="009F7CED" w14:paraId="73EBA1B1"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01429F73" w14:textId="77777777" w:rsidR="00DF60FD" w:rsidRPr="009F7CED" w:rsidRDefault="00DF60FD" w:rsidP="00F55DC4">
            <w:pPr>
              <w:jc w:val="both"/>
              <w:rPr>
                <w:rFonts w:cs="Arial"/>
                <w:sz w:val="22"/>
                <w:szCs w:val="22"/>
              </w:rPr>
            </w:pPr>
          </w:p>
        </w:tc>
      </w:tr>
      <w:tr w:rsidR="00DF60FD" w:rsidRPr="009F7CED" w14:paraId="6D3320AF"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31A6F5DE" w14:textId="77777777" w:rsidR="00DF60FD" w:rsidRPr="009F7CED" w:rsidRDefault="00DF60FD" w:rsidP="00C7294E">
            <w:pPr>
              <w:jc w:val="center"/>
              <w:rPr>
                <w:rFonts w:cs="Arial"/>
                <w:sz w:val="22"/>
                <w:szCs w:val="22"/>
              </w:rPr>
            </w:pPr>
          </w:p>
        </w:tc>
      </w:tr>
      <w:tr w:rsidR="00DF60FD" w:rsidRPr="009F7CED" w14:paraId="24E12D6C"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D79CE03" w14:textId="77777777" w:rsidR="00DF60FD" w:rsidRPr="009F7CED" w:rsidRDefault="00DF60FD" w:rsidP="00843EFF">
            <w:pPr>
              <w:jc w:val="center"/>
              <w:rPr>
                <w:rFonts w:cs="Arial"/>
                <w:sz w:val="22"/>
                <w:szCs w:val="22"/>
                <w:u w:val="single"/>
              </w:rPr>
            </w:pPr>
          </w:p>
        </w:tc>
      </w:tr>
      <w:tr w:rsidR="00DF60FD" w:rsidRPr="00D965B1"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AF569A" w:rsidRDefault="00DF60FD" w:rsidP="00696582">
            <w:pPr>
              <w:jc w:val="center"/>
              <w:rPr>
                <w:rFonts w:cs="Arial"/>
                <w:sz w:val="22"/>
                <w:szCs w:val="22"/>
              </w:rPr>
            </w:pPr>
            <w:r w:rsidRPr="00AF569A">
              <w:rPr>
                <w:rFonts w:cs="Arial"/>
                <w:b/>
                <w:sz w:val="22"/>
                <w:szCs w:val="22"/>
              </w:rPr>
              <w:t>ANEXOS</w:t>
            </w:r>
            <w:r w:rsidR="00D05B67" w:rsidRPr="00AF569A">
              <w:rPr>
                <w:rFonts w:cs="Arial"/>
                <w:b/>
                <w:sz w:val="22"/>
                <w:szCs w:val="22"/>
              </w:rPr>
              <w:t>:</w:t>
            </w:r>
            <w:r w:rsidR="00696582" w:rsidRPr="00AF569A">
              <w:rPr>
                <w:rFonts w:cs="Arial"/>
                <w:sz w:val="22"/>
                <w:szCs w:val="22"/>
              </w:rPr>
              <w:t xml:space="preserve"> </w:t>
            </w:r>
          </w:p>
        </w:tc>
      </w:tr>
      <w:tr w:rsidR="00D05B67" w:rsidRPr="009F7CED"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Default="00D05B67" w:rsidP="00D05B67">
            <w:pPr>
              <w:jc w:val="both"/>
              <w:rPr>
                <w:rFonts w:cs="Arial"/>
                <w:sz w:val="22"/>
                <w:szCs w:val="22"/>
              </w:rPr>
            </w:pPr>
            <w:r>
              <w:rPr>
                <w:rFonts w:cs="Arial"/>
                <w:sz w:val="22"/>
                <w:szCs w:val="22"/>
              </w:rPr>
              <w:t xml:space="preserve">Certificación de cumplimiento de requisitos de consulta, publicidad y de incorporación en la agenda regulatoria </w:t>
            </w:r>
          </w:p>
          <w:p w14:paraId="15E83C89" w14:textId="77777777" w:rsidR="00D05B67" w:rsidRPr="00084B49" w:rsidRDefault="00D05B67" w:rsidP="00D05B67">
            <w:pPr>
              <w:jc w:val="both"/>
              <w:rPr>
                <w:rFonts w:cs="Arial"/>
                <w:i/>
                <w:color w:val="808080"/>
                <w:sz w:val="22"/>
                <w:szCs w:val="22"/>
              </w:rPr>
            </w:pPr>
            <w:r w:rsidRPr="00084B49">
              <w:rPr>
                <w:rFonts w:cs="Arial"/>
                <w:i/>
                <w:color w:val="808080"/>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9671423" w14:textId="3DB321F0" w:rsidR="00D05B67" w:rsidRPr="00084B49" w:rsidRDefault="00DD71FD" w:rsidP="00DD71FD">
            <w:pPr>
              <w:jc w:val="center"/>
              <w:rPr>
                <w:rFonts w:cs="Arial"/>
                <w:i/>
                <w:color w:val="808080"/>
                <w:sz w:val="22"/>
                <w:szCs w:val="22"/>
              </w:rPr>
            </w:pPr>
            <w:r>
              <w:rPr>
                <w:rFonts w:cs="Arial"/>
                <w:i/>
                <w:color w:val="808080"/>
                <w:sz w:val="22"/>
                <w:szCs w:val="22"/>
              </w:rPr>
              <w:t>N/A</w:t>
            </w:r>
          </w:p>
        </w:tc>
      </w:tr>
      <w:tr w:rsidR="00D05B67" w:rsidRPr="009F7CED"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Default="00D05B67" w:rsidP="00D05B67">
            <w:pPr>
              <w:jc w:val="both"/>
              <w:rPr>
                <w:rFonts w:cs="Arial"/>
                <w:sz w:val="22"/>
                <w:szCs w:val="22"/>
              </w:rPr>
            </w:pPr>
            <w:r>
              <w:rPr>
                <w:rFonts w:cs="Arial"/>
                <w:sz w:val="22"/>
                <w:szCs w:val="22"/>
              </w:rPr>
              <w:t>Concepto</w:t>
            </w:r>
            <w:r w:rsidR="005F30C3">
              <w:rPr>
                <w:rFonts w:cs="Arial"/>
                <w:sz w:val="22"/>
                <w:szCs w:val="22"/>
              </w:rPr>
              <w:t>(s)</w:t>
            </w:r>
            <w:r>
              <w:rPr>
                <w:rFonts w:cs="Arial"/>
                <w:sz w:val="22"/>
                <w:szCs w:val="22"/>
              </w:rPr>
              <w:t xml:space="preserve"> de Min</w:t>
            </w:r>
            <w:r w:rsidR="005F30C3">
              <w:rPr>
                <w:rFonts w:cs="Arial"/>
                <w:sz w:val="22"/>
                <w:szCs w:val="22"/>
              </w:rPr>
              <w:t>isterio de</w:t>
            </w:r>
            <w:r>
              <w:rPr>
                <w:rFonts w:cs="Arial"/>
                <w:sz w:val="22"/>
                <w:szCs w:val="22"/>
              </w:rPr>
              <w:t xml:space="preserve"> Comercio</w:t>
            </w:r>
            <w:r w:rsidR="005F30C3">
              <w:rPr>
                <w:rFonts w:cs="Arial"/>
                <w:sz w:val="22"/>
                <w:szCs w:val="22"/>
              </w:rPr>
              <w:t>, Industria y Turismo</w:t>
            </w:r>
          </w:p>
          <w:p w14:paraId="270C7AB5" w14:textId="77777777" w:rsidR="00D05B67" w:rsidRPr="00084B49" w:rsidRDefault="005F30C3" w:rsidP="00D05B67">
            <w:pPr>
              <w:jc w:val="both"/>
              <w:rPr>
                <w:rFonts w:cs="Arial"/>
                <w:i/>
                <w:color w:val="808080"/>
                <w:sz w:val="22"/>
                <w:szCs w:val="22"/>
              </w:rPr>
            </w:pPr>
            <w:r w:rsidRPr="00084B49">
              <w:rPr>
                <w:rFonts w:cs="Arial"/>
                <w:i/>
                <w:color w:val="808080"/>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24CC459A" w14:textId="0B223099" w:rsidR="00D05B67" w:rsidRDefault="00DD71FD" w:rsidP="00DD71FD">
            <w:pPr>
              <w:jc w:val="center"/>
              <w:rPr>
                <w:rFonts w:cs="Arial"/>
                <w:sz w:val="22"/>
                <w:szCs w:val="22"/>
              </w:rPr>
            </w:pPr>
            <w:r>
              <w:rPr>
                <w:rFonts w:cs="Arial"/>
                <w:i/>
                <w:color w:val="808080"/>
                <w:sz w:val="22"/>
                <w:szCs w:val="22"/>
              </w:rPr>
              <w:t>N/A</w:t>
            </w:r>
          </w:p>
        </w:tc>
      </w:tr>
      <w:tr w:rsidR="005F30C3" w:rsidRPr="009F7CED"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Default="005F30C3" w:rsidP="00D05B67">
            <w:pPr>
              <w:jc w:val="both"/>
              <w:rPr>
                <w:rFonts w:cs="Arial"/>
                <w:sz w:val="22"/>
                <w:szCs w:val="22"/>
              </w:rPr>
            </w:pPr>
            <w:r>
              <w:rPr>
                <w:rFonts w:cs="Arial"/>
                <w:sz w:val="22"/>
                <w:szCs w:val="22"/>
              </w:rPr>
              <w:t xml:space="preserve">Informe de observaciones y respuestas </w:t>
            </w:r>
          </w:p>
          <w:p w14:paraId="4E1961C8" w14:textId="77777777" w:rsidR="005F30C3" w:rsidRPr="00084B49" w:rsidRDefault="005F30C3" w:rsidP="00D05B67">
            <w:pPr>
              <w:jc w:val="both"/>
              <w:rPr>
                <w:rFonts w:cs="Arial"/>
                <w:i/>
                <w:color w:val="808080"/>
                <w:sz w:val="22"/>
                <w:szCs w:val="22"/>
              </w:rPr>
            </w:pPr>
            <w:r w:rsidRPr="00084B49">
              <w:rPr>
                <w:rFonts w:cs="Arial"/>
                <w:i/>
                <w:color w:val="808080"/>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3EC90E99" w14:textId="2AAB9824" w:rsidR="005F30C3" w:rsidRDefault="004156D2" w:rsidP="00DD71FD">
            <w:pPr>
              <w:jc w:val="center"/>
              <w:rPr>
                <w:rFonts w:cs="Arial"/>
                <w:sz w:val="22"/>
                <w:szCs w:val="22"/>
              </w:rPr>
            </w:pPr>
            <w:r>
              <w:rPr>
                <w:rFonts w:cs="Arial"/>
                <w:i/>
                <w:color w:val="808080"/>
                <w:sz w:val="22"/>
                <w:szCs w:val="22"/>
              </w:rPr>
              <w:t>X</w:t>
            </w:r>
          </w:p>
        </w:tc>
      </w:tr>
      <w:tr w:rsidR="005F30C3" w:rsidRPr="009F7CED"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Default="005F30C3" w:rsidP="00D05B67">
            <w:pPr>
              <w:jc w:val="both"/>
              <w:rPr>
                <w:rFonts w:cs="Arial"/>
                <w:sz w:val="22"/>
                <w:szCs w:val="22"/>
              </w:rPr>
            </w:pPr>
            <w:r>
              <w:rPr>
                <w:rFonts w:cs="Arial"/>
                <w:sz w:val="22"/>
                <w:szCs w:val="22"/>
              </w:rPr>
              <w:t>Concepto de Abogacía de la Competencia de la Superintendencia de Industria y Comercio</w:t>
            </w:r>
          </w:p>
          <w:p w14:paraId="364EFEA6" w14:textId="77777777" w:rsidR="005F30C3" w:rsidRPr="00084B49" w:rsidRDefault="005F30C3" w:rsidP="00D05B67">
            <w:pPr>
              <w:jc w:val="both"/>
              <w:rPr>
                <w:rFonts w:cs="Arial"/>
                <w:i/>
                <w:color w:val="808080"/>
                <w:sz w:val="22"/>
                <w:szCs w:val="22"/>
              </w:rPr>
            </w:pPr>
            <w:r w:rsidRPr="00084B49">
              <w:rPr>
                <w:rFonts w:cs="Arial"/>
                <w:i/>
                <w:color w:val="808080"/>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F8BF5F5" w14:textId="39AF104F" w:rsidR="005F30C3" w:rsidRDefault="00DD71FD" w:rsidP="00DD71FD">
            <w:pPr>
              <w:jc w:val="center"/>
              <w:rPr>
                <w:rFonts w:cs="Arial"/>
                <w:sz w:val="22"/>
                <w:szCs w:val="22"/>
              </w:rPr>
            </w:pPr>
            <w:r>
              <w:rPr>
                <w:rFonts w:cs="Arial"/>
                <w:i/>
                <w:color w:val="808080"/>
                <w:sz w:val="22"/>
                <w:szCs w:val="22"/>
              </w:rPr>
              <w:t>N/A</w:t>
            </w:r>
          </w:p>
        </w:tc>
      </w:tr>
      <w:tr w:rsidR="005F30C3" w:rsidRPr="009F7CED"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Default="005F30C3" w:rsidP="00D05B67">
            <w:pPr>
              <w:jc w:val="both"/>
              <w:rPr>
                <w:rFonts w:cs="Arial"/>
                <w:sz w:val="22"/>
                <w:szCs w:val="22"/>
              </w:rPr>
            </w:pPr>
            <w:r>
              <w:rPr>
                <w:rFonts w:cs="Arial"/>
                <w:sz w:val="22"/>
                <w:szCs w:val="22"/>
              </w:rPr>
              <w:t>Concepto de aprobación nuevos trámites del Departamento Administrativo de la Función Pública</w:t>
            </w:r>
          </w:p>
          <w:p w14:paraId="1DFA88C0" w14:textId="77777777" w:rsidR="005F30C3" w:rsidRDefault="005F30C3" w:rsidP="00D05B67">
            <w:pPr>
              <w:jc w:val="both"/>
              <w:rPr>
                <w:rFonts w:cs="Arial"/>
                <w:sz w:val="22"/>
                <w:szCs w:val="22"/>
              </w:rPr>
            </w:pPr>
            <w:r w:rsidRPr="00084B49">
              <w:rPr>
                <w:rFonts w:cs="Arial"/>
                <w:i/>
                <w:color w:val="808080"/>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F5CE5B9" w14:textId="0C117F6B" w:rsidR="005F30C3" w:rsidRDefault="00DD71FD" w:rsidP="00DD71FD">
            <w:pPr>
              <w:jc w:val="center"/>
              <w:rPr>
                <w:rFonts w:cs="Arial"/>
                <w:sz w:val="22"/>
                <w:szCs w:val="22"/>
              </w:rPr>
            </w:pPr>
            <w:r>
              <w:rPr>
                <w:rFonts w:cs="Arial"/>
                <w:i/>
                <w:color w:val="808080"/>
                <w:sz w:val="22"/>
                <w:szCs w:val="22"/>
              </w:rPr>
              <w:t>N/A</w:t>
            </w:r>
          </w:p>
        </w:tc>
      </w:tr>
      <w:tr w:rsidR="005F30C3" w:rsidRPr="009F7CED"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77777777" w:rsidR="005F30C3" w:rsidRDefault="005F30C3" w:rsidP="00084B49">
            <w:pPr>
              <w:jc w:val="both"/>
              <w:rPr>
                <w:rFonts w:cs="Arial"/>
                <w:sz w:val="22"/>
                <w:szCs w:val="22"/>
              </w:rPr>
            </w:pPr>
            <w:r>
              <w:rPr>
                <w:rFonts w:cs="Arial"/>
                <w:sz w:val="22"/>
                <w:szCs w:val="22"/>
              </w:rPr>
              <w:t xml:space="preserve">Otro </w:t>
            </w:r>
          </w:p>
          <w:p w14:paraId="73A3BDE5" w14:textId="77777777" w:rsidR="005F30C3" w:rsidRDefault="005F30C3" w:rsidP="00084B49">
            <w:pPr>
              <w:jc w:val="both"/>
              <w:rPr>
                <w:rFonts w:cs="Arial"/>
                <w:sz w:val="22"/>
                <w:szCs w:val="22"/>
              </w:rPr>
            </w:pPr>
            <w:r w:rsidRPr="00084B49">
              <w:rPr>
                <w:rFonts w:cs="Arial"/>
                <w:i/>
                <w:color w:val="808080"/>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6BB8FF30" w14:textId="68A2192F" w:rsidR="005F30C3" w:rsidRDefault="00DD71FD" w:rsidP="00DD71FD">
            <w:pPr>
              <w:jc w:val="center"/>
              <w:rPr>
                <w:rFonts w:cs="Arial"/>
                <w:sz w:val="22"/>
                <w:szCs w:val="22"/>
              </w:rPr>
            </w:pPr>
            <w:r>
              <w:rPr>
                <w:rFonts w:cs="Arial"/>
                <w:i/>
                <w:color w:val="808080"/>
                <w:sz w:val="22"/>
                <w:szCs w:val="22"/>
              </w:rPr>
              <w:t>N/A</w:t>
            </w:r>
          </w:p>
        </w:tc>
      </w:tr>
    </w:tbl>
    <w:p w14:paraId="08A7D7A1" w14:textId="77777777" w:rsidR="00DD71FD" w:rsidRDefault="00DD71FD" w:rsidP="00082C69">
      <w:pPr>
        <w:ind w:right="-377"/>
        <w:jc w:val="both"/>
        <w:rPr>
          <w:rFonts w:cs="Arial"/>
          <w:b/>
          <w:sz w:val="22"/>
          <w:szCs w:val="22"/>
          <w:lang w:val="pt-PT"/>
        </w:rPr>
      </w:pPr>
    </w:p>
    <w:p w14:paraId="53055E4F" w14:textId="2A07FCFA" w:rsidR="00B66D03" w:rsidRPr="007A60CE" w:rsidRDefault="000B30A6" w:rsidP="00696582">
      <w:pPr>
        <w:ind w:left="-1276" w:right="-377" w:firstLine="283"/>
        <w:jc w:val="both"/>
        <w:rPr>
          <w:rFonts w:cs="Arial"/>
          <w:b/>
          <w:sz w:val="22"/>
          <w:szCs w:val="22"/>
          <w:lang w:val="pt-PT"/>
        </w:rPr>
      </w:pPr>
      <w:r w:rsidRPr="007A60CE">
        <w:rPr>
          <w:rFonts w:cs="Arial"/>
          <w:b/>
          <w:sz w:val="22"/>
          <w:szCs w:val="22"/>
          <w:lang w:val="pt-PT"/>
        </w:rPr>
        <w:t>Aprobó</w:t>
      </w:r>
      <w:r w:rsidR="00CB4D37" w:rsidRPr="007A60CE">
        <w:rPr>
          <w:rFonts w:cs="Arial"/>
          <w:b/>
          <w:sz w:val="22"/>
          <w:szCs w:val="22"/>
          <w:lang w:val="pt-PT"/>
        </w:rPr>
        <w:t>:</w:t>
      </w:r>
    </w:p>
    <w:p w14:paraId="7ACFC5F3" w14:textId="77777777" w:rsidR="00DD71FD" w:rsidRDefault="00DD71FD" w:rsidP="00D05B67">
      <w:pPr>
        <w:pStyle w:val="Listavistosa-nfasis11"/>
        <w:jc w:val="both"/>
        <w:rPr>
          <w:rFonts w:ascii="Arial" w:hAnsi="Arial" w:cs="Arial"/>
          <w:b/>
          <w:lang w:val="pt-PT"/>
        </w:rPr>
      </w:pPr>
    </w:p>
    <w:p w14:paraId="58D1BF63" w14:textId="77777777" w:rsidR="00DD71FD" w:rsidRDefault="00DD71FD" w:rsidP="00D05B67">
      <w:pPr>
        <w:pStyle w:val="Listavistosa-nfasis11"/>
        <w:jc w:val="both"/>
        <w:rPr>
          <w:rFonts w:ascii="Arial" w:hAnsi="Arial" w:cs="Arial"/>
          <w:b/>
          <w:lang w:val="pt-PT"/>
        </w:rPr>
      </w:pPr>
    </w:p>
    <w:p w14:paraId="2AF41755" w14:textId="77777777" w:rsidR="00DD71FD" w:rsidRPr="007A60CE" w:rsidRDefault="00DD71FD" w:rsidP="00D05B67">
      <w:pPr>
        <w:pStyle w:val="Listavistosa-nfasis11"/>
        <w:jc w:val="both"/>
        <w:rPr>
          <w:rFonts w:ascii="Arial" w:hAnsi="Arial" w:cs="Arial"/>
          <w:b/>
          <w:lang w:val="pt-PT"/>
        </w:rPr>
      </w:pPr>
    </w:p>
    <w:p w14:paraId="0FFFEFDE" w14:textId="3A845987" w:rsidR="00D05B67" w:rsidRDefault="00DD71FD" w:rsidP="00D05B67">
      <w:pPr>
        <w:pStyle w:val="Listavistosa-nfasis11"/>
        <w:jc w:val="both"/>
        <w:rPr>
          <w:rFonts w:ascii="Arial" w:hAnsi="Arial" w:cs="Arial"/>
          <w:b/>
          <w:u w:val="single"/>
          <w:lang w:val="pt-PT"/>
        </w:rPr>
      </w:pPr>
      <w:r>
        <w:rPr>
          <w:rFonts w:ascii="Arial" w:hAnsi="Arial" w:cs="Arial"/>
          <w:b/>
          <w:u w:val="single"/>
          <w:lang w:val="pt-PT"/>
        </w:rPr>
        <w:t>___________________________________</w:t>
      </w:r>
    </w:p>
    <w:p w14:paraId="6B26532A" w14:textId="1CB4A1A4" w:rsidR="00DD71FD" w:rsidRPr="007A60CE" w:rsidRDefault="00DD71FD" w:rsidP="00D05B67">
      <w:pPr>
        <w:pStyle w:val="Listavistosa-nfasis11"/>
        <w:jc w:val="both"/>
        <w:rPr>
          <w:rFonts w:ascii="Arial" w:hAnsi="Arial" w:cs="Arial"/>
          <w:b/>
          <w:lang w:val="pt-PT"/>
        </w:rPr>
      </w:pPr>
      <w:r>
        <w:rPr>
          <w:rFonts w:ascii="Arial" w:hAnsi="Arial" w:cs="Arial"/>
          <w:b/>
          <w:lang w:val="pt-PT"/>
        </w:rPr>
        <w:t xml:space="preserve">ANA MARÍA STERLING BASTIDAS </w:t>
      </w:r>
    </w:p>
    <w:p w14:paraId="68A1D217" w14:textId="1C55476A" w:rsidR="00D05B67" w:rsidRPr="00E0174F" w:rsidRDefault="004156D2" w:rsidP="00696582">
      <w:pPr>
        <w:pStyle w:val="Listavistosa-nfasis11"/>
        <w:rPr>
          <w:rFonts w:ascii="Arial" w:hAnsi="Arial" w:cs="Arial"/>
          <w:b/>
        </w:rPr>
      </w:pPr>
      <w:r>
        <w:rPr>
          <w:rFonts w:ascii="Arial" w:hAnsi="Arial" w:cs="Arial"/>
          <w:b/>
        </w:rPr>
        <w:t>Director</w:t>
      </w:r>
      <w:r w:rsidR="00DD71FD">
        <w:rPr>
          <w:rFonts w:ascii="Arial" w:hAnsi="Arial" w:cs="Arial"/>
          <w:b/>
        </w:rPr>
        <w:t>a</w:t>
      </w:r>
      <w:r>
        <w:rPr>
          <w:rFonts w:ascii="Arial" w:hAnsi="Arial" w:cs="Arial"/>
          <w:b/>
        </w:rPr>
        <w:t xml:space="preserve"> de Industria de Comunicaciones</w:t>
      </w:r>
    </w:p>
    <w:p w14:paraId="226ED41B" w14:textId="77777777" w:rsidR="00D324DE" w:rsidRDefault="00D324DE" w:rsidP="00DD71FD">
      <w:pPr>
        <w:pStyle w:val="Listavistosa-nfasis11"/>
        <w:ind w:left="0"/>
        <w:rPr>
          <w:rFonts w:ascii="Arial" w:hAnsi="Arial" w:cs="Arial"/>
          <w:b/>
        </w:rPr>
      </w:pPr>
    </w:p>
    <w:p w14:paraId="53246496" w14:textId="77777777" w:rsidR="00DD71FD" w:rsidRDefault="00DD71FD" w:rsidP="00DD71FD">
      <w:pPr>
        <w:pStyle w:val="Listavistosa-nfasis11"/>
        <w:ind w:left="0"/>
        <w:rPr>
          <w:rFonts w:ascii="Arial" w:hAnsi="Arial" w:cs="Arial"/>
          <w:b/>
        </w:rPr>
      </w:pPr>
    </w:p>
    <w:p w14:paraId="76657E4A" w14:textId="77777777" w:rsidR="00D324DE" w:rsidRDefault="00D324DE" w:rsidP="00696582">
      <w:pPr>
        <w:pStyle w:val="Listavistosa-nfasis11"/>
        <w:rPr>
          <w:rFonts w:ascii="Arial" w:hAnsi="Arial" w:cs="Arial"/>
          <w:b/>
        </w:rPr>
      </w:pPr>
    </w:p>
    <w:p w14:paraId="06FD8AB1" w14:textId="77777777" w:rsidR="00082C69" w:rsidRDefault="00082C69" w:rsidP="00696582">
      <w:pPr>
        <w:pStyle w:val="Listavistosa-nfasis11"/>
        <w:rPr>
          <w:rFonts w:ascii="Arial" w:hAnsi="Arial" w:cs="Arial"/>
          <w:b/>
        </w:rPr>
      </w:pPr>
    </w:p>
    <w:p w14:paraId="2C4820D5" w14:textId="6CEED2A9" w:rsidR="00366F75" w:rsidRDefault="00DD71FD" w:rsidP="00D324DE">
      <w:pPr>
        <w:pStyle w:val="Listavistosa-nfasis11"/>
        <w:jc w:val="both"/>
        <w:rPr>
          <w:rFonts w:ascii="Arial" w:hAnsi="Arial" w:cs="Arial"/>
          <w:b/>
          <w:u w:val="single"/>
        </w:rPr>
      </w:pPr>
      <w:r>
        <w:rPr>
          <w:rFonts w:ascii="Arial" w:hAnsi="Arial" w:cs="Arial"/>
          <w:b/>
          <w:u w:val="single"/>
        </w:rPr>
        <w:lastRenderedPageBreak/>
        <w:t>____________________________________</w:t>
      </w:r>
    </w:p>
    <w:p w14:paraId="2EB82AB6" w14:textId="2EFDC332" w:rsidR="00DD71FD" w:rsidRPr="00DD71FD" w:rsidRDefault="00DD71FD" w:rsidP="00D324DE">
      <w:pPr>
        <w:pStyle w:val="Listavistosa-nfasis11"/>
        <w:jc w:val="both"/>
        <w:rPr>
          <w:rFonts w:ascii="Arial" w:hAnsi="Arial" w:cs="Arial"/>
          <w:b/>
        </w:rPr>
      </w:pPr>
      <w:r w:rsidRPr="00DD71FD">
        <w:rPr>
          <w:rFonts w:ascii="Arial" w:hAnsi="Arial" w:cs="Arial"/>
          <w:b/>
        </w:rPr>
        <w:t>RAUL FERNANDO NUÑEZ MARIN</w:t>
      </w:r>
    </w:p>
    <w:p w14:paraId="66205615" w14:textId="1E3CBC65" w:rsidR="00366F75" w:rsidRPr="00ED24C7" w:rsidRDefault="00366F75" w:rsidP="00D324DE">
      <w:pPr>
        <w:pStyle w:val="Listavistosa-nfasis11"/>
        <w:jc w:val="both"/>
        <w:rPr>
          <w:rFonts w:ascii="Arial" w:hAnsi="Arial" w:cs="Arial"/>
          <w:b/>
        </w:rPr>
      </w:pPr>
      <w:r w:rsidRPr="00ED24C7">
        <w:rPr>
          <w:rFonts w:ascii="Arial" w:hAnsi="Arial" w:cs="Arial"/>
          <w:b/>
        </w:rPr>
        <w:t>Director Jurídico</w:t>
      </w:r>
    </w:p>
    <w:p w14:paraId="01934125" w14:textId="77777777" w:rsidR="00E0174F" w:rsidRPr="00E0174F" w:rsidRDefault="00E0174F" w:rsidP="00366F75">
      <w:pPr>
        <w:pStyle w:val="Listavistosa-nfasis11"/>
        <w:rPr>
          <w:rFonts w:ascii="Arial" w:hAnsi="Arial" w:cs="Arial"/>
          <w:b/>
        </w:rPr>
      </w:pPr>
    </w:p>
    <w:sectPr w:rsidR="00E0174F" w:rsidRPr="00E0174F" w:rsidSect="00F77DB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616" w:right="616" w:bottom="1115"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E88C" w14:textId="77777777" w:rsidR="00EC3268" w:rsidRDefault="00EC3268">
      <w:r>
        <w:separator/>
      </w:r>
    </w:p>
  </w:endnote>
  <w:endnote w:type="continuationSeparator" w:id="0">
    <w:p w14:paraId="60410059" w14:textId="77777777" w:rsidR="00EC3268" w:rsidRDefault="00E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BD971" w14:textId="77777777" w:rsidR="00416865" w:rsidRDefault="004168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484" w14:textId="246E14A8" w:rsidR="00F77DB8" w:rsidRDefault="00F77DB8" w:rsidP="00F77DB8">
    <w:pPr>
      <w:pStyle w:val="Piedepgina"/>
      <w:tabs>
        <w:tab w:val="clear" w:pos="8504"/>
      </w:tabs>
      <w:ind w:left="-709"/>
      <w:rPr>
        <w:rFonts w:ascii="Calibri" w:hAnsi="Calibri" w:cs="Calibri"/>
        <w:color w:val="000000"/>
      </w:rPr>
    </w:pP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7216"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MSIPCM6e1c4ae9bb68bcc40527ef41"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BE78E" id="_x0000_t202" coordsize="21600,21600" o:spt="202" path="m,l,21600r21600,l21600,xe">
              <v:stroke joinstyle="miter"/>
              <v:path gradientshapeok="t" o:connecttype="rect"/>
            </v:shapetype>
            <v:shape id="MSIPCM6e1c4ae9bb68bcc40527ef41"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E956" w14:textId="13516AA7" w:rsidR="00AF569A" w:rsidRDefault="00F77DB8" w:rsidP="003650D5">
    <w:pPr>
      <w:pStyle w:val="Piedepgina"/>
      <w:ind w:left="-709"/>
      <w:rPr>
        <w:rFonts w:ascii="Calibri" w:hAnsi="Calibri" w:cs="Calibri"/>
        <w:color w:val="000000"/>
      </w:rPr>
    </w:pP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94BF" w14:textId="77777777" w:rsidR="00EC3268" w:rsidRDefault="00EC3268">
      <w:r>
        <w:separator/>
      </w:r>
    </w:p>
  </w:footnote>
  <w:footnote w:type="continuationSeparator" w:id="0">
    <w:p w14:paraId="4CCFAE00" w14:textId="77777777" w:rsidR="00EC3268" w:rsidRDefault="00EC3268">
      <w:r>
        <w:continuationSeparator/>
      </w:r>
    </w:p>
  </w:footnote>
  <w:footnote w:id="1">
    <w:p w14:paraId="486AA919" w14:textId="77777777" w:rsidR="005B52FB" w:rsidRPr="005B52FB" w:rsidRDefault="005B52FB" w:rsidP="005B52FB">
      <w:pPr>
        <w:pStyle w:val="Textonotapie"/>
        <w:rPr>
          <w:lang w:val="es-CO"/>
        </w:rPr>
      </w:pPr>
      <w:r>
        <w:rPr>
          <w:rStyle w:val="Refdenotaalpie"/>
        </w:rPr>
        <w:footnoteRef/>
      </w:r>
      <w:r w:rsidRPr="005B52FB">
        <w:rPr>
          <w:lang w:val="es-CO"/>
        </w:rPr>
        <w:t xml:space="preserve"> </w:t>
      </w:r>
      <w:r w:rsidRPr="005B52FB">
        <w:rPr>
          <w:rFonts w:ascii="Arial Narrow" w:hAnsi="Arial Narrow"/>
          <w:sz w:val="16"/>
          <w:szCs w:val="16"/>
          <w:lang w:val="es-CO"/>
        </w:rPr>
        <w:t>Con excepción de las facultades de vigilancia y control asignadas a la CRC en los numerales 27 y 30 del artículo 22 de la Ley 1341 de 2009 modificado por el artículo 19 de la Ley 1978 de 2019 y en el artículo 39 de esta última.</w:t>
      </w:r>
      <w:r w:rsidRPr="005B52FB">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CA40" w14:textId="77777777" w:rsidR="00416865" w:rsidRDefault="004168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81" name="Imagen 81"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82" name="Imagen 82"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716EAEEE" w:rsidR="008C703D" w:rsidRPr="00366F75" w:rsidRDefault="002B5285"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inline distT="0" distB="0" distL="0" distR="0" wp14:anchorId="3E39D739" wp14:editId="535DE86C">
                <wp:extent cx="478790" cy="857250"/>
                <wp:effectExtent l="0" t="0" r="0" b="0"/>
                <wp:docPr id="2004918440" name="Imagen 4" descr="Imagen que contiene competencia de atletismo, dibujo, tabla, balonces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18440" name="Imagen 4" descr="Imagen que contiene competencia de atletismo, dibujo, tabla, balonces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79415" cy="858369"/>
                        </a:xfrm>
                        <a:prstGeom prst="rect">
                          <a:avLst/>
                        </a:prstGeom>
                      </pic:spPr>
                    </pic:pic>
                  </a:graphicData>
                </a:graphic>
              </wp:inline>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85" name="Imagen 85"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A5D3535"/>
    <w:multiLevelType w:val="hybridMultilevel"/>
    <w:tmpl w:val="BEA08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655940"/>
    <w:multiLevelType w:val="hybridMultilevel"/>
    <w:tmpl w:val="FFFFFFFF"/>
    <w:lvl w:ilvl="0" w:tplc="FA149590">
      <w:start w:val="1"/>
      <w:numFmt w:val="bullet"/>
      <w:lvlText w:val="·"/>
      <w:lvlJc w:val="left"/>
      <w:pPr>
        <w:ind w:left="720" w:hanging="360"/>
      </w:pPr>
      <w:rPr>
        <w:rFonts w:ascii="Symbol" w:hAnsi="Symbol" w:hint="default"/>
      </w:rPr>
    </w:lvl>
    <w:lvl w:ilvl="1" w:tplc="1CF2C552">
      <w:start w:val="1"/>
      <w:numFmt w:val="bullet"/>
      <w:lvlText w:val="o"/>
      <w:lvlJc w:val="left"/>
      <w:pPr>
        <w:ind w:left="1440" w:hanging="360"/>
      </w:pPr>
      <w:rPr>
        <w:rFonts w:ascii="Courier New" w:hAnsi="Courier New" w:hint="default"/>
      </w:rPr>
    </w:lvl>
    <w:lvl w:ilvl="2" w:tplc="78526C1C">
      <w:start w:val="1"/>
      <w:numFmt w:val="bullet"/>
      <w:lvlText w:val=""/>
      <w:lvlJc w:val="left"/>
      <w:pPr>
        <w:ind w:left="2160" w:hanging="360"/>
      </w:pPr>
      <w:rPr>
        <w:rFonts w:ascii="Wingdings" w:hAnsi="Wingdings" w:hint="default"/>
      </w:rPr>
    </w:lvl>
    <w:lvl w:ilvl="3" w:tplc="056A28C0">
      <w:start w:val="1"/>
      <w:numFmt w:val="bullet"/>
      <w:lvlText w:val=""/>
      <w:lvlJc w:val="left"/>
      <w:pPr>
        <w:ind w:left="2880" w:hanging="360"/>
      </w:pPr>
      <w:rPr>
        <w:rFonts w:ascii="Symbol" w:hAnsi="Symbol" w:hint="default"/>
      </w:rPr>
    </w:lvl>
    <w:lvl w:ilvl="4" w:tplc="CA2C7608">
      <w:start w:val="1"/>
      <w:numFmt w:val="bullet"/>
      <w:lvlText w:val="o"/>
      <w:lvlJc w:val="left"/>
      <w:pPr>
        <w:ind w:left="3600" w:hanging="360"/>
      </w:pPr>
      <w:rPr>
        <w:rFonts w:ascii="Courier New" w:hAnsi="Courier New" w:hint="default"/>
      </w:rPr>
    </w:lvl>
    <w:lvl w:ilvl="5" w:tplc="8F88CF30">
      <w:start w:val="1"/>
      <w:numFmt w:val="bullet"/>
      <w:lvlText w:val=""/>
      <w:lvlJc w:val="left"/>
      <w:pPr>
        <w:ind w:left="4320" w:hanging="360"/>
      </w:pPr>
      <w:rPr>
        <w:rFonts w:ascii="Wingdings" w:hAnsi="Wingdings" w:hint="default"/>
      </w:rPr>
    </w:lvl>
    <w:lvl w:ilvl="6" w:tplc="E96C5FC2">
      <w:start w:val="1"/>
      <w:numFmt w:val="bullet"/>
      <w:lvlText w:val=""/>
      <w:lvlJc w:val="left"/>
      <w:pPr>
        <w:ind w:left="5040" w:hanging="360"/>
      </w:pPr>
      <w:rPr>
        <w:rFonts w:ascii="Symbol" w:hAnsi="Symbol" w:hint="default"/>
      </w:rPr>
    </w:lvl>
    <w:lvl w:ilvl="7" w:tplc="ED72B67A">
      <w:start w:val="1"/>
      <w:numFmt w:val="bullet"/>
      <w:lvlText w:val="o"/>
      <w:lvlJc w:val="left"/>
      <w:pPr>
        <w:ind w:left="5760" w:hanging="360"/>
      </w:pPr>
      <w:rPr>
        <w:rFonts w:ascii="Courier New" w:hAnsi="Courier New" w:hint="default"/>
      </w:rPr>
    </w:lvl>
    <w:lvl w:ilvl="8" w:tplc="02689B1C">
      <w:start w:val="1"/>
      <w:numFmt w:val="bullet"/>
      <w:lvlText w:val=""/>
      <w:lvlJc w:val="left"/>
      <w:pPr>
        <w:ind w:left="6480" w:hanging="360"/>
      </w:pPr>
      <w:rPr>
        <w:rFonts w:ascii="Wingdings" w:hAnsi="Wingdings" w:hint="default"/>
      </w:rPr>
    </w:lvl>
  </w:abstractNum>
  <w:abstractNum w:abstractNumId="19"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7"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6"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7"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9"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3"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6421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235821">
    <w:abstractNumId w:val="8"/>
  </w:num>
  <w:num w:numId="3" w16cid:durableId="1114012470">
    <w:abstractNumId w:val="39"/>
  </w:num>
  <w:num w:numId="4" w16cid:durableId="1495878750">
    <w:abstractNumId w:val="9"/>
  </w:num>
  <w:num w:numId="5" w16cid:durableId="557397461">
    <w:abstractNumId w:val="17"/>
  </w:num>
  <w:num w:numId="6" w16cid:durableId="1452363128">
    <w:abstractNumId w:val="33"/>
  </w:num>
  <w:num w:numId="7" w16cid:durableId="2077507905">
    <w:abstractNumId w:val="10"/>
  </w:num>
  <w:num w:numId="8" w16cid:durableId="723873387">
    <w:abstractNumId w:val="19"/>
  </w:num>
  <w:num w:numId="9" w16cid:durableId="1274945304">
    <w:abstractNumId w:val="7"/>
  </w:num>
  <w:num w:numId="10" w16cid:durableId="1682467277">
    <w:abstractNumId w:val="23"/>
  </w:num>
  <w:num w:numId="11" w16cid:durableId="295569971">
    <w:abstractNumId w:val="14"/>
  </w:num>
  <w:num w:numId="12" w16cid:durableId="2041587928">
    <w:abstractNumId w:val="34"/>
  </w:num>
  <w:num w:numId="13" w16cid:durableId="1143962759">
    <w:abstractNumId w:val="40"/>
  </w:num>
  <w:num w:numId="14" w16cid:durableId="1810778263">
    <w:abstractNumId w:val="41"/>
  </w:num>
  <w:num w:numId="15" w16cid:durableId="203448388">
    <w:abstractNumId w:val="1"/>
  </w:num>
  <w:num w:numId="16" w16cid:durableId="330059455">
    <w:abstractNumId w:val="24"/>
  </w:num>
  <w:num w:numId="17" w16cid:durableId="1056273102">
    <w:abstractNumId w:val="5"/>
  </w:num>
  <w:num w:numId="18" w16cid:durableId="1453358682">
    <w:abstractNumId w:val="26"/>
  </w:num>
  <w:num w:numId="19" w16cid:durableId="1318607125">
    <w:abstractNumId w:val="29"/>
  </w:num>
  <w:num w:numId="20" w16cid:durableId="1493982206">
    <w:abstractNumId w:val="0"/>
  </w:num>
  <w:num w:numId="21" w16cid:durableId="1404764881">
    <w:abstractNumId w:val="11"/>
  </w:num>
  <w:num w:numId="22" w16cid:durableId="1919055955">
    <w:abstractNumId w:val="21"/>
  </w:num>
  <w:num w:numId="23" w16cid:durableId="838869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796250">
    <w:abstractNumId w:val="38"/>
  </w:num>
  <w:num w:numId="25" w16cid:durableId="1019695677">
    <w:abstractNumId w:val="12"/>
  </w:num>
  <w:num w:numId="26" w16cid:durableId="102964004">
    <w:abstractNumId w:val="31"/>
  </w:num>
  <w:num w:numId="27" w16cid:durableId="1155758818">
    <w:abstractNumId w:val="28"/>
  </w:num>
  <w:num w:numId="28" w16cid:durableId="2067606572">
    <w:abstractNumId w:val="42"/>
  </w:num>
  <w:num w:numId="29" w16cid:durableId="553347100">
    <w:abstractNumId w:val="1"/>
  </w:num>
  <w:num w:numId="30" w16cid:durableId="673649708">
    <w:abstractNumId w:val="44"/>
  </w:num>
  <w:num w:numId="31" w16cid:durableId="279722129">
    <w:abstractNumId w:val="25"/>
  </w:num>
  <w:num w:numId="32" w16cid:durableId="151995985">
    <w:abstractNumId w:val="37"/>
  </w:num>
  <w:num w:numId="33" w16cid:durableId="1907762944">
    <w:abstractNumId w:val="27"/>
  </w:num>
  <w:num w:numId="34" w16cid:durableId="299191416">
    <w:abstractNumId w:val="36"/>
  </w:num>
  <w:num w:numId="35" w16cid:durableId="525797091">
    <w:abstractNumId w:val="15"/>
  </w:num>
  <w:num w:numId="36" w16cid:durableId="467937655">
    <w:abstractNumId w:val="6"/>
  </w:num>
  <w:num w:numId="37" w16cid:durableId="966008284">
    <w:abstractNumId w:val="3"/>
  </w:num>
  <w:num w:numId="38" w16cid:durableId="1033503056">
    <w:abstractNumId w:val="30"/>
  </w:num>
  <w:num w:numId="39" w16cid:durableId="203366704">
    <w:abstractNumId w:val="35"/>
  </w:num>
  <w:num w:numId="40" w16cid:durableId="628248666">
    <w:abstractNumId w:val="16"/>
  </w:num>
  <w:num w:numId="41" w16cid:durableId="1310479933">
    <w:abstractNumId w:val="43"/>
  </w:num>
  <w:num w:numId="42" w16cid:durableId="1873301327">
    <w:abstractNumId w:val="20"/>
  </w:num>
  <w:num w:numId="43" w16cid:durableId="2075932516">
    <w:abstractNumId w:val="4"/>
  </w:num>
  <w:num w:numId="44" w16cid:durableId="1847743704">
    <w:abstractNumId w:val="13"/>
  </w:num>
  <w:num w:numId="45" w16cid:durableId="1570381999">
    <w:abstractNumId w:val="22"/>
  </w:num>
  <w:num w:numId="46" w16cid:durableId="1504928920">
    <w:abstractNumId w:val="2"/>
  </w:num>
  <w:num w:numId="47" w16cid:durableId="1665359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3C42"/>
    <w:rsid w:val="00014D67"/>
    <w:rsid w:val="00016A94"/>
    <w:rsid w:val="00021FCC"/>
    <w:rsid w:val="00023135"/>
    <w:rsid w:val="00024F34"/>
    <w:rsid w:val="0002546A"/>
    <w:rsid w:val="00027FFD"/>
    <w:rsid w:val="00032CBF"/>
    <w:rsid w:val="0004205E"/>
    <w:rsid w:val="0004206C"/>
    <w:rsid w:val="00047A6E"/>
    <w:rsid w:val="00050524"/>
    <w:rsid w:val="00066463"/>
    <w:rsid w:val="0007636F"/>
    <w:rsid w:val="00081CEE"/>
    <w:rsid w:val="00082C69"/>
    <w:rsid w:val="00084B49"/>
    <w:rsid w:val="00086B16"/>
    <w:rsid w:val="00092C0A"/>
    <w:rsid w:val="00094D9F"/>
    <w:rsid w:val="000A35DA"/>
    <w:rsid w:val="000A3E34"/>
    <w:rsid w:val="000B30A6"/>
    <w:rsid w:val="000B39C5"/>
    <w:rsid w:val="000B50F1"/>
    <w:rsid w:val="000C2844"/>
    <w:rsid w:val="000C41BE"/>
    <w:rsid w:val="000C614C"/>
    <w:rsid w:val="000C6C52"/>
    <w:rsid w:val="000D1904"/>
    <w:rsid w:val="000D2DA8"/>
    <w:rsid w:val="000D512E"/>
    <w:rsid w:val="000E0152"/>
    <w:rsid w:val="000E1C6F"/>
    <w:rsid w:val="000E370D"/>
    <w:rsid w:val="000E65A4"/>
    <w:rsid w:val="00105533"/>
    <w:rsid w:val="001072FB"/>
    <w:rsid w:val="00112EF1"/>
    <w:rsid w:val="00116659"/>
    <w:rsid w:val="001175AA"/>
    <w:rsid w:val="00125A3A"/>
    <w:rsid w:val="00126916"/>
    <w:rsid w:val="00126980"/>
    <w:rsid w:val="001303DD"/>
    <w:rsid w:val="001338D8"/>
    <w:rsid w:val="001348DA"/>
    <w:rsid w:val="001365B5"/>
    <w:rsid w:val="00136CD0"/>
    <w:rsid w:val="0013737F"/>
    <w:rsid w:val="00142BF2"/>
    <w:rsid w:val="001447C1"/>
    <w:rsid w:val="00145BCA"/>
    <w:rsid w:val="0015216F"/>
    <w:rsid w:val="00153523"/>
    <w:rsid w:val="001576E1"/>
    <w:rsid w:val="00157729"/>
    <w:rsid w:val="00164587"/>
    <w:rsid w:val="001665A3"/>
    <w:rsid w:val="00173095"/>
    <w:rsid w:val="001743EF"/>
    <w:rsid w:val="00174A31"/>
    <w:rsid w:val="00177232"/>
    <w:rsid w:val="00181BFF"/>
    <w:rsid w:val="00187186"/>
    <w:rsid w:val="001978EB"/>
    <w:rsid w:val="001A2AF1"/>
    <w:rsid w:val="001C013E"/>
    <w:rsid w:val="001D1743"/>
    <w:rsid w:val="001D17CF"/>
    <w:rsid w:val="001E2543"/>
    <w:rsid w:val="001E4534"/>
    <w:rsid w:val="001E6C60"/>
    <w:rsid w:val="001F238A"/>
    <w:rsid w:val="002171A2"/>
    <w:rsid w:val="002217D1"/>
    <w:rsid w:val="002264B8"/>
    <w:rsid w:val="00235361"/>
    <w:rsid w:val="00236F62"/>
    <w:rsid w:val="00237D76"/>
    <w:rsid w:val="00251FCE"/>
    <w:rsid w:val="00252F13"/>
    <w:rsid w:val="00254313"/>
    <w:rsid w:val="0026513E"/>
    <w:rsid w:val="002729A5"/>
    <w:rsid w:val="002862C1"/>
    <w:rsid w:val="00286449"/>
    <w:rsid w:val="00287EC3"/>
    <w:rsid w:val="00293F29"/>
    <w:rsid w:val="002941D1"/>
    <w:rsid w:val="002A18A5"/>
    <w:rsid w:val="002A2A12"/>
    <w:rsid w:val="002B5285"/>
    <w:rsid w:val="002C05D0"/>
    <w:rsid w:val="002C6429"/>
    <w:rsid w:val="002D096D"/>
    <w:rsid w:val="002D11FE"/>
    <w:rsid w:val="002D2CB2"/>
    <w:rsid w:val="002D35EC"/>
    <w:rsid w:val="002D3FE3"/>
    <w:rsid w:val="002D5E8B"/>
    <w:rsid w:val="002E4A97"/>
    <w:rsid w:val="002E71C4"/>
    <w:rsid w:val="002F226A"/>
    <w:rsid w:val="00301DC2"/>
    <w:rsid w:val="003227FD"/>
    <w:rsid w:val="00325A55"/>
    <w:rsid w:val="003343DB"/>
    <w:rsid w:val="00336655"/>
    <w:rsid w:val="00342B3C"/>
    <w:rsid w:val="00346554"/>
    <w:rsid w:val="003503EB"/>
    <w:rsid w:val="00350767"/>
    <w:rsid w:val="00350E4B"/>
    <w:rsid w:val="003533A1"/>
    <w:rsid w:val="003650D5"/>
    <w:rsid w:val="003651DE"/>
    <w:rsid w:val="00366F75"/>
    <w:rsid w:val="00367CB8"/>
    <w:rsid w:val="003711C0"/>
    <w:rsid w:val="00373197"/>
    <w:rsid w:val="00375BFA"/>
    <w:rsid w:val="0038390A"/>
    <w:rsid w:val="003A0BBF"/>
    <w:rsid w:val="003A3C08"/>
    <w:rsid w:val="003A6449"/>
    <w:rsid w:val="003A73D2"/>
    <w:rsid w:val="003B3F46"/>
    <w:rsid w:val="003B4DDE"/>
    <w:rsid w:val="003B625C"/>
    <w:rsid w:val="003C0C28"/>
    <w:rsid w:val="003C0F32"/>
    <w:rsid w:val="003C6CAC"/>
    <w:rsid w:val="003D3516"/>
    <w:rsid w:val="003E1394"/>
    <w:rsid w:val="003E582F"/>
    <w:rsid w:val="003E673F"/>
    <w:rsid w:val="00401B59"/>
    <w:rsid w:val="00405CE5"/>
    <w:rsid w:val="004156D2"/>
    <w:rsid w:val="0041604F"/>
    <w:rsid w:val="00416865"/>
    <w:rsid w:val="00427DD9"/>
    <w:rsid w:val="004317DB"/>
    <w:rsid w:val="00432C5C"/>
    <w:rsid w:val="00437C19"/>
    <w:rsid w:val="00461D1F"/>
    <w:rsid w:val="0046422D"/>
    <w:rsid w:val="00470148"/>
    <w:rsid w:val="00470526"/>
    <w:rsid w:val="004724CB"/>
    <w:rsid w:val="004848A4"/>
    <w:rsid w:val="004965F6"/>
    <w:rsid w:val="004A0755"/>
    <w:rsid w:val="004A6BE3"/>
    <w:rsid w:val="004B078F"/>
    <w:rsid w:val="004C4371"/>
    <w:rsid w:val="004C7D38"/>
    <w:rsid w:val="004D0D86"/>
    <w:rsid w:val="004D10C6"/>
    <w:rsid w:val="004D2643"/>
    <w:rsid w:val="004D294E"/>
    <w:rsid w:val="004D3D03"/>
    <w:rsid w:val="004D4586"/>
    <w:rsid w:val="004D6329"/>
    <w:rsid w:val="004E034B"/>
    <w:rsid w:val="004E17FC"/>
    <w:rsid w:val="004E274E"/>
    <w:rsid w:val="004E517F"/>
    <w:rsid w:val="004F1F4F"/>
    <w:rsid w:val="004F778E"/>
    <w:rsid w:val="004F7A38"/>
    <w:rsid w:val="00500D07"/>
    <w:rsid w:val="0050148F"/>
    <w:rsid w:val="00502F91"/>
    <w:rsid w:val="0050488E"/>
    <w:rsid w:val="00507D29"/>
    <w:rsid w:val="00520AAA"/>
    <w:rsid w:val="00520B2A"/>
    <w:rsid w:val="005338E4"/>
    <w:rsid w:val="0054286C"/>
    <w:rsid w:val="00543E5A"/>
    <w:rsid w:val="00545A32"/>
    <w:rsid w:val="0054645F"/>
    <w:rsid w:val="005616ED"/>
    <w:rsid w:val="005629D0"/>
    <w:rsid w:val="00564A4E"/>
    <w:rsid w:val="005815B6"/>
    <w:rsid w:val="00584E85"/>
    <w:rsid w:val="005871DA"/>
    <w:rsid w:val="00587695"/>
    <w:rsid w:val="0059054D"/>
    <w:rsid w:val="0059316B"/>
    <w:rsid w:val="005949A8"/>
    <w:rsid w:val="005A077D"/>
    <w:rsid w:val="005A4320"/>
    <w:rsid w:val="005A498D"/>
    <w:rsid w:val="005B52FB"/>
    <w:rsid w:val="005C19CA"/>
    <w:rsid w:val="005C4522"/>
    <w:rsid w:val="005D49BF"/>
    <w:rsid w:val="005F22B8"/>
    <w:rsid w:val="005F30C3"/>
    <w:rsid w:val="005F7863"/>
    <w:rsid w:val="0060353B"/>
    <w:rsid w:val="00620876"/>
    <w:rsid w:val="00624FD0"/>
    <w:rsid w:val="00630C5E"/>
    <w:rsid w:val="006315B4"/>
    <w:rsid w:val="00635AC3"/>
    <w:rsid w:val="00636FFB"/>
    <w:rsid w:val="00654CCF"/>
    <w:rsid w:val="00665F82"/>
    <w:rsid w:val="0067186C"/>
    <w:rsid w:val="00671E11"/>
    <w:rsid w:val="006738E9"/>
    <w:rsid w:val="006779DA"/>
    <w:rsid w:val="00687EB3"/>
    <w:rsid w:val="00692980"/>
    <w:rsid w:val="00692F01"/>
    <w:rsid w:val="00693246"/>
    <w:rsid w:val="0069506F"/>
    <w:rsid w:val="00696582"/>
    <w:rsid w:val="006A1DBB"/>
    <w:rsid w:val="006B4E40"/>
    <w:rsid w:val="006C103A"/>
    <w:rsid w:val="006C2F58"/>
    <w:rsid w:val="006C4E6A"/>
    <w:rsid w:val="006C50E8"/>
    <w:rsid w:val="006D464D"/>
    <w:rsid w:val="006E6F11"/>
    <w:rsid w:val="006F0B6B"/>
    <w:rsid w:val="006F144D"/>
    <w:rsid w:val="006F461B"/>
    <w:rsid w:val="006F622C"/>
    <w:rsid w:val="00700FF6"/>
    <w:rsid w:val="00704D44"/>
    <w:rsid w:val="00715A68"/>
    <w:rsid w:val="00715DD5"/>
    <w:rsid w:val="00715ECF"/>
    <w:rsid w:val="00716282"/>
    <w:rsid w:val="00717A04"/>
    <w:rsid w:val="00717BFE"/>
    <w:rsid w:val="007208C5"/>
    <w:rsid w:val="00725BB4"/>
    <w:rsid w:val="0073180A"/>
    <w:rsid w:val="00732997"/>
    <w:rsid w:val="007336C3"/>
    <w:rsid w:val="00735033"/>
    <w:rsid w:val="00756485"/>
    <w:rsid w:val="0075705D"/>
    <w:rsid w:val="007626E1"/>
    <w:rsid w:val="00767F65"/>
    <w:rsid w:val="00770D6C"/>
    <w:rsid w:val="00783515"/>
    <w:rsid w:val="00787C94"/>
    <w:rsid w:val="00791BCB"/>
    <w:rsid w:val="007921BD"/>
    <w:rsid w:val="00793A02"/>
    <w:rsid w:val="00794954"/>
    <w:rsid w:val="00795C6B"/>
    <w:rsid w:val="007A1566"/>
    <w:rsid w:val="007A3995"/>
    <w:rsid w:val="007A5AC5"/>
    <w:rsid w:val="007A60CE"/>
    <w:rsid w:val="007B622D"/>
    <w:rsid w:val="007C18A2"/>
    <w:rsid w:val="007C4288"/>
    <w:rsid w:val="007C484E"/>
    <w:rsid w:val="007D4853"/>
    <w:rsid w:val="007D57C4"/>
    <w:rsid w:val="007E0429"/>
    <w:rsid w:val="007E41DE"/>
    <w:rsid w:val="007E4CE3"/>
    <w:rsid w:val="007F2B1F"/>
    <w:rsid w:val="00802F7A"/>
    <w:rsid w:val="00806A1C"/>
    <w:rsid w:val="0080773A"/>
    <w:rsid w:val="00814537"/>
    <w:rsid w:val="008173F3"/>
    <w:rsid w:val="0082092A"/>
    <w:rsid w:val="0082117C"/>
    <w:rsid w:val="008227E9"/>
    <w:rsid w:val="008252C5"/>
    <w:rsid w:val="00831860"/>
    <w:rsid w:val="00832F2D"/>
    <w:rsid w:val="00836C6A"/>
    <w:rsid w:val="00841C9F"/>
    <w:rsid w:val="0084294E"/>
    <w:rsid w:val="00843EFF"/>
    <w:rsid w:val="008442A5"/>
    <w:rsid w:val="008477A9"/>
    <w:rsid w:val="0085416A"/>
    <w:rsid w:val="00856B0F"/>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B1443"/>
    <w:rsid w:val="008B3B0A"/>
    <w:rsid w:val="008C2BA0"/>
    <w:rsid w:val="008C69F2"/>
    <w:rsid w:val="008C703D"/>
    <w:rsid w:val="008D0EB0"/>
    <w:rsid w:val="008D1D44"/>
    <w:rsid w:val="008D3E6C"/>
    <w:rsid w:val="008E04EC"/>
    <w:rsid w:val="008E43F4"/>
    <w:rsid w:val="008F42F6"/>
    <w:rsid w:val="008F5282"/>
    <w:rsid w:val="00912BAC"/>
    <w:rsid w:val="00925058"/>
    <w:rsid w:val="00926CDB"/>
    <w:rsid w:val="00930113"/>
    <w:rsid w:val="009356EC"/>
    <w:rsid w:val="00937FB2"/>
    <w:rsid w:val="0094114F"/>
    <w:rsid w:val="00955F42"/>
    <w:rsid w:val="00956598"/>
    <w:rsid w:val="0095690D"/>
    <w:rsid w:val="009609C5"/>
    <w:rsid w:val="00965B1A"/>
    <w:rsid w:val="00971B57"/>
    <w:rsid w:val="00973208"/>
    <w:rsid w:val="00976933"/>
    <w:rsid w:val="00981893"/>
    <w:rsid w:val="00984974"/>
    <w:rsid w:val="00986438"/>
    <w:rsid w:val="00987DBF"/>
    <w:rsid w:val="009970F9"/>
    <w:rsid w:val="009A5590"/>
    <w:rsid w:val="009C3837"/>
    <w:rsid w:val="009C44BD"/>
    <w:rsid w:val="009C537F"/>
    <w:rsid w:val="009D0585"/>
    <w:rsid w:val="009D2BB3"/>
    <w:rsid w:val="009E0846"/>
    <w:rsid w:val="009E1EF4"/>
    <w:rsid w:val="009E1F32"/>
    <w:rsid w:val="009E4BD5"/>
    <w:rsid w:val="009F1BE0"/>
    <w:rsid w:val="009F7CED"/>
    <w:rsid w:val="00A04569"/>
    <w:rsid w:val="00A0736A"/>
    <w:rsid w:val="00A07DE7"/>
    <w:rsid w:val="00A120D6"/>
    <w:rsid w:val="00A1301A"/>
    <w:rsid w:val="00A14C37"/>
    <w:rsid w:val="00A161B9"/>
    <w:rsid w:val="00A219D7"/>
    <w:rsid w:val="00A26A06"/>
    <w:rsid w:val="00A2785C"/>
    <w:rsid w:val="00A27D3B"/>
    <w:rsid w:val="00A33DCF"/>
    <w:rsid w:val="00A377FE"/>
    <w:rsid w:val="00A40521"/>
    <w:rsid w:val="00A4128C"/>
    <w:rsid w:val="00A41AEF"/>
    <w:rsid w:val="00A447B3"/>
    <w:rsid w:val="00A500DD"/>
    <w:rsid w:val="00A52C3F"/>
    <w:rsid w:val="00A55DB6"/>
    <w:rsid w:val="00A61784"/>
    <w:rsid w:val="00A64120"/>
    <w:rsid w:val="00A72973"/>
    <w:rsid w:val="00A74AFD"/>
    <w:rsid w:val="00A80613"/>
    <w:rsid w:val="00A83A98"/>
    <w:rsid w:val="00A85AEA"/>
    <w:rsid w:val="00A94019"/>
    <w:rsid w:val="00AA28E8"/>
    <w:rsid w:val="00AB0708"/>
    <w:rsid w:val="00AB0C45"/>
    <w:rsid w:val="00AB6652"/>
    <w:rsid w:val="00AC1AF8"/>
    <w:rsid w:val="00AC447D"/>
    <w:rsid w:val="00AD5446"/>
    <w:rsid w:val="00AD623F"/>
    <w:rsid w:val="00AE03F3"/>
    <w:rsid w:val="00AF569A"/>
    <w:rsid w:val="00AF5E71"/>
    <w:rsid w:val="00B13AE3"/>
    <w:rsid w:val="00B237AC"/>
    <w:rsid w:val="00B25550"/>
    <w:rsid w:val="00B30DCD"/>
    <w:rsid w:val="00B35864"/>
    <w:rsid w:val="00B377D3"/>
    <w:rsid w:val="00B4178F"/>
    <w:rsid w:val="00B4216E"/>
    <w:rsid w:val="00B448DC"/>
    <w:rsid w:val="00B463AC"/>
    <w:rsid w:val="00B51095"/>
    <w:rsid w:val="00B54C9F"/>
    <w:rsid w:val="00B6123C"/>
    <w:rsid w:val="00B61CA6"/>
    <w:rsid w:val="00B65F1B"/>
    <w:rsid w:val="00B66141"/>
    <w:rsid w:val="00B66D03"/>
    <w:rsid w:val="00B7000F"/>
    <w:rsid w:val="00B71ED2"/>
    <w:rsid w:val="00B729FC"/>
    <w:rsid w:val="00B73EC6"/>
    <w:rsid w:val="00B766E4"/>
    <w:rsid w:val="00B8326D"/>
    <w:rsid w:val="00B84AF8"/>
    <w:rsid w:val="00B84F72"/>
    <w:rsid w:val="00B937B6"/>
    <w:rsid w:val="00BA3916"/>
    <w:rsid w:val="00BA450F"/>
    <w:rsid w:val="00BB545F"/>
    <w:rsid w:val="00BD4B65"/>
    <w:rsid w:val="00BE280C"/>
    <w:rsid w:val="00BF054E"/>
    <w:rsid w:val="00BF0DB9"/>
    <w:rsid w:val="00C12B93"/>
    <w:rsid w:val="00C134C3"/>
    <w:rsid w:val="00C26C14"/>
    <w:rsid w:val="00C27D76"/>
    <w:rsid w:val="00C31D59"/>
    <w:rsid w:val="00C36892"/>
    <w:rsid w:val="00C4009A"/>
    <w:rsid w:val="00C401C2"/>
    <w:rsid w:val="00C43BD2"/>
    <w:rsid w:val="00C46330"/>
    <w:rsid w:val="00C46F09"/>
    <w:rsid w:val="00C47F73"/>
    <w:rsid w:val="00C52E86"/>
    <w:rsid w:val="00C6077B"/>
    <w:rsid w:val="00C61441"/>
    <w:rsid w:val="00C7294E"/>
    <w:rsid w:val="00C91F90"/>
    <w:rsid w:val="00CA57DF"/>
    <w:rsid w:val="00CB0063"/>
    <w:rsid w:val="00CB4D37"/>
    <w:rsid w:val="00CB66F7"/>
    <w:rsid w:val="00CC0C62"/>
    <w:rsid w:val="00CC259C"/>
    <w:rsid w:val="00CC42D1"/>
    <w:rsid w:val="00CC5B3E"/>
    <w:rsid w:val="00CE1A87"/>
    <w:rsid w:val="00CF25EF"/>
    <w:rsid w:val="00D04A96"/>
    <w:rsid w:val="00D05B67"/>
    <w:rsid w:val="00D05D52"/>
    <w:rsid w:val="00D24980"/>
    <w:rsid w:val="00D26D53"/>
    <w:rsid w:val="00D31F43"/>
    <w:rsid w:val="00D324DE"/>
    <w:rsid w:val="00D40E59"/>
    <w:rsid w:val="00D415E6"/>
    <w:rsid w:val="00D444C5"/>
    <w:rsid w:val="00D530DC"/>
    <w:rsid w:val="00D62023"/>
    <w:rsid w:val="00D7070F"/>
    <w:rsid w:val="00D709DD"/>
    <w:rsid w:val="00D8294A"/>
    <w:rsid w:val="00D83F98"/>
    <w:rsid w:val="00D84A75"/>
    <w:rsid w:val="00D85F90"/>
    <w:rsid w:val="00D90649"/>
    <w:rsid w:val="00D91E89"/>
    <w:rsid w:val="00D9213D"/>
    <w:rsid w:val="00D965B1"/>
    <w:rsid w:val="00D97DF9"/>
    <w:rsid w:val="00D97F1C"/>
    <w:rsid w:val="00DA6526"/>
    <w:rsid w:val="00DA6C54"/>
    <w:rsid w:val="00DC1C57"/>
    <w:rsid w:val="00DC54A3"/>
    <w:rsid w:val="00DD181C"/>
    <w:rsid w:val="00DD2F2C"/>
    <w:rsid w:val="00DD48D9"/>
    <w:rsid w:val="00DD71FD"/>
    <w:rsid w:val="00DE1540"/>
    <w:rsid w:val="00DE520C"/>
    <w:rsid w:val="00DF1E66"/>
    <w:rsid w:val="00DF60FD"/>
    <w:rsid w:val="00DF6410"/>
    <w:rsid w:val="00E007F7"/>
    <w:rsid w:val="00E0174F"/>
    <w:rsid w:val="00E05F18"/>
    <w:rsid w:val="00E06A27"/>
    <w:rsid w:val="00E12202"/>
    <w:rsid w:val="00E20331"/>
    <w:rsid w:val="00E242C5"/>
    <w:rsid w:val="00E24673"/>
    <w:rsid w:val="00E24F26"/>
    <w:rsid w:val="00E261B4"/>
    <w:rsid w:val="00E31E85"/>
    <w:rsid w:val="00E40179"/>
    <w:rsid w:val="00E407FF"/>
    <w:rsid w:val="00E40C34"/>
    <w:rsid w:val="00E41E2C"/>
    <w:rsid w:val="00E44207"/>
    <w:rsid w:val="00E55420"/>
    <w:rsid w:val="00E66C57"/>
    <w:rsid w:val="00E66D00"/>
    <w:rsid w:val="00E7224C"/>
    <w:rsid w:val="00E729F2"/>
    <w:rsid w:val="00E75DBD"/>
    <w:rsid w:val="00E805D3"/>
    <w:rsid w:val="00E80826"/>
    <w:rsid w:val="00E84DA1"/>
    <w:rsid w:val="00E86B07"/>
    <w:rsid w:val="00E91332"/>
    <w:rsid w:val="00EA3045"/>
    <w:rsid w:val="00EC1DE8"/>
    <w:rsid w:val="00EC3268"/>
    <w:rsid w:val="00EC35AE"/>
    <w:rsid w:val="00ED24C7"/>
    <w:rsid w:val="00ED3231"/>
    <w:rsid w:val="00ED4708"/>
    <w:rsid w:val="00EE0D69"/>
    <w:rsid w:val="00EE0F26"/>
    <w:rsid w:val="00EE2ABB"/>
    <w:rsid w:val="00EF08D3"/>
    <w:rsid w:val="00EF192B"/>
    <w:rsid w:val="00F06B8A"/>
    <w:rsid w:val="00F07A7D"/>
    <w:rsid w:val="00F11163"/>
    <w:rsid w:val="00F153C1"/>
    <w:rsid w:val="00F16839"/>
    <w:rsid w:val="00F211E7"/>
    <w:rsid w:val="00F21D37"/>
    <w:rsid w:val="00F221F0"/>
    <w:rsid w:val="00F26136"/>
    <w:rsid w:val="00F2713B"/>
    <w:rsid w:val="00F305D8"/>
    <w:rsid w:val="00F37106"/>
    <w:rsid w:val="00F44A2E"/>
    <w:rsid w:val="00F47D57"/>
    <w:rsid w:val="00F55DC4"/>
    <w:rsid w:val="00F576B3"/>
    <w:rsid w:val="00F61214"/>
    <w:rsid w:val="00F741AF"/>
    <w:rsid w:val="00F745E1"/>
    <w:rsid w:val="00F75A79"/>
    <w:rsid w:val="00F7620E"/>
    <w:rsid w:val="00F775AD"/>
    <w:rsid w:val="00F77DB8"/>
    <w:rsid w:val="00F80E07"/>
    <w:rsid w:val="00F90326"/>
    <w:rsid w:val="00F90F86"/>
    <w:rsid w:val="00F92DF0"/>
    <w:rsid w:val="00FA0454"/>
    <w:rsid w:val="00FA4A9E"/>
    <w:rsid w:val="00FA7D61"/>
    <w:rsid w:val="00FB1248"/>
    <w:rsid w:val="00FB1453"/>
    <w:rsid w:val="00FB217D"/>
    <w:rsid w:val="00FB29CC"/>
    <w:rsid w:val="00FC0522"/>
    <w:rsid w:val="00FC2DE3"/>
    <w:rsid w:val="00FD3D04"/>
    <w:rsid w:val="00FD49A0"/>
    <w:rsid w:val="00FE27DE"/>
    <w:rsid w:val="00FE2D84"/>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aliases w:val="Normal (Web) Car Car,Normal (Web) Car"/>
    <w:basedOn w:val="Normal"/>
    <w:uiPriority w:val="99"/>
    <w:qFormat/>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FN,fn Car,footnote text Car,Footnotes Car,Footnote ak Car,Texto nota pie Car1,Texto nota pie Car2 Car Car,Texto nota pie Car Car1 Car Car,Texto nota pie Car Car Car Car Car Car Car Car1 Car Car,footnote text,FA Fu,Texto nota pie Car Car"/>
    <w:basedOn w:val="Normal"/>
    <w:link w:val="TextonotapieCar"/>
    <w:uiPriority w:val="99"/>
    <w:qFormat/>
    <w:rsid w:val="00925058"/>
    <w:rPr>
      <w:rFonts w:ascii="Times" w:eastAsia="Times" w:hAnsi="Times"/>
      <w:lang w:val="en-US"/>
    </w:rPr>
  </w:style>
  <w:style w:type="character" w:customStyle="1" w:styleId="TextonotapieCar">
    <w:name w:val="Texto nota pie Car"/>
    <w:aliases w:val="FN Car,fn Car Car,footnote text Car Car,Footnotes Car Car,Footnote ak Car Car,Texto nota pie Car1 Car,Texto nota pie Car2 Car Car Car,Texto nota pie Car Car1 Car Car Car,Texto nota pie Car Car Car Car Car Car Car Car1 Car Car Car"/>
    <w:link w:val="Textonotapie"/>
    <w:uiPriority w:val="99"/>
    <w:qFormat/>
    <w:rsid w:val="00925058"/>
    <w:rPr>
      <w:rFonts w:ascii="Times" w:eastAsia="Times" w:hAnsi="Times"/>
      <w:lang w:val="en-US" w:eastAsia="es-ES"/>
    </w:rPr>
  </w:style>
  <w:style w:type="character" w:styleId="Refdenotaalpie">
    <w:name w:val="footnote reference"/>
    <w:aliases w:val="Texto de nota al pie,Ref. de nota al pie2,referencia nota al pie,Ref,de nota al pie,fr,Used by Word for Help footnote symbols,Referencia nota al pie,BVI fnr,BVI fnr Car Car,BVI fnr Car,BVI fnr Car Car Car Car,Pie de pagina,f,FC,o,4_G"/>
    <w:uiPriority w:val="99"/>
    <w:qFormat/>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character" w:customStyle="1" w:styleId="normaltextrun">
    <w:name w:val="normaltextrun"/>
    <w:basedOn w:val="Fuentedeprrafopredeter"/>
    <w:rsid w:val="005B52FB"/>
  </w:style>
  <w:style w:type="character" w:customStyle="1" w:styleId="findhit">
    <w:name w:val="findhit"/>
    <w:basedOn w:val="Fuentedeprrafopredeter"/>
    <w:rsid w:val="005B52FB"/>
  </w:style>
  <w:style w:type="character" w:customStyle="1" w:styleId="TextocomentarioCar">
    <w:name w:val="Texto comentario Car"/>
    <w:basedOn w:val="Fuentedeprrafopredeter"/>
    <w:link w:val="Textocomentario"/>
    <w:uiPriority w:val="99"/>
    <w:rsid w:val="003E673F"/>
    <w:rPr>
      <w:rFonts w:ascii="Arial" w:hAnsi="Arial"/>
      <w:lang w:val="es-ES" w:eastAsia="es-ES"/>
    </w:rPr>
  </w:style>
  <w:style w:type="paragraph" w:styleId="Prrafodelista">
    <w:name w:val="List Paragraph"/>
    <w:aliases w:val="titulo 3,Cuadrícula media 1 - Énfasis 22,Segundo nivel de viñetas,List Paragraph1,Cuadrícula media 1 - Énfasis 21,Bullet List,FooterText,numbered,Paragraphe de liste1,Bulletr List Paragraph,列出段落,列出段落1,lp1,Ha"/>
    <w:basedOn w:val="Normal"/>
    <w:link w:val="PrrafodelistaCar"/>
    <w:uiPriority w:val="34"/>
    <w:qFormat/>
    <w:rsid w:val="003E673F"/>
    <w:pPr>
      <w:ind w:left="720"/>
      <w:contextualSpacing/>
    </w:pPr>
    <w:rPr>
      <w:sz w:val="24"/>
      <w:szCs w:val="24"/>
    </w:rPr>
  </w:style>
  <w:style w:type="character" w:customStyle="1" w:styleId="PrrafodelistaCar">
    <w:name w:val="Párrafo de lista Car"/>
    <w:aliases w:val="titulo 3 Car,Cuadrícula media 1 - Énfasis 22 Car,Segundo nivel de viñetas Car,List Paragraph1 Car,Cuadrícula media 1 - Énfasis 21 Car,Bullet List Car,FooterText Car,numbered Car,Paragraphe de liste1 Car,Bulletr List Paragraph Car"/>
    <w:link w:val="Prrafodelista"/>
    <w:uiPriority w:val="34"/>
    <w:qFormat/>
    <w:locked/>
    <w:rsid w:val="003E673F"/>
    <w:rPr>
      <w:rFonts w:ascii="Arial" w:hAnsi="Arial"/>
      <w:sz w:val="24"/>
      <w:szCs w:val="24"/>
      <w:lang w:val="es-ES" w:eastAsia="es-ES"/>
    </w:rPr>
  </w:style>
  <w:style w:type="character" w:styleId="Mencinsinresolver">
    <w:name w:val="Unresolved Mention"/>
    <w:basedOn w:val="Fuentedeprrafopredeter"/>
    <w:uiPriority w:val="99"/>
    <w:semiHidden/>
    <w:unhideWhenUsed/>
    <w:rsid w:val="0002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mograma.mintic.gov.co/mintic/compilacion/docs/ley_1341_2009.htm%22%20/l%20%221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ormograma.mintic.gov.co/mintic/compilacion/docs/ley_1978_2019.htm%22%20/l%20%22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ograma.mintic.gov.co/mintic/compilacion/docs/ley_1978_2019.htm%22%20/l%20%22INICI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D0978E93353D479C8DC9570212469B" ma:contentTypeVersion="14" ma:contentTypeDescription="Crear nuevo documento." ma:contentTypeScope="" ma:versionID="4b9befa75a347ec10a62573a205a13ca">
  <xsd:schema xmlns:xsd="http://www.w3.org/2001/XMLSchema" xmlns:xs="http://www.w3.org/2001/XMLSchema" xmlns:p="http://schemas.microsoft.com/office/2006/metadata/properties" xmlns:ns3="4171c87d-3dc0-46bf-af47-d6e497ee0d41" xmlns:ns4="343a738a-e1be-4a84-8cf9-e13d3dd389bf" targetNamespace="http://schemas.microsoft.com/office/2006/metadata/properties" ma:root="true" ma:fieldsID="004ee174b04090ed933dad2e989209ce" ns3:_="" ns4:_="">
    <xsd:import namespace="4171c87d-3dc0-46bf-af47-d6e497ee0d41"/>
    <xsd:import namespace="343a738a-e1be-4a84-8cf9-e13d3dd38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c87d-3dc0-46bf-af47-d6e497ee0d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738a-e1be-4a84-8cf9-e13d3dd38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3a738a-e1be-4a84-8cf9-e13d3dd389b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AD9C4-874B-465E-8F6C-E5CCB23D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c87d-3dc0-46bf-af47-d6e497ee0d41"/>
    <ds:schemaRef ds:uri="343a738a-e1be-4a84-8cf9-e13d3dd38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A2C0C-43A8-4E0A-B224-1B702EFA9AFB}">
  <ds:schemaRefs>
    <ds:schemaRef ds:uri="http://schemas.microsoft.com/sharepoint/v3/contenttype/forms"/>
  </ds:schemaRefs>
</ds:datastoreItem>
</file>

<file path=customXml/itemProps3.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343a738a-e1be-4a84-8cf9-e13d3dd389bf"/>
  </ds:schemaRefs>
</ds:datastoreItem>
</file>

<file path=customXml/itemProps4.xml><?xml version="1.0" encoding="utf-8"?>
<ds:datastoreItem xmlns:ds="http://schemas.openxmlformats.org/officeDocument/2006/customXml" ds:itemID="{91144820-3BC2-4C6E-A2BA-EB9826C2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3582</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Dora Yasmin Vega Saavedra</cp:lastModifiedBy>
  <cp:revision>2</cp:revision>
  <cp:lastPrinted>2019-07-08T22:30:00Z</cp:lastPrinted>
  <dcterms:created xsi:type="dcterms:W3CDTF">2025-06-04T18:51:00Z</dcterms:created>
  <dcterms:modified xsi:type="dcterms:W3CDTF">2025-06-04T18:51:00Z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0x01010039D0978E93353D479C8DC9570212469B</vt:lpwstr>
  </property>
  <property fmtid="{D5CDD505-2E9C-101B-9397-08002B2CF9AE}" pid="3" name="MSIP_Label_f8da2c01-e402-4fc9-beb9-bac87f3a3b75_Enabled">
    <vt:lpwstr>true</vt:lpwstr>
  </property>
  <property fmtid="{D5CDD505-2E9C-101B-9397-08002B2CF9AE}" pid="4" name="MSIP_Label_f8da2c01-e402-4fc9-beb9-bac87f3a3b75_SetDate">
    <vt:lpwstr>2023-05-11T19:52:28Z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