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4"/>
        <w:gridCol w:w="4221"/>
        <w:gridCol w:w="3119"/>
      </w:tblGrid>
      <w:tr w:rsidR="005C4522" w:rsidRPr="009F7CED" w14:paraId="37976A32" w14:textId="77777777" w:rsidTr="61966AD2">
        <w:trPr>
          <w:trHeight w:val="97"/>
        </w:trPr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1798A" w14:textId="77777777" w:rsidR="0026513E" w:rsidRPr="008C703D" w:rsidRDefault="00795C6B" w:rsidP="002264B8">
            <w:pPr>
              <w:pStyle w:val="Ttulo2"/>
              <w:ind w:right="72"/>
              <w:jc w:val="left"/>
              <w:rPr>
                <w:rFonts w:cs="Arial"/>
                <w:bCs/>
                <w:sz w:val="22"/>
                <w:szCs w:val="22"/>
              </w:rPr>
            </w:pPr>
            <w:r w:rsidRPr="008C703D">
              <w:rPr>
                <w:rFonts w:cs="Arial"/>
                <w:sz w:val="22"/>
                <w:szCs w:val="22"/>
                <w:lang w:val="es-CO"/>
              </w:rPr>
              <w:t>Entidad</w:t>
            </w:r>
            <w:r w:rsidR="00086B16" w:rsidRPr="008C703D">
              <w:rPr>
                <w:rFonts w:cs="Arial"/>
                <w:sz w:val="22"/>
                <w:szCs w:val="22"/>
                <w:lang w:val="es-CO"/>
              </w:rPr>
              <w:t xml:space="preserve"> </w:t>
            </w:r>
            <w:r w:rsidRPr="008C703D">
              <w:rPr>
                <w:rFonts w:cs="Arial"/>
                <w:sz w:val="22"/>
                <w:szCs w:val="22"/>
                <w:lang w:val="es-CO"/>
              </w:rPr>
              <w:t>originadora</w:t>
            </w:r>
            <w:r w:rsidR="00293F29" w:rsidRPr="008C703D">
              <w:rPr>
                <w:rFonts w:cs="Arial"/>
                <w:sz w:val="22"/>
                <w:szCs w:val="22"/>
                <w:lang w:val="es-CO"/>
              </w:rPr>
              <w:t>: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06CB6" w14:textId="10670ACC" w:rsidR="0026513E" w:rsidRPr="00084B49" w:rsidRDefault="001F7835" w:rsidP="00795C6B">
            <w:pPr>
              <w:pStyle w:val="Ttulo2"/>
              <w:ind w:left="72" w:right="72"/>
              <w:jc w:val="left"/>
              <w:rPr>
                <w:rFonts w:cs="Arial"/>
                <w:b w:val="0"/>
                <w:i/>
                <w:color w:val="808080"/>
                <w:sz w:val="22"/>
                <w:szCs w:val="22"/>
              </w:rPr>
            </w:pPr>
            <w:r>
              <w:rPr>
                <w:rFonts w:cs="Arial"/>
                <w:b w:val="0"/>
                <w:i/>
                <w:color w:val="808080"/>
                <w:sz w:val="22"/>
                <w:szCs w:val="22"/>
              </w:rPr>
              <w:t>Ministerio de Tecnologías de la Información y las Comunicaciones</w:t>
            </w:r>
          </w:p>
        </w:tc>
      </w:tr>
      <w:tr w:rsidR="005C4522" w:rsidRPr="009F7CED" w14:paraId="53D25FCD" w14:textId="77777777" w:rsidTr="61966AD2">
        <w:trPr>
          <w:trHeight w:val="97"/>
        </w:trPr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D1BF2E" w14:textId="77777777" w:rsidR="00C47F73" w:rsidRPr="008C703D" w:rsidRDefault="0026513E" w:rsidP="002264B8">
            <w:pPr>
              <w:pStyle w:val="Ttulo2"/>
              <w:ind w:right="72"/>
              <w:jc w:val="left"/>
              <w:rPr>
                <w:rFonts w:cs="Arial"/>
                <w:bCs/>
                <w:sz w:val="22"/>
                <w:szCs w:val="22"/>
              </w:rPr>
            </w:pPr>
            <w:r w:rsidRPr="008C703D">
              <w:rPr>
                <w:rFonts w:cs="Arial"/>
                <w:bCs/>
                <w:sz w:val="22"/>
                <w:szCs w:val="22"/>
              </w:rPr>
              <w:t>Fecha</w:t>
            </w:r>
            <w:r w:rsidR="00BB545F" w:rsidRPr="008C703D">
              <w:rPr>
                <w:rFonts w:cs="Arial"/>
                <w:bCs/>
                <w:sz w:val="22"/>
                <w:szCs w:val="22"/>
              </w:rPr>
              <w:t xml:space="preserve"> (dd/mm/aa)</w:t>
            </w:r>
            <w:r w:rsidR="00293F29" w:rsidRPr="008C703D">
              <w:rPr>
                <w:rFonts w:cs="Arial"/>
                <w:bCs/>
                <w:sz w:val="22"/>
                <w:szCs w:val="22"/>
              </w:rPr>
              <w:t>: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A01855" w14:textId="76888DF5" w:rsidR="00C47F73" w:rsidRPr="009F7CED" w:rsidRDefault="00F078D0" w:rsidP="005F30C3">
            <w:pPr>
              <w:pStyle w:val="Ttulo2"/>
              <w:ind w:left="72" w:right="72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i/>
                <w:color w:val="808080"/>
                <w:sz w:val="22"/>
                <w:szCs w:val="22"/>
              </w:rPr>
              <w:t>05</w:t>
            </w:r>
            <w:r w:rsidR="001F7835" w:rsidRPr="00422FB9">
              <w:rPr>
                <w:rFonts w:cs="Arial"/>
                <w:b w:val="0"/>
                <w:i/>
                <w:color w:val="808080"/>
                <w:sz w:val="22"/>
                <w:szCs w:val="22"/>
              </w:rPr>
              <w:t>/</w:t>
            </w:r>
            <w:r w:rsidR="00FD47DC">
              <w:rPr>
                <w:rFonts w:cs="Arial"/>
                <w:b w:val="0"/>
                <w:i/>
                <w:color w:val="808080"/>
                <w:sz w:val="22"/>
                <w:szCs w:val="22"/>
              </w:rPr>
              <w:t>0</w:t>
            </w:r>
            <w:r>
              <w:rPr>
                <w:rFonts w:cs="Arial"/>
                <w:b w:val="0"/>
                <w:i/>
                <w:color w:val="808080"/>
                <w:sz w:val="22"/>
                <w:szCs w:val="22"/>
              </w:rPr>
              <w:t>6</w:t>
            </w:r>
            <w:bookmarkStart w:id="0" w:name="_GoBack"/>
            <w:bookmarkEnd w:id="0"/>
            <w:r w:rsidR="001F7835" w:rsidRPr="00422FB9">
              <w:rPr>
                <w:rFonts w:cs="Arial"/>
                <w:b w:val="0"/>
                <w:i/>
                <w:color w:val="808080"/>
                <w:sz w:val="22"/>
                <w:szCs w:val="22"/>
              </w:rPr>
              <w:t>/202</w:t>
            </w:r>
            <w:r w:rsidR="001E3669">
              <w:rPr>
                <w:rFonts w:cs="Arial"/>
                <w:b w:val="0"/>
                <w:i/>
                <w:color w:val="808080"/>
                <w:sz w:val="22"/>
                <w:szCs w:val="22"/>
              </w:rPr>
              <w:t>5</w:t>
            </w:r>
          </w:p>
        </w:tc>
      </w:tr>
      <w:tr w:rsidR="005C4522" w:rsidRPr="009F7CED" w14:paraId="26AE5D51" w14:textId="77777777" w:rsidTr="61966AD2">
        <w:trPr>
          <w:trHeight w:val="97"/>
        </w:trPr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21D1B" w14:textId="77777777" w:rsidR="0059316B" w:rsidRPr="008C703D" w:rsidRDefault="00A55DB6" w:rsidP="002264B8">
            <w:pPr>
              <w:pStyle w:val="Ttulo2"/>
              <w:ind w:right="72"/>
              <w:jc w:val="left"/>
              <w:rPr>
                <w:rFonts w:cs="Arial"/>
                <w:bCs/>
                <w:sz w:val="22"/>
                <w:szCs w:val="22"/>
              </w:rPr>
            </w:pPr>
            <w:r w:rsidRPr="008C703D">
              <w:rPr>
                <w:rFonts w:cs="Arial"/>
                <w:bCs/>
                <w:sz w:val="22"/>
                <w:szCs w:val="22"/>
              </w:rPr>
              <w:t xml:space="preserve">Proyecto de </w:t>
            </w:r>
            <w:r w:rsidR="00587695" w:rsidRPr="008C703D">
              <w:rPr>
                <w:rFonts w:cs="Arial"/>
                <w:bCs/>
                <w:sz w:val="22"/>
                <w:szCs w:val="22"/>
              </w:rPr>
              <w:t>D</w:t>
            </w:r>
            <w:r w:rsidRPr="008C703D">
              <w:rPr>
                <w:rFonts w:cs="Arial"/>
                <w:bCs/>
                <w:sz w:val="22"/>
                <w:szCs w:val="22"/>
              </w:rPr>
              <w:t>ecreto</w:t>
            </w:r>
            <w:r w:rsidR="00795C6B" w:rsidRPr="008C703D">
              <w:rPr>
                <w:rFonts w:cs="Arial"/>
                <w:bCs/>
                <w:sz w:val="22"/>
                <w:szCs w:val="22"/>
              </w:rPr>
              <w:t>/Resolución</w:t>
            </w:r>
            <w:r w:rsidR="00293F29" w:rsidRPr="008C703D">
              <w:rPr>
                <w:rFonts w:cs="Arial"/>
                <w:bCs/>
                <w:sz w:val="22"/>
                <w:szCs w:val="22"/>
              </w:rPr>
              <w:t>: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136248" w14:textId="43FD1B3A" w:rsidR="001F238A" w:rsidRPr="001F7835" w:rsidRDefault="009A0D3A" w:rsidP="001F7835">
            <w:pPr>
              <w:pStyle w:val="Ttulo2"/>
              <w:ind w:left="72" w:right="72"/>
              <w:jc w:val="both"/>
              <w:rPr>
                <w:rFonts w:cs="Arial"/>
                <w:spacing w:val="-3"/>
                <w:sz w:val="22"/>
                <w:szCs w:val="22"/>
              </w:rPr>
            </w:pPr>
            <w:r w:rsidRPr="009A0D3A">
              <w:rPr>
                <w:rFonts w:cs="Arial"/>
                <w:b w:val="0"/>
                <w:i/>
                <w:color w:val="808080"/>
                <w:sz w:val="22"/>
                <w:szCs w:val="22"/>
              </w:rPr>
              <w:t>“Por la cual se actualiza el Anexo 1 de la Resolución 500 de 2021 y se derogan otras disposiciones relacionadas con la materia”</w:t>
            </w:r>
          </w:p>
        </w:tc>
      </w:tr>
      <w:tr w:rsidR="00DF60FD" w:rsidRPr="009F7CED" w14:paraId="421EB457" w14:textId="77777777" w:rsidTr="61966AD2">
        <w:trPr>
          <w:trHeight w:val="674"/>
        </w:trPr>
        <w:tc>
          <w:tcPr>
            <w:tcW w:w="10774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3EBB54" w14:textId="77777777" w:rsidR="006315B4" w:rsidRPr="009F7CED" w:rsidRDefault="006315B4" w:rsidP="0075705D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 w:val="22"/>
                <w:szCs w:val="22"/>
                <w:lang w:val="es-CO" w:eastAsia="en-US"/>
              </w:rPr>
            </w:pPr>
          </w:p>
          <w:p w14:paraId="23A54342" w14:textId="77777777" w:rsidR="0095690D" w:rsidRPr="005F30C3" w:rsidRDefault="0095690D" w:rsidP="0075705D">
            <w:pPr>
              <w:numPr>
                <w:ilvl w:val="0"/>
                <w:numId w:val="44"/>
              </w:numPr>
              <w:ind w:left="494"/>
              <w:rPr>
                <w:rFonts w:cs="Arial"/>
                <w:b/>
                <w:color w:val="000000"/>
                <w:sz w:val="22"/>
                <w:szCs w:val="22"/>
                <w:lang w:val="es-CO"/>
              </w:rPr>
            </w:pPr>
            <w:r w:rsidRPr="005F30C3">
              <w:rPr>
                <w:rFonts w:cs="Arial"/>
                <w:b/>
                <w:color w:val="000000"/>
                <w:sz w:val="22"/>
                <w:szCs w:val="22"/>
                <w:lang w:val="es-CO"/>
              </w:rPr>
              <w:t>ANTECEDENTES Y RAZONES DE OPORTUNIDAD Y CONVENIENCIA QUE JUSTIFICAN SU EXPEDICIÓN.</w:t>
            </w:r>
          </w:p>
          <w:p w14:paraId="203741B2" w14:textId="77777777" w:rsidR="00ED774D" w:rsidRPr="00ED774D" w:rsidRDefault="00ED774D" w:rsidP="00ED774D">
            <w:pPr>
              <w:spacing w:line="259" w:lineRule="auto"/>
              <w:jc w:val="both"/>
              <w:rPr>
                <w:rFonts w:cs="Arial"/>
              </w:rPr>
            </w:pPr>
          </w:p>
          <w:p w14:paraId="3ECEC18A" w14:textId="16BA79E0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Como desarrollo del habilitador de Seguridad y Privacidad de la Información, hasta la expedición de la Resolución 500 de 2021, el Ministerio de Tecnologías de la Información estableció diferentes lineamientos, guías y estándares para la implementación del Modelo de Seguridad y Privacidad de la Información (MSPI). </w:t>
            </w:r>
            <w:r w:rsidR="006B7422">
              <w:rPr>
                <w:rFonts w:cs="Arial"/>
              </w:rPr>
              <w:t>Asimismo</w:t>
            </w:r>
            <w:r w:rsidRPr="003818A1">
              <w:rPr>
                <w:rFonts w:cs="Arial"/>
              </w:rPr>
              <w:t xml:space="preserve">, a través de la Resolución 500 de 2021 se establecieron los lineamientos generales para la implementación del Modelo de Seguridad y Privacidad de la Información - MSPI, la guía de gestión de riesgos de seguridad de la información y el procedimiento para la gestión de los incidentes de seguridad digital, </w:t>
            </w:r>
            <w:r w:rsidR="0043050E">
              <w:rPr>
                <w:rFonts w:cs="Arial"/>
              </w:rPr>
              <w:t>también</w:t>
            </w:r>
            <w:r w:rsidRPr="003818A1">
              <w:rPr>
                <w:rFonts w:cs="Arial"/>
              </w:rPr>
              <w:t xml:space="preserve"> estableció los lineamientos y estándares para la estrategia de seguridad digital.</w:t>
            </w:r>
          </w:p>
          <w:p w14:paraId="1CE3AFC4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</w:p>
          <w:p w14:paraId="65DAA381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>El parágrafo 2 del artículo 5 de la Resolución 500 de 2021 dispone que el Modelo de Seguridad y Privacidad de la Información – MSPI señalado en el Anexo 1 será actualizado por el MinTIC a través de las sucesivas versiones de cada uno de los documentos que lo componen y previo informe del equipo técnico, y que la actualización se publicará en la sede electrónica de MinTIC.</w:t>
            </w:r>
          </w:p>
          <w:p w14:paraId="0FBF79A3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</w:p>
          <w:p w14:paraId="3FAA19AA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A través del Decreto 338 de 2022 se adicionó el Titulo 21 a la parte 2 del Libro 2 del DUR TIC, con el fin de establecer los lineamientos generales para fortalecer la gobernanza de la seguridad digital, y crear el Modelo y las instancias de Gobernanza de Seguridad Digital. Así pues, el artículo 2.2.21.1.1.4. establece que “Las autoridades deberán adoptar medidas técnicas, humanas y administrativas para garantizar la gobernanza de la seguridad digital, la gestión de riesgos de seguridad digital, la identificación y reporte de infraestructuras críticas cibernéticas y servicios esenciales, y la gestión y respuesta a incidentes de seguridad digital”. </w:t>
            </w:r>
          </w:p>
          <w:p w14:paraId="7BA7521D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</w:p>
          <w:p w14:paraId="3D18C0C7" w14:textId="4B224A32" w:rsid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Teniendo en cuenta que el Modelo de Seguridad y Privacidad de la Información – MSPI, previsto en el Anexo 1 de la Resolución 500 de 2021, está soportado en la norma ISO 27001 versión 2013 y que esta fue actualizada en febrero de 2022, se hace necesario actualizar el Anexo 1 de la Resolución 500 de 2021, así como derogar todos aquellos lineamientos, guías y estándares que son contrarios a esta norma técnica, y que fueron expedidos como desarrollo del habilitador de Seguridad y Privacidad de la Información por el Ministerio de Tecnologías de la Información y las Comunicaciones.  </w:t>
            </w:r>
          </w:p>
          <w:p w14:paraId="7D8549CF" w14:textId="7D6D8EBE" w:rsidR="001E3669" w:rsidRDefault="001E3669" w:rsidP="003818A1">
            <w:pPr>
              <w:spacing w:line="259" w:lineRule="auto"/>
              <w:jc w:val="both"/>
              <w:rPr>
                <w:rFonts w:cs="Arial"/>
              </w:rPr>
            </w:pPr>
          </w:p>
          <w:p w14:paraId="6F0A1BA9" w14:textId="4DC7714A" w:rsidR="001E3669" w:rsidRDefault="001E3669" w:rsidP="003818A1">
            <w:pPr>
              <w:spacing w:line="259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Así mismo, teniendo en cuenta que, a</w:t>
            </w:r>
            <w:r w:rsidRPr="001E3669">
              <w:rPr>
                <w:rFonts w:cs="Arial"/>
              </w:rPr>
              <w:t xml:space="preserve"> través de la Resolución 746 de 2022 “Por la cual se fortalece el Modelo de Seguridad y Privacidad de la Información y se definen lineamientos adicionales a los establecidos en la Resolución número 500 de 2021”, se adicionó diferentes disposiciones de la Resolución 500 de 2021 en consideración a un aumento observado en los incidentes de ransomware sofisticados y de alto impacto contra organizaciones de infraestructura crítica en todo el mundo.</w:t>
            </w:r>
          </w:p>
          <w:p w14:paraId="3E304EC2" w14:textId="2EA68022" w:rsid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</w:p>
          <w:p w14:paraId="529C0A80" w14:textId="47882FA5" w:rsid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Serán derogadas los siguientes </w:t>
            </w:r>
            <w:r w:rsidRPr="003818A1">
              <w:rPr>
                <w:rFonts w:cs="Arial"/>
              </w:rPr>
              <w:t>lineamientos, guías y estándares</w:t>
            </w:r>
            <w:r>
              <w:rPr>
                <w:rFonts w:cs="Arial"/>
              </w:rPr>
              <w:t>:</w:t>
            </w:r>
          </w:p>
          <w:p w14:paraId="22A40962" w14:textId="0A08C095" w:rsid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</w:p>
          <w:p w14:paraId="219E356B" w14:textId="2912845F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Guía para la Gestión y Clasificación de Incidentes de Seguridad de la Información. Guía No 21 Versión 1.0 del 12/31/2014 y subsiguientes versiones. Disponible en: https://www.mintic.gov.co/gestionti/615/articles-5482_G21_Gestion_Incidentes.pdf  </w:t>
            </w:r>
          </w:p>
          <w:p w14:paraId="4D740EBB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 </w:t>
            </w:r>
          </w:p>
          <w:p w14:paraId="7865F2FF" w14:textId="7E6BFEB9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Guía para la Gestión y Clasificación de Incidentes de Seguridad de la Información. Versión 4.0 del 28/10/2021 y subsiguientes versiones. Disponible en: https://gobiernodigital.mintic.gov.co/692/articles-237908_maestro_mspi.pdf </w:t>
            </w:r>
          </w:p>
          <w:p w14:paraId="7A282362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</w:p>
          <w:p w14:paraId="70E26574" w14:textId="16CADDC8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Modelo de Seguridad y Privacidad de la Información versión 3.0.2 del 29/07/2016 y subsiguientes versiones. Disponible en: https://www.mintic.gov.co/gestionti/615/articles-5482_Modelo_de_Seguridad_Privacidad.pdf </w:t>
            </w:r>
          </w:p>
          <w:p w14:paraId="385B00E9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</w:p>
          <w:p w14:paraId="163EC888" w14:textId="145E2E2F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Modelo de Seguridad y Privacidad de la Información versión 4.0 del 22/02/2021 y subsiguientes versiones. Disponible en:https://gobiernodigital.mintic.gov.co/692/articles-162623_recurso_1.pdf </w:t>
            </w:r>
          </w:p>
          <w:p w14:paraId="019FD3BD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</w:p>
          <w:p w14:paraId="6B8AB454" w14:textId="7CC8E454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Documento Maestro del Modelo de Seguridad y Privacidad de la Información versión 4.0 del 28/10/2021 y subsiguientes versiones. Disponible en: https://gobiernodigital.mintic.gov.co/692/articles-237872_maestro_mspi.pdf </w:t>
            </w:r>
          </w:p>
          <w:p w14:paraId="4334DCF9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</w:p>
          <w:p w14:paraId="5E0E1565" w14:textId="5991C85F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Guía Roles y responsabilidades versión 4.0 del 28/10/2021 y subsiguientes versiones. Disponible en: https://gobiernodigital.mintic.gov.co/692/articles-237904_maestro_mspi.pdf </w:t>
            </w:r>
          </w:p>
          <w:p w14:paraId="5D57B4D5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 </w:t>
            </w:r>
          </w:p>
          <w:p w14:paraId="08C133DD" w14:textId="64C6648F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Guía No. 4 Roles y responsabilidades versión 1.0 del 25/04/2016 y subsiguientes versiones. Disponible en: https://www.mintic.gov.co/gestionti/615/articles-5482_G4_Roles_responsabilidades.pdf </w:t>
            </w:r>
          </w:p>
          <w:p w14:paraId="76EF48A6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</w:p>
          <w:p w14:paraId="54C2FE51" w14:textId="6F676F51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Instrumento de Autoevaluación del Modelo de Seguridad y Privacidad de la Información del 21/11/2022 y subsiguientes versiones. Disponible en: https://gobiernodigital.mintic.gov.co/692/articles-273158_recurso_1.zip </w:t>
            </w:r>
          </w:p>
          <w:p w14:paraId="57A3468F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 </w:t>
            </w:r>
          </w:p>
          <w:p w14:paraId="2DD6D3B0" w14:textId="5ADD637E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Guía Indicadores de Gestión de Seguridad de la Información versión 4.0 del 28/10/2021 y subsiguientes versiones. Disponible en:https://gobiernodigital.mintic.gov.co/seguridadyprivacidad/704/articles-237905_maestro_mspi.pdf </w:t>
            </w:r>
          </w:p>
          <w:p w14:paraId="2583C475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 </w:t>
            </w:r>
          </w:p>
          <w:p w14:paraId="4B1474DA" w14:textId="70A1E541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Guía No 9 de indicadores de gestión para la seguridad de la información versión 3.0 del 22/05/2015 y subsiguientes versiones. Disponible en: https://www.mintic.gov.co/gestionti/615/articles-5482_G9_Indicadores_Gestion_Seguridad.pdf </w:t>
            </w:r>
          </w:p>
          <w:p w14:paraId="6AD39972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</w:p>
          <w:p w14:paraId="52B2AAD7" w14:textId="5380E0BC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Política General de Seguridad de la Información del 4/11/2022 y subsiguientes versiones. Disponible en: https://gobiernodigital.mintic.gov.co/692/articles-272947_recurso_1.zip </w:t>
            </w:r>
          </w:p>
          <w:p w14:paraId="2B50E0D5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 </w:t>
            </w:r>
          </w:p>
          <w:p w14:paraId="58CE2657" w14:textId="620B76DF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Guía No 5 para la Gestión y Clasificación de Activos de Información. Versión 1.0.0 del 15/03/2016 y subsiguientes versiones. Disponible en: https://www.mintic.gov.co/gestionti/615/articles-5482_G5_Gestion_Clasificacion.pdf </w:t>
            </w:r>
          </w:p>
          <w:p w14:paraId="77A1C513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</w:p>
          <w:p w14:paraId="14125235" w14:textId="5DB12030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 xml:space="preserve">Guía No 12 Seguridad en la Nube versión 1.0.1 del 14/03/2016 y subsiguientes versiones. Disponible en: https://www.mintic.gov.co/gestionti/615/articles-5482_G12_Seguridad_Nube.pdf </w:t>
            </w:r>
          </w:p>
          <w:p w14:paraId="1DE868BD" w14:textId="77777777" w:rsidR="003818A1" w:rsidRPr="003818A1" w:rsidRDefault="003818A1" w:rsidP="003818A1">
            <w:pPr>
              <w:spacing w:line="259" w:lineRule="auto"/>
              <w:jc w:val="both"/>
              <w:rPr>
                <w:rFonts w:cs="Arial"/>
              </w:rPr>
            </w:pPr>
          </w:p>
          <w:p w14:paraId="0CD0CEA7" w14:textId="200165AE" w:rsidR="003818A1" w:rsidRPr="00ED774D" w:rsidRDefault="003818A1" w:rsidP="003818A1">
            <w:pPr>
              <w:spacing w:line="259" w:lineRule="auto"/>
              <w:jc w:val="both"/>
              <w:rPr>
                <w:rFonts w:cs="Arial"/>
              </w:rPr>
            </w:pPr>
            <w:r w:rsidRPr="003818A1">
              <w:rPr>
                <w:rFonts w:cs="Arial"/>
              </w:rPr>
              <w:t>Guía No 12 Seguridad en la Nube versión 1.0.1 del 14/03/2016 y subsiguientes versiones. Disponible en: https://gobiernodigital.mintic.gov.co/692/articles-150518_G12_Seguridad_Nube.pdf</w:t>
            </w:r>
          </w:p>
          <w:p w14:paraId="4CD27D53" w14:textId="4A7510B4" w:rsidR="001F7835" w:rsidRPr="001F7835" w:rsidRDefault="001F7835" w:rsidP="00ED774D">
            <w:pPr>
              <w:jc w:val="both"/>
              <w:rPr>
                <w:rFonts w:cs="Arial"/>
              </w:rPr>
            </w:pPr>
          </w:p>
        </w:tc>
      </w:tr>
      <w:tr w:rsidR="00DF60FD" w:rsidRPr="009F7CED" w14:paraId="2C8A0E56" w14:textId="77777777" w:rsidTr="61966AD2">
        <w:trPr>
          <w:trHeight w:val="47"/>
        </w:trPr>
        <w:tc>
          <w:tcPr>
            <w:tcW w:w="10774" w:type="dxa"/>
            <w:gridSpan w:val="3"/>
            <w:shd w:val="clear" w:color="auto" w:fill="FFFFFF" w:themeFill="background1"/>
            <w:vAlign w:val="center"/>
          </w:tcPr>
          <w:p w14:paraId="2EF9499E" w14:textId="77777777" w:rsidR="00251FCE" w:rsidRPr="009F7CED" w:rsidRDefault="00251FCE" w:rsidP="0075705D">
            <w:pPr>
              <w:jc w:val="both"/>
              <w:rPr>
                <w:lang w:eastAsia="es-CO"/>
              </w:rPr>
            </w:pPr>
          </w:p>
        </w:tc>
      </w:tr>
      <w:tr w:rsidR="00DF60FD" w:rsidRPr="009F7CED" w14:paraId="1D35CE88" w14:textId="77777777" w:rsidTr="61966AD2">
        <w:trPr>
          <w:trHeight w:val="66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54CE36" w14:textId="77777777" w:rsidR="00DF60FD" w:rsidRDefault="00DF60FD" w:rsidP="0075705D">
            <w:pPr>
              <w:numPr>
                <w:ilvl w:val="0"/>
                <w:numId w:val="44"/>
              </w:numPr>
              <w:ind w:left="494"/>
              <w:rPr>
                <w:rFonts w:cs="Arial"/>
                <w:b/>
                <w:color w:val="000000"/>
                <w:sz w:val="22"/>
                <w:szCs w:val="22"/>
              </w:rPr>
            </w:pPr>
            <w:r w:rsidRPr="009F7CED">
              <w:rPr>
                <w:rFonts w:cs="Arial"/>
                <w:b/>
                <w:color w:val="000000"/>
                <w:sz w:val="22"/>
                <w:szCs w:val="22"/>
              </w:rPr>
              <w:t>AMBITO DE APLICACIÓN Y SUJETO</w:t>
            </w:r>
            <w:r w:rsidR="00795C6B">
              <w:rPr>
                <w:rFonts w:cs="Arial"/>
                <w:b/>
                <w:color w:val="000000"/>
                <w:sz w:val="22"/>
                <w:szCs w:val="22"/>
              </w:rPr>
              <w:t>S</w:t>
            </w:r>
            <w:r w:rsidRPr="009F7CED">
              <w:rPr>
                <w:rFonts w:cs="Arial"/>
                <w:b/>
                <w:color w:val="000000"/>
                <w:sz w:val="22"/>
                <w:szCs w:val="22"/>
              </w:rPr>
              <w:t xml:space="preserve"> A QUIEN</w:t>
            </w:r>
            <w:r w:rsidR="00795C6B">
              <w:rPr>
                <w:rFonts w:cs="Arial"/>
                <w:b/>
                <w:color w:val="000000"/>
                <w:sz w:val="22"/>
                <w:szCs w:val="22"/>
              </w:rPr>
              <w:t>ES</w:t>
            </w:r>
            <w:r w:rsidRPr="009F7CED">
              <w:rPr>
                <w:rFonts w:cs="Arial"/>
                <w:b/>
                <w:color w:val="000000"/>
                <w:sz w:val="22"/>
                <w:szCs w:val="22"/>
              </w:rPr>
              <w:t xml:space="preserve"> VA DIRIGIDO</w:t>
            </w:r>
          </w:p>
          <w:p w14:paraId="1B77C6B6" w14:textId="77777777" w:rsidR="00795C6B" w:rsidRPr="00795C6B" w:rsidRDefault="00696582" w:rsidP="0075705D">
            <w:pPr>
              <w:pStyle w:val="Listavistosa-nfasis11"/>
              <w:spacing w:line="240" w:lineRule="auto"/>
              <w:ind w:left="494"/>
              <w:jc w:val="both"/>
              <w:rPr>
                <w:rFonts w:ascii="Arial" w:hAnsi="Arial" w:cs="Arial"/>
                <w:i/>
                <w:color w:val="808080"/>
                <w:sz w:val="18"/>
              </w:rPr>
            </w:pPr>
            <w:r w:rsidRPr="00795C6B">
              <w:rPr>
                <w:rFonts w:ascii="Arial" w:hAnsi="Arial" w:cs="Arial"/>
                <w:i/>
                <w:color w:val="808080"/>
                <w:sz w:val="18"/>
              </w:rPr>
              <w:t xml:space="preserve"> </w:t>
            </w:r>
            <w:r w:rsidR="00795C6B" w:rsidRPr="00795C6B">
              <w:rPr>
                <w:rFonts w:ascii="Arial" w:hAnsi="Arial" w:cs="Arial"/>
                <w:i/>
                <w:color w:val="808080"/>
                <w:sz w:val="18"/>
              </w:rPr>
              <w:t>(Por favor indique el ámbito de aplicación o sujetos obligados de la norma)</w:t>
            </w:r>
          </w:p>
          <w:p w14:paraId="6801E849" w14:textId="77777777" w:rsidR="00795C6B" w:rsidRDefault="00900091">
            <w:pPr>
              <w:rPr>
                <w:rFonts w:cs="Arial"/>
              </w:rPr>
            </w:pPr>
            <w:r>
              <w:rPr>
                <w:rFonts w:cs="Arial"/>
                <w:lang w:val="es-CO"/>
              </w:rPr>
              <w:t>Proyecto normativo</w:t>
            </w:r>
            <w:r w:rsidRPr="00F27080">
              <w:rPr>
                <w:rFonts w:cs="Arial"/>
              </w:rPr>
              <w:t xml:space="preserve"> </w:t>
            </w:r>
            <w:r w:rsidR="00187DBE">
              <w:rPr>
                <w:rFonts w:cs="Arial"/>
              </w:rPr>
              <w:t xml:space="preserve">que </w:t>
            </w:r>
            <w:r w:rsidR="00ED774D">
              <w:rPr>
                <w:rFonts w:cs="Arial"/>
              </w:rPr>
              <w:t xml:space="preserve">aplica a los </w:t>
            </w:r>
            <w:r w:rsidR="00ED774D" w:rsidRPr="00ED774D">
              <w:rPr>
                <w:rFonts w:cs="Arial"/>
              </w:rPr>
              <w:t>sujetos señalados en el artículo 2.2.9.1.1.2. del Decreto número 1078 de 2015</w:t>
            </w:r>
            <w:r w:rsidR="00013BFD">
              <w:rPr>
                <w:rFonts w:cs="Arial"/>
              </w:rPr>
              <w:t xml:space="preserve"> </w:t>
            </w:r>
            <w:r w:rsidR="00ED774D" w:rsidRPr="00ED774D">
              <w:rPr>
                <w:rFonts w:cs="Arial"/>
              </w:rPr>
              <w:t>(DUR-TIC), por medio del cual se expide el Decreto Único Reglamentario del sector de Tecnologías de la Información y las Comunicaciones.</w:t>
            </w:r>
          </w:p>
          <w:p w14:paraId="33CB66DC" w14:textId="6A1CA564" w:rsidR="00422FB9" w:rsidRPr="009F7CED" w:rsidRDefault="00422FB9">
            <w:pPr>
              <w:rPr>
                <w:rFonts w:cs="Arial"/>
                <w:iCs/>
                <w:color w:val="000000"/>
                <w:sz w:val="22"/>
                <w:szCs w:val="22"/>
              </w:rPr>
            </w:pPr>
          </w:p>
        </w:tc>
      </w:tr>
      <w:tr w:rsidR="00DF60FD" w:rsidRPr="009F7CED" w14:paraId="568C284A" w14:textId="77777777" w:rsidTr="61966AD2">
        <w:trPr>
          <w:trHeight w:val="278"/>
        </w:trPr>
        <w:tc>
          <w:tcPr>
            <w:tcW w:w="1077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40EB42" w14:textId="77777777" w:rsidR="00DF60FD" w:rsidRDefault="00795C6B" w:rsidP="0075705D">
            <w:pPr>
              <w:ind w:left="494" w:hanging="283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3. </w:t>
            </w:r>
            <w:r w:rsidR="00DF60FD" w:rsidRPr="009F7CED">
              <w:rPr>
                <w:rFonts w:cs="Arial"/>
                <w:b/>
                <w:color w:val="000000"/>
                <w:sz w:val="22"/>
                <w:szCs w:val="22"/>
              </w:rPr>
              <w:t>VIABILIDAD JURÍDICA</w:t>
            </w:r>
          </w:p>
          <w:p w14:paraId="398E1121" w14:textId="77777777" w:rsidR="00D05B67" w:rsidRPr="00084B49" w:rsidRDefault="00D05B67" w:rsidP="0075705D">
            <w:pPr>
              <w:ind w:left="494" w:hanging="283"/>
              <w:rPr>
                <w:rFonts w:cs="Arial"/>
                <w:i/>
                <w:color w:val="808080"/>
                <w:sz w:val="18"/>
                <w:szCs w:val="22"/>
              </w:rPr>
            </w:pPr>
            <w:r w:rsidRPr="00084B49">
              <w:rPr>
                <w:rFonts w:cs="Arial"/>
                <w:i/>
                <w:color w:val="808080"/>
                <w:sz w:val="18"/>
                <w:szCs w:val="22"/>
              </w:rPr>
              <w:t>(Por favor desarrolle cada uno de los siguientes puntos)</w:t>
            </w:r>
          </w:p>
          <w:p w14:paraId="1A33E3C6" w14:textId="77777777" w:rsidR="00D05B67" w:rsidRPr="00084B49" w:rsidRDefault="00D05B67" w:rsidP="0075705D">
            <w:pPr>
              <w:ind w:left="494" w:hanging="283"/>
              <w:rPr>
                <w:rFonts w:cs="Arial"/>
                <w:i/>
                <w:color w:val="808080"/>
                <w:sz w:val="22"/>
                <w:szCs w:val="22"/>
              </w:rPr>
            </w:pPr>
          </w:p>
          <w:p w14:paraId="53B5F307" w14:textId="3DBF0265" w:rsidR="00795C6B" w:rsidRDefault="00795C6B" w:rsidP="0075705D">
            <w:pPr>
              <w:ind w:left="494" w:hanging="283"/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>
              <w:rPr>
                <w:rFonts w:cs="Arial"/>
                <w:sz w:val="22"/>
                <w:szCs w:val="22"/>
                <w:lang w:val="es-CO" w:eastAsia="es-CO"/>
              </w:rPr>
              <w:t>3.1 Análisis de las normas que otorgan la competencia para la expedición del proyecto normativo</w:t>
            </w:r>
          </w:p>
          <w:p w14:paraId="63CBA25F" w14:textId="162113DF" w:rsidR="00900091" w:rsidRDefault="00900091" w:rsidP="0090009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1DFB7F98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3818A1">
              <w:rPr>
                <w:rFonts w:cs="Arial"/>
                <w:sz w:val="22"/>
                <w:szCs w:val="22"/>
                <w:lang w:val="es-CO" w:eastAsia="es-CO"/>
              </w:rPr>
              <w:lastRenderedPageBreak/>
              <w:t>Conforme al principio de "masificación del gobierno en línea" hoy Gobierno Digital, consagrado en el numeral 8 del artículo 2 de la Ley 1341 de 2009, las entidades públicas deberán adoptar todas las medidas necesarias para garantizar el máximo aprovechamiento de las Tecnologías de la Información y las Comunicaciones (TIC) en el desarrollo de sus funciones.</w:t>
            </w:r>
          </w:p>
          <w:p w14:paraId="545AB2F9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3690E29C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3818A1">
              <w:rPr>
                <w:rFonts w:cs="Arial"/>
                <w:sz w:val="22"/>
                <w:szCs w:val="22"/>
                <w:lang w:val="es-CO" w:eastAsia="es-CO"/>
              </w:rPr>
              <w:t xml:space="preserve">De acuerdo con el artículo 2.2.9.1.1.1 del Decreto 1078 de 2015, “Decreto Único Reglamentario del Sector de Tecnologías de la Información y las Comunicaciones” (DUR-TIC), la Política de Gobierno Digital es entendida como el uso, apropiación y aprovechamiento de las Tecnologías de la Información y las Comunicaciones, con el objetivo de impactar positivamente la calidad de vida de los ciudadanos y, en general, los habitantes del territorio nacional y la competitividad del país, promoviendo la generación de valor público a través de la transformación digital del Estado, de manera proactiva, confiable, articulada y colaborativa entre los grupos de interés y permitir el ejercicio de los derechos de los usuarios del ciberespacio. </w:t>
            </w:r>
          </w:p>
          <w:p w14:paraId="6F524094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418459AA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3818A1">
              <w:rPr>
                <w:rFonts w:cs="Arial"/>
                <w:sz w:val="22"/>
                <w:szCs w:val="22"/>
                <w:lang w:val="es-CO" w:eastAsia="es-CO"/>
              </w:rPr>
              <w:t>De conformidad el artículo 2.2.9.1.1.2 del DUR-TIC, son sujetos obligados a la Política de Gobierno Digital las entidades que conforman la administración pública en los términos del Artículo 39 de la Ley 489 de 1998 y los particulares que cumplen funciones administrativas.</w:t>
            </w:r>
          </w:p>
          <w:p w14:paraId="0D7097D1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337CE439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3818A1">
              <w:rPr>
                <w:rFonts w:cs="Arial"/>
                <w:sz w:val="22"/>
                <w:szCs w:val="22"/>
                <w:lang w:val="es-CO" w:eastAsia="es-CO"/>
              </w:rPr>
              <w:t>El artículo 2.2.9.1.2.1 del DUR-TIC establece que la Política de Gobierno Digital se desarrolla a través de un esquema que articula los elementos que la componen, a saber: gobernanza, innovación pública digital, habilitadores, líneas de acción, e iniciativas dinamizadoras, con el fin de lograr su objetivo.</w:t>
            </w:r>
          </w:p>
          <w:p w14:paraId="594C3A7E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5C6CE12B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3818A1">
              <w:rPr>
                <w:rFonts w:cs="Arial"/>
                <w:sz w:val="22"/>
                <w:szCs w:val="22"/>
                <w:lang w:val="es-CO" w:eastAsia="es-CO"/>
              </w:rPr>
              <w:t>Según el numeral 3.2 del artículo 2.2.9.1.2.1 del DUR-TIC, el habilitador de Seguridad y Privacidad de la Información de la Política de Gobierno Digital “(…) busca que los sujetos obligados desarrollen capacidades a través de la implementación de los lineamientos de seguridad y privacidad de la información en todos sus procesos, trámites, servicios, sistemas de información, infraestructura y en general, en todos los activos de información, con el fin de preservar la confidencialidad, integridad, disponibilidad y privacidad de los datos”.</w:t>
            </w:r>
          </w:p>
          <w:p w14:paraId="58070FF4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21FBDB9C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3818A1">
              <w:rPr>
                <w:rFonts w:cs="Arial"/>
                <w:sz w:val="22"/>
                <w:szCs w:val="22"/>
                <w:lang w:val="es-CO" w:eastAsia="es-CO"/>
              </w:rPr>
              <w:t>Por disposición del artículo 2.2.9.1.2.2. del DUR-TIC, el Ministerio de Tecnologías de la Información y las Comunicaciones expedirá y publicará lineamientos, guías y estándares para facilitar la comprensión, sistematización e implementación integral de la Política de Gobierno Digital.</w:t>
            </w:r>
          </w:p>
          <w:p w14:paraId="5624AC96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57FDEA2E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3818A1">
              <w:rPr>
                <w:rFonts w:cs="Arial"/>
                <w:sz w:val="22"/>
                <w:szCs w:val="22"/>
                <w:lang w:val="es-CO" w:eastAsia="es-CO"/>
              </w:rPr>
              <w:t>Por otra parte, el parágrafo del artículo 16 del Decreto 2106 de 2019, “Por el cual se dictan normas para simplificar, suprimir y reformar trámites, procesos y procedimientos innecesarios existentes en la administración pública”, señala que las autoridades deberán disponer de una estrategia de seguridad digital, para la gestión documental electrónica y preservación de la información, siguiendo los lineamientos que emita el Ministerio de Tecnologías de la Información y las Comunicaciones.</w:t>
            </w:r>
          </w:p>
          <w:p w14:paraId="430DD1EF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043B94E5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3818A1">
              <w:rPr>
                <w:rFonts w:cs="Arial"/>
                <w:sz w:val="22"/>
                <w:szCs w:val="22"/>
                <w:lang w:val="es-CO" w:eastAsia="es-CO"/>
              </w:rPr>
              <w:t>En concordancia, el Conpes 3995 de 2020 “Política Nacional de Confianza y Seguridad Digital”, recomienda al Ministerio de Tecnologías de la Información y las Comunicaciones “6. Expedir los lineamientos y guías que faciliten a las entidades públicas adelantar los procesos de adopción y actualización de tecnologías con el fin de disminuir las vulnerabilidades derivadas de la obsolescencia tecnológica y así favorecer la seguridad digital en el país.”</w:t>
            </w:r>
          </w:p>
          <w:p w14:paraId="7CCBCB36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313FD566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3818A1">
              <w:rPr>
                <w:rFonts w:cs="Arial"/>
                <w:sz w:val="22"/>
                <w:szCs w:val="22"/>
                <w:lang w:val="es-CO" w:eastAsia="es-CO"/>
              </w:rPr>
              <w:t xml:space="preserve">Como desarrollo del habilitador de Seguridad y Privacidad de la Información, hasta la expedición de la Resolución 500 de 2021, el Ministerio de Tecnologías de la Información estableció diferentes lineamientos, guías y estándares para la implementación del Modelo de Seguridad y Privacidad de la Información (MSPI). Luego, a través de la Resolución 500 de 2021 se establecieron los lineamientos generales para la implementación del Modelo de Seguridad y Privacidad de la Información - MSPI, la guía de gestión de riesgos </w:t>
            </w:r>
            <w:r w:rsidRPr="003818A1">
              <w:rPr>
                <w:rFonts w:cs="Arial"/>
                <w:sz w:val="22"/>
                <w:szCs w:val="22"/>
                <w:lang w:val="es-CO" w:eastAsia="es-CO"/>
              </w:rPr>
              <w:lastRenderedPageBreak/>
              <w:t>de seguridad de la información y el procedimiento para la gestión de los incidentes de seguridad digital, así como estableció los lineamientos y estándares para la estrategia de seguridad digital.</w:t>
            </w:r>
          </w:p>
          <w:p w14:paraId="78EA6A6A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540165D5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3818A1">
              <w:rPr>
                <w:rFonts w:cs="Arial"/>
                <w:sz w:val="22"/>
                <w:szCs w:val="22"/>
                <w:lang w:val="es-CO" w:eastAsia="es-CO"/>
              </w:rPr>
              <w:t>El parágrafo 2 del artículo 5 de la Resolución 500 de 2021 dispone que el Modelo de Seguridad y Privacidad de la Información – MSPI señalado en el Anexo 1 será actualizado por el MinTIC a través de las sucesivas versiones de cada uno de los documentos que lo componen y previo informe del equipo técnico, y que la actualización se publicará en la sede electrónica de MinTIC.</w:t>
            </w:r>
          </w:p>
          <w:p w14:paraId="54AC8A00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7A36F1DF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3818A1">
              <w:rPr>
                <w:rFonts w:cs="Arial"/>
                <w:sz w:val="22"/>
                <w:szCs w:val="22"/>
                <w:lang w:val="es-CO" w:eastAsia="es-CO"/>
              </w:rPr>
              <w:t xml:space="preserve">A través del Decreto 338 de 2022 se adicionó el Titulo 21 a la parte 2 del Libro 2 del DUR TIC, con el fin de establecer los lineamientos generales para fortalecer la gobernanza de la seguridad digital, y crear el Modelo y las instancias de Gobernanza de Seguridad Digital. Así pues, el artículo 2.2.21.1.1.4. establece que “Las autoridades deberán adoptar medidas técnicas, humanas y administrativas para garantizar la gobernanza de la seguridad digital, la gestión de riesgos de seguridad digital, la identificación y reporte de infraestructuras críticas cibernéticas y servicios esenciales, y la gestión y respuesta a incidentes de seguridad digital”. </w:t>
            </w:r>
          </w:p>
          <w:p w14:paraId="28E9E9FB" w14:textId="77777777" w:rsidR="003818A1" w:rsidRPr="003818A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44D7B7D8" w14:textId="10BD711F" w:rsidR="003818A1" w:rsidRPr="00900091" w:rsidRDefault="003818A1" w:rsidP="003818A1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3818A1">
              <w:rPr>
                <w:rFonts w:cs="Arial"/>
                <w:sz w:val="22"/>
                <w:szCs w:val="22"/>
                <w:lang w:val="es-CO" w:eastAsia="es-CO"/>
              </w:rPr>
              <w:t xml:space="preserve">Teniendo en cuenta que el Modelo de Seguridad y Privacidad de la Información – MSPI, previsto en el Anexo 1 de la Resolución 500 de 2021, está soportado en la norma ISO 27001 versión 2013 y que esta fue actualizada en febrero de 2022, se hace necesario actualizar el Anexo 1 de la Resolución 500 de 2021, así como derogar todos aquellos lineamientos, guías y estándares que son contrarios a esta norma técnica, y que fueron expedidos como desarrollo del habilitador de Seguridad y Privacidad de la Información por el Ministerio de Tecnologías de la Información y las Comunicaciones.  </w:t>
            </w:r>
          </w:p>
          <w:p w14:paraId="30FAAE2B" w14:textId="77777777" w:rsidR="00ED774D" w:rsidRDefault="00ED774D" w:rsidP="00AE5805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5B8EAEC3" w14:textId="626A6EA1" w:rsidR="00795C6B" w:rsidRDefault="00795C6B" w:rsidP="0075705D">
            <w:pPr>
              <w:ind w:left="494" w:hanging="283"/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>
              <w:rPr>
                <w:rFonts w:cs="Arial"/>
                <w:sz w:val="22"/>
                <w:szCs w:val="22"/>
                <w:lang w:val="es-CO" w:eastAsia="es-CO"/>
              </w:rPr>
              <w:t>3.2 Vigencia de la ley o norma reglamentada o desarrollada</w:t>
            </w:r>
          </w:p>
          <w:p w14:paraId="3D032756" w14:textId="3D08EE13" w:rsidR="0010755B" w:rsidRDefault="0010755B" w:rsidP="0075705D">
            <w:pPr>
              <w:ind w:left="494" w:hanging="283"/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1AA234F5" w14:textId="1FFBECC1" w:rsidR="0010755B" w:rsidRPr="0010755B" w:rsidRDefault="00ED774D" w:rsidP="0010755B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>
              <w:rPr>
                <w:rFonts w:cs="Arial"/>
                <w:sz w:val="22"/>
                <w:szCs w:val="22"/>
                <w:lang w:val="es-CO" w:eastAsia="es-CO"/>
              </w:rPr>
              <w:t xml:space="preserve">La </w:t>
            </w:r>
            <w:r w:rsidRPr="00ED774D">
              <w:rPr>
                <w:rFonts w:cs="Arial"/>
                <w:sz w:val="22"/>
                <w:szCs w:val="22"/>
                <w:lang w:val="es-CO" w:eastAsia="es-CO"/>
              </w:rPr>
              <w:t>Resolución 500 de 2021</w:t>
            </w:r>
            <w:r>
              <w:rPr>
                <w:rFonts w:cs="Arial"/>
                <w:sz w:val="22"/>
                <w:szCs w:val="22"/>
                <w:lang w:val="es-CO" w:eastAsia="es-CO"/>
              </w:rPr>
              <w:t xml:space="preserve"> </w:t>
            </w:r>
            <w:r w:rsidR="0010755B" w:rsidRPr="0010755B">
              <w:rPr>
                <w:rFonts w:cs="Arial"/>
                <w:sz w:val="22"/>
                <w:szCs w:val="22"/>
                <w:lang w:val="es-CO" w:eastAsia="es-CO"/>
              </w:rPr>
              <w:t>se encuentra actualmente vigente y no ha tenido limitaciones por decisión judicial.</w:t>
            </w:r>
          </w:p>
          <w:p w14:paraId="0BD35917" w14:textId="77777777" w:rsidR="00795C6B" w:rsidRDefault="00795C6B" w:rsidP="0075705D">
            <w:pPr>
              <w:ind w:left="494" w:hanging="283"/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460D908F" w14:textId="77777777" w:rsidR="00795C6B" w:rsidRDefault="00795C6B" w:rsidP="0075705D">
            <w:pPr>
              <w:ind w:left="494" w:hanging="283"/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>
              <w:rPr>
                <w:rFonts w:cs="Arial"/>
                <w:sz w:val="22"/>
                <w:szCs w:val="22"/>
                <w:lang w:val="es-CO" w:eastAsia="es-CO"/>
              </w:rPr>
              <w:t>3.3. Disposiciones derogas, subrogadas, modificadas, adicionadas</w:t>
            </w:r>
            <w:r w:rsidR="00D05B67">
              <w:rPr>
                <w:rFonts w:cs="Arial"/>
                <w:sz w:val="22"/>
                <w:szCs w:val="22"/>
                <w:lang w:val="es-CO" w:eastAsia="es-CO"/>
              </w:rPr>
              <w:t xml:space="preserve"> o sustituidas </w:t>
            </w:r>
          </w:p>
          <w:p w14:paraId="116FA98D" w14:textId="337F225D" w:rsidR="00D05B67" w:rsidRDefault="00D05B67" w:rsidP="0075705D">
            <w:pPr>
              <w:ind w:left="494" w:hanging="283"/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2F5605BB" w14:textId="5A0D32A5" w:rsidR="0010755B" w:rsidRDefault="0010755B" w:rsidP="0010755B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>
              <w:rPr>
                <w:rFonts w:cs="Arial"/>
                <w:sz w:val="22"/>
                <w:szCs w:val="22"/>
                <w:lang w:val="es-CO" w:eastAsia="es-CO"/>
              </w:rPr>
              <w:t xml:space="preserve">Proyecto normativo </w:t>
            </w:r>
            <w:r w:rsidR="00ED774D">
              <w:rPr>
                <w:rFonts w:cs="Arial"/>
                <w:sz w:val="22"/>
                <w:szCs w:val="22"/>
                <w:lang w:val="es-CO" w:eastAsia="es-CO"/>
              </w:rPr>
              <w:t>actualiza</w:t>
            </w:r>
            <w:r w:rsidR="00ED774D" w:rsidRPr="00ED774D">
              <w:rPr>
                <w:rFonts w:cs="Arial"/>
                <w:sz w:val="22"/>
                <w:szCs w:val="22"/>
                <w:lang w:val="es-CO" w:eastAsia="es-CO"/>
              </w:rPr>
              <w:t xml:space="preserve"> el Anexo 1 de la Resolución 500 de 2021 “Por la cual se establecen los lineamientos y estándares para la estrategia de seguridad digital y se adopta el modelo de seguridad y privacidad como habilitador de la política de Gobierno Digital”</w:t>
            </w:r>
            <w:r w:rsidR="00ED774D">
              <w:rPr>
                <w:rFonts w:cs="Arial"/>
                <w:sz w:val="22"/>
                <w:szCs w:val="22"/>
                <w:lang w:val="es-CO" w:eastAsia="es-CO"/>
              </w:rPr>
              <w:t xml:space="preserve"> y deroga diferentes guías sobre la materia que se encuentran desactualizadas y las circunstancias que le dieron origen han desaparecido o perdido vigencia</w:t>
            </w:r>
            <w:r w:rsidR="00ED774D" w:rsidRPr="00ED774D">
              <w:rPr>
                <w:rFonts w:cs="Arial"/>
                <w:sz w:val="22"/>
                <w:szCs w:val="22"/>
                <w:lang w:val="es-CO" w:eastAsia="es-CO"/>
              </w:rPr>
              <w:t>.</w:t>
            </w:r>
          </w:p>
          <w:p w14:paraId="6D649B1F" w14:textId="77777777" w:rsidR="0010755B" w:rsidRDefault="0010755B" w:rsidP="0010755B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03C83369" w14:textId="2AE5A132" w:rsidR="00D05B67" w:rsidRDefault="00D05B67" w:rsidP="0075705D">
            <w:pPr>
              <w:ind w:left="494" w:hanging="283"/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>
              <w:rPr>
                <w:rFonts w:cs="Arial"/>
                <w:sz w:val="22"/>
                <w:szCs w:val="22"/>
                <w:lang w:val="es-CO" w:eastAsia="es-CO"/>
              </w:rPr>
              <w:t>3.4 Revisión y análisis de la jurisprudencia que tenga impacto o sea relevante para la expedición del proyecto normativo (órganos de cierre de cada jurisdicción)</w:t>
            </w:r>
          </w:p>
          <w:p w14:paraId="4665C99D" w14:textId="49F46CB1" w:rsidR="001C0778" w:rsidRDefault="001C0778" w:rsidP="001C0778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40FAA847" w14:textId="16A32D73" w:rsidR="001C0778" w:rsidRPr="001C0778" w:rsidRDefault="001C0778" w:rsidP="001C0778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1C0778">
              <w:rPr>
                <w:rFonts w:cs="Arial"/>
                <w:sz w:val="22"/>
                <w:szCs w:val="22"/>
                <w:lang w:val="es-CO" w:eastAsia="es-CO"/>
              </w:rPr>
              <w:t>No existen decisiones judiciales de los órganos de cierre de cada jurisdicción que puedan tener impacto o ser relevantes para la expedición del acto administrativo.</w:t>
            </w:r>
          </w:p>
          <w:p w14:paraId="3268E490" w14:textId="77777777" w:rsidR="00D05B67" w:rsidRDefault="00D05B67" w:rsidP="0075705D">
            <w:pPr>
              <w:ind w:left="494" w:hanging="283"/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7D154299" w14:textId="7392DAAD" w:rsidR="00D05B67" w:rsidRDefault="00D05B67" w:rsidP="0075705D">
            <w:pPr>
              <w:ind w:left="494" w:hanging="283"/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>
              <w:rPr>
                <w:rFonts w:cs="Arial"/>
                <w:sz w:val="22"/>
                <w:szCs w:val="22"/>
                <w:lang w:val="es-CO" w:eastAsia="es-CO"/>
              </w:rPr>
              <w:t xml:space="preserve">3.5 Circunstancias jurídicas adicionales </w:t>
            </w:r>
          </w:p>
          <w:p w14:paraId="63DC0559" w14:textId="0AC613C2" w:rsidR="007C3498" w:rsidRDefault="007C3498" w:rsidP="0075705D">
            <w:pPr>
              <w:ind w:left="494" w:hanging="283"/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6BF0A695" w14:textId="08B59B30" w:rsidR="007C3498" w:rsidRDefault="007C3498" w:rsidP="007C3498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>
              <w:rPr>
                <w:rFonts w:cs="Arial"/>
                <w:sz w:val="22"/>
                <w:szCs w:val="22"/>
                <w:lang w:val="es-CO" w:eastAsia="es-CO"/>
              </w:rPr>
              <w:t>No existen circunstancias jurídicas adicionales.</w:t>
            </w:r>
          </w:p>
          <w:p w14:paraId="33A8E311" w14:textId="77777777" w:rsidR="00D05B67" w:rsidRDefault="00D05B67" w:rsidP="00795C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711BC3D6" w14:textId="77777777" w:rsidR="00795C6B" w:rsidRDefault="00795C6B" w:rsidP="00795C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5134DF94" w14:textId="77777777" w:rsidR="00795C6B" w:rsidRDefault="00795C6B" w:rsidP="00795C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74720DE6" w14:textId="77777777" w:rsidR="00795C6B" w:rsidRPr="009F7CED" w:rsidRDefault="00795C6B" w:rsidP="00795C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</w:tc>
      </w:tr>
      <w:tr w:rsidR="00DF60FD" w:rsidRPr="009F7CED" w14:paraId="6EEDB6EA" w14:textId="77777777" w:rsidTr="61966AD2">
        <w:trPr>
          <w:trHeight w:val="92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282E9" w14:textId="77777777" w:rsidR="00843EFF" w:rsidRPr="009F7CED" w:rsidRDefault="00843EFF" w:rsidP="00A161B9">
            <w:pPr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4795114A" w14:textId="77777777" w:rsidR="00DF60FD" w:rsidRPr="009F7CED" w:rsidRDefault="00DF60FD" w:rsidP="00D05B67">
            <w:pPr>
              <w:numPr>
                <w:ilvl w:val="0"/>
                <w:numId w:val="45"/>
              </w:numPr>
              <w:rPr>
                <w:rFonts w:cs="Arial"/>
                <w:b/>
                <w:color w:val="000000"/>
                <w:sz w:val="22"/>
                <w:szCs w:val="22"/>
              </w:rPr>
            </w:pPr>
            <w:r w:rsidRPr="009F7CED">
              <w:rPr>
                <w:rFonts w:cs="Arial"/>
                <w:b/>
                <w:color w:val="000000"/>
                <w:sz w:val="22"/>
                <w:szCs w:val="22"/>
              </w:rPr>
              <w:t xml:space="preserve">IMPACTO ECONÓMICO </w:t>
            </w:r>
            <w:r w:rsidR="00D05B67" w:rsidRPr="00D05B67">
              <w:rPr>
                <w:rFonts w:cs="Arial"/>
                <w:color w:val="000000"/>
                <w:sz w:val="22"/>
                <w:szCs w:val="22"/>
              </w:rPr>
              <w:t>(Si se requiere)</w:t>
            </w:r>
          </w:p>
          <w:p w14:paraId="3CC52C42" w14:textId="77777777" w:rsidR="00795C6B" w:rsidRPr="00795C6B" w:rsidRDefault="00795C6B" w:rsidP="00795C6B">
            <w:pPr>
              <w:pStyle w:val="Listavistosa-nfasis11"/>
              <w:jc w:val="both"/>
              <w:rPr>
                <w:rFonts w:ascii="Arial" w:hAnsi="Arial" w:cs="Arial"/>
                <w:i/>
                <w:color w:val="808080"/>
                <w:sz w:val="18"/>
              </w:rPr>
            </w:pPr>
            <w:r w:rsidRPr="00795C6B">
              <w:rPr>
                <w:rFonts w:ascii="Arial" w:hAnsi="Arial" w:cs="Arial"/>
                <w:i/>
                <w:color w:val="808080"/>
                <w:sz w:val="18"/>
              </w:rPr>
              <w:t>(Por favor señale el costo o ahorro de la implementación del acto administrativo</w:t>
            </w:r>
            <w:r>
              <w:rPr>
                <w:rFonts w:ascii="Arial" w:hAnsi="Arial" w:cs="Arial"/>
                <w:i/>
                <w:color w:val="808080"/>
                <w:sz w:val="18"/>
              </w:rPr>
              <w:t>)</w:t>
            </w:r>
          </w:p>
          <w:p w14:paraId="1A9C53F6" w14:textId="77777777" w:rsidR="007C3498" w:rsidRDefault="007C3498" w:rsidP="00ED774D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7C3498">
              <w:rPr>
                <w:rFonts w:cs="Arial"/>
                <w:sz w:val="22"/>
                <w:szCs w:val="22"/>
                <w:lang w:val="es-CO" w:eastAsia="es-CO"/>
              </w:rPr>
              <w:t>La expedición del proyecto normativo no representa una erogación económica adicional al Ministerio de Tecnologías de la Información y las Comunicaciones.</w:t>
            </w:r>
          </w:p>
          <w:p w14:paraId="733FBAC9" w14:textId="4DA6FF48" w:rsidR="00ED774D" w:rsidRPr="00795C6B" w:rsidRDefault="00ED774D" w:rsidP="00ED774D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</w:tc>
      </w:tr>
      <w:tr w:rsidR="00DF60FD" w:rsidRPr="009F7CED" w14:paraId="5561A09B" w14:textId="77777777" w:rsidTr="61966AD2">
        <w:trPr>
          <w:trHeight w:val="66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F1FA0" w14:textId="77777777" w:rsidR="00843EFF" w:rsidRPr="009F7CED" w:rsidRDefault="00843EFF" w:rsidP="00A161B9">
            <w:pPr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7DBD1743" w14:textId="77777777" w:rsidR="00DF60FD" w:rsidRPr="009F7CED" w:rsidRDefault="00795C6B" w:rsidP="00D05B67">
            <w:pPr>
              <w:numPr>
                <w:ilvl w:val="0"/>
                <w:numId w:val="45"/>
              </w:num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VIABILIDAD O </w:t>
            </w:r>
            <w:r w:rsidR="00DF60FD" w:rsidRPr="009F7CED">
              <w:rPr>
                <w:rFonts w:cs="Arial"/>
                <w:b/>
                <w:color w:val="000000"/>
                <w:sz w:val="22"/>
                <w:szCs w:val="22"/>
              </w:rPr>
              <w:t xml:space="preserve">DISPONIBILIDAD PRESUPUESTAL </w:t>
            </w:r>
            <w:r w:rsidR="00D05B67" w:rsidRPr="00D05B67">
              <w:rPr>
                <w:rFonts w:cs="Arial"/>
                <w:color w:val="000000"/>
                <w:sz w:val="22"/>
                <w:szCs w:val="22"/>
              </w:rPr>
              <w:t>(Si se requiere)</w:t>
            </w:r>
          </w:p>
          <w:p w14:paraId="5A3252E2" w14:textId="77777777" w:rsidR="00D05B67" w:rsidRPr="00795C6B" w:rsidRDefault="00D05B67" w:rsidP="00D05B67">
            <w:pPr>
              <w:pStyle w:val="Listavistosa-nfasis11"/>
              <w:jc w:val="both"/>
              <w:rPr>
                <w:rFonts w:ascii="Arial" w:hAnsi="Arial" w:cs="Arial"/>
                <w:i/>
                <w:color w:val="808080"/>
                <w:sz w:val="18"/>
              </w:rPr>
            </w:pPr>
            <w:r w:rsidRPr="00795C6B">
              <w:rPr>
                <w:rFonts w:ascii="Arial" w:hAnsi="Arial" w:cs="Arial"/>
                <w:i/>
                <w:color w:val="808080"/>
                <w:sz w:val="18"/>
              </w:rPr>
              <w:t xml:space="preserve">(Por favor </w:t>
            </w:r>
            <w:r>
              <w:rPr>
                <w:rFonts w:ascii="Arial" w:hAnsi="Arial" w:cs="Arial"/>
                <w:i/>
                <w:color w:val="808080"/>
                <w:sz w:val="18"/>
              </w:rPr>
              <w:t xml:space="preserve">indique si cuenta con los recursos presupuestales disponibles para la implementación del proyecto normativo) </w:t>
            </w:r>
          </w:p>
          <w:p w14:paraId="482BDEFC" w14:textId="77777777" w:rsidR="007C3498" w:rsidRPr="007C3498" w:rsidRDefault="007C3498" w:rsidP="007C3498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7C3498">
              <w:rPr>
                <w:rFonts w:cs="Arial"/>
                <w:sz w:val="22"/>
                <w:szCs w:val="22"/>
                <w:lang w:val="es-CO" w:eastAsia="es-CO"/>
              </w:rPr>
              <w:t xml:space="preserve">La implementación del proyecto normativo propuesto no conlleva al MinTIC realizar ninguna apropiación presupuestal. </w:t>
            </w:r>
          </w:p>
          <w:p w14:paraId="139BA6FB" w14:textId="033D75D2" w:rsidR="00F77DB8" w:rsidRPr="00F77DB8" w:rsidRDefault="00F77DB8" w:rsidP="00F77DB8">
            <w:pPr>
              <w:rPr>
                <w:sz w:val="22"/>
                <w:szCs w:val="22"/>
                <w:lang w:eastAsia="es-CO"/>
              </w:rPr>
            </w:pPr>
          </w:p>
        </w:tc>
      </w:tr>
      <w:tr w:rsidR="00DF60FD" w:rsidRPr="009F7CED" w14:paraId="3380BF08" w14:textId="77777777" w:rsidTr="61966AD2">
        <w:trPr>
          <w:trHeight w:val="1295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5B47B5" w14:textId="77777777" w:rsidR="00DF60FD" w:rsidRPr="009F7CED" w:rsidRDefault="00DF60FD" w:rsidP="00D05B67">
            <w:pPr>
              <w:numPr>
                <w:ilvl w:val="0"/>
                <w:numId w:val="45"/>
              </w:numPr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  <w:r w:rsidRPr="009F7CED">
              <w:rPr>
                <w:rFonts w:cs="Arial"/>
                <w:b/>
                <w:color w:val="000000"/>
                <w:sz w:val="22"/>
                <w:szCs w:val="22"/>
              </w:rPr>
              <w:t xml:space="preserve"> IMPACTO MEDIOAMBIENTAL O SOBRE EL PATRIMONIO CULTURAL DE LA NACIÓN </w:t>
            </w:r>
            <w:r w:rsidR="00D05B67" w:rsidRPr="00D05B67">
              <w:rPr>
                <w:rFonts w:cs="Arial"/>
                <w:color w:val="000000"/>
                <w:sz w:val="22"/>
                <w:szCs w:val="22"/>
              </w:rPr>
              <w:t>(Si se requiere)</w:t>
            </w:r>
          </w:p>
          <w:p w14:paraId="51DAA5B9" w14:textId="77777777" w:rsidR="00D05B67" w:rsidRDefault="00D05B67" w:rsidP="00696582">
            <w:pPr>
              <w:ind w:left="778"/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i/>
                <w:color w:val="808080"/>
                <w:sz w:val="18"/>
                <w:szCs w:val="22"/>
              </w:rPr>
              <w:t>(</w:t>
            </w:r>
            <w:r w:rsidRPr="00795C6B">
              <w:rPr>
                <w:rFonts w:cs="Arial"/>
                <w:i/>
                <w:color w:val="808080"/>
                <w:sz w:val="18"/>
                <w:szCs w:val="22"/>
              </w:rPr>
              <w:t xml:space="preserve">Por favor </w:t>
            </w:r>
            <w:r>
              <w:rPr>
                <w:rFonts w:cs="Arial"/>
                <w:i/>
                <w:color w:val="808080"/>
                <w:sz w:val="18"/>
              </w:rPr>
              <w:t xml:space="preserve">indique el proyecto normativo tiene impacto sobre el medio ambiente o el Patrimonio cultural de la Nación) </w:t>
            </w:r>
          </w:p>
          <w:p w14:paraId="4C14822C" w14:textId="5AA7A4C6" w:rsidR="00D05B67" w:rsidRDefault="00D05B67" w:rsidP="00FA4A9E">
            <w:pPr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19280B0F" w14:textId="77777777" w:rsidR="007C3498" w:rsidRPr="007C3498" w:rsidRDefault="007C3498" w:rsidP="007C3498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7C3498">
              <w:rPr>
                <w:rFonts w:cs="Arial"/>
                <w:sz w:val="22"/>
                <w:szCs w:val="22"/>
                <w:lang w:val="es-CO" w:eastAsia="es-CO"/>
              </w:rPr>
              <w:t>El proyecto normativo bajo análisis no tendrá impacto sobre el medio ambiente, como tampoco sobre el patrimonio cultural de la Nación.</w:t>
            </w:r>
          </w:p>
          <w:p w14:paraId="6C6927C8" w14:textId="77777777" w:rsidR="007C3498" w:rsidRDefault="007C3498" w:rsidP="00FA4A9E">
            <w:pPr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49D2B544" w14:textId="77777777" w:rsidR="00696582" w:rsidRPr="009F7CED" w:rsidRDefault="00696582" w:rsidP="00FA4A9E">
            <w:pPr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DF60FD" w:rsidRPr="009F7CED" w14:paraId="7FFFE844" w14:textId="77777777" w:rsidTr="61966AD2">
        <w:trPr>
          <w:trHeight w:val="317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D5AC3" w14:textId="05A74EE2" w:rsidR="00D05B67" w:rsidRPr="009F7CED" w:rsidRDefault="00D05B67" w:rsidP="00696582">
            <w:pPr>
              <w:numPr>
                <w:ilvl w:val="0"/>
                <w:numId w:val="45"/>
              </w:numPr>
              <w:jc w:val="both"/>
              <w:rPr>
                <w:rFonts w:cs="Arial"/>
                <w:sz w:val="22"/>
                <w:szCs w:val="22"/>
              </w:rPr>
            </w:pPr>
            <w:r w:rsidRPr="00D05B67">
              <w:rPr>
                <w:rFonts w:cs="Arial"/>
                <w:b/>
                <w:sz w:val="22"/>
                <w:szCs w:val="22"/>
              </w:rPr>
              <w:t>ESTUDIOS TÉCNICOS QUE SUSTENTEN EL PROYECTO NORMATIVO</w:t>
            </w:r>
            <w:r w:rsidRPr="61966AD2">
              <w:rPr>
                <w:rFonts w:cs="Arial"/>
                <w:sz w:val="22"/>
                <w:szCs w:val="22"/>
              </w:rPr>
              <w:t xml:space="preserve"> (Si cuenta con ellos)</w:t>
            </w:r>
            <w:r w:rsidR="00696582" w:rsidRPr="61966AD2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DF60FD" w:rsidRPr="009F7CED" w14:paraId="6A58A95F" w14:textId="77777777" w:rsidTr="61966AD2">
        <w:trPr>
          <w:trHeight w:val="66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7E7B9B" w14:textId="632C7864" w:rsidR="00843EFF" w:rsidRPr="00FA0B35" w:rsidRDefault="00FA0B35" w:rsidP="00FA0B35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 w:rsidRPr="00FA0B35">
              <w:rPr>
                <w:rFonts w:cs="Arial"/>
                <w:bCs/>
                <w:color w:val="000000"/>
                <w:sz w:val="22"/>
                <w:szCs w:val="22"/>
              </w:rPr>
              <w:t>Estudio Técnico Justificación Actualización Anexo 1 Resolución 500 - Subdirección de Estándares y Arquitectura</w:t>
            </w:r>
          </w:p>
        </w:tc>
      </w:tr>
      <w:tr w:rsidR="00DF60FD" w:rsidRPr="009F7CED" w14:paraId="06548953" w14:textId="77777777" w:rsidTr="61966AD2">
        <w:trPr>
          <w:trHeight w:val="66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6686F6" w14:textId="77777777" w:rsidR="00DF60FD" w:rsidRPr="009F7CED" w:rsidRDefault="00DF60FD" w:rsidP="00F55DC4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F60FD" w:rsidRPr="00D965B1" w14:paraId="05769870" w14:textId="77777777" w:rsidTr="61966AD2">
        <w:trPr>
          <w:trHeight w:val="416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84406" w14:textId="77777777" w:rsidR="00F55DC4" w:rsidRPr="00AF569A" w:rsidRDefault="00DF60FD" w:rsidP="00696582">
            <w:pPr>
              <w:jc w:val="center"/>
              <w:rPr>
                <w:rFonts w:cs="Arial"/>
                <w:sz w:val="22"/>
                <w:szCs w:val="22"/>
              </w:rPr>
            </w:pPr>
            <w:r w:rsidRPr="00AF569A">
              <w:rPr>
                <w:rFonts w:cs="Arial"/>
                <w:b/>
                <w:sz w:val="22"/>
                <w:szCs w:val="22"/>
              </w:rPr>
              <w:t>ANEXOS</w:t>
            </w:r>
            <w:r w:rsidR="00D05B67" w:rsidRPr="00AF569A">
              <w:rPr>
                <w:rFonts w:cs="Arial"/>
                <w:b/>
                <w:sz w:val="22"/>
                <w:szCs w:val="22"/>
              </w:rPr>
              <w:t>:</w:t>
            </w:r>
            <w:r w:rsidR="00696582" w:rsidRPr="00AF569A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D05B67" w:rsidRPr="009F7CED" w14:paraId="527C3750" w14:textId="77777777" w:rsidTr="61966AD2">
        <w:trPr>
          <w:trHeight w:val="66"/>
        </w:trPr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2B6B6" w14:textId="77777777" w:rsidR="00D05B67" w:rsidRDefault="00D05B67" w:rsidP="00D05B6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Certificación de cumplimiento de requisitos de consulta, publicidad y de incorporación en la agenda regulatoria </w:t>
            </w:r>
          </w:p>
          <w:p w14:paraId="15E83C89" w14:textId="77777777" w:rsidR="00D05B67" w:rsidRPr="00084B49" w:rsidRDefault="00D05B67" w:rsidP="00D05B67">
            <w:pPr>
              <w:jc w:val="both"/>
              <w:rPr>
                <w:rFonts w:cs="Arial"/>
                <w:i/>
                <w:color w:val="808080"/>
                <w:sz w:val="22"/>
                <w:szCs w:val="22"/>
              </w:rPr>
            </w:pPr>
            <w:r w:rsidRPr="00084B49">
              <w:rPr>
                <w:rFonts w:cs="Arial"/>
                <w:i/>
                <w:color w:val="808080"/>
                <w:szCs w:val="22"/>
              </w:rPr>
              <w:t>(Firmada por el servidor público competente –entidad originadora)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671423" w14:textId="265EB483" w:rsidR="00D05B67" w:rsidRPr="00084B49" w:rsidRDefault="00D6199F" w:rsidP="00D05B67">
            <w:pPr>
              <w:jc w:val="both"/>
              <w:rPr>
                <w:rFonts w:cs="Arial"/>
                <w:i/>
                <w:color w:val="808080"/>
                <w:sz w:val="22"/>
                <w:szCs w:val="22"/>
              </w:rPr>
            </w:pPr>
            <w:r>
              <w:rPr>
                <w:rFonts w:cs="Arial"/>
                <w:i/>
                <w:color w:val="808080"/>
                <w:sz w:val="22"/>
                <w:szCs w:val="22"/>
              </w:rPr>
              <w:t>No aplica</w:t>
            </w:r>
          </w:p>
        </w:tc>
      </w:tr>
      <w:tr w:rsidR="00D05B67" w:rsidRPr="009F7CED" w14:paraId="4B96F93D" w14:textId="77777777" w:rsidTr="61966AD2">
        <w:trPr>
          <w:trHeight w:val="66"/>
        </w:trPr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2E589" w14:textId="77777777" w:rsidR="00D05B67" w:rsidRDefault="00D05B67" w:rsidP="00D05B6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Concepto</w:t>
            </w:r>
            <w:r w:rsidR="005F30C3">
              <w:rPr>
                <w:rFonts w:cs="Arial"/>
                <w:sz w:val="22"/>
                <w:szCs w:val="22"/>
              </w:rPr>
              <w:t>(s)</w:t>
            </w:r>
            <w:r>
              <w:rPr>
                <w:rFonts w:cs="Arial"/>
                <w:sz w:val="22"/>
                <w:szCs w:val="22"/>
              </w:rPr>
              <w:t xml:space="preserve"> de Min</w:t>
            </w:r>
            <w:r w:rsidR="005F30C3">
              <w:rPr>
                <w:rFonts w:cs="Arial"/>
                <w:sz w:val="22"/>
                <w:szCs w:val="22"/>
              </w:rPr>
              <w:t>isterio de</w:t>
            </w:r>
            <w:r>
              <w:rPr>
                <w:rFonts w:cs="Arial"/>
                <w:sz w:val="22"/>
                <w:szCs w:val="22"/>
              </w:rPr>
              <w:t xml:space="preserve"> Comercio</w:t>
            </w:r>
            <w:r w:rsidR="005F30C3">
              <w:rPr>
                <w:rFonts w:cs="Arial"/>
                <w:sz w:val="22"/>
                <w:szCs w:val="22"/>
              </w:rPr>
              <w:t>, Industria y Turismo</w:t>
            </w:r>
          </w:p>
          <w:p w14:paraId="270C7AB5" w14:textId="77777777" w:rsidR="00D05B67" w:rsidRPr="00084B49" w:rsidRDefault="005F30C3" w:rsidP="00D05B67">
            <w:pPr>
              <w:jc w:val="both"/>
              <w:rPr>
                <w:rFonts w:cs="Arial"/>
                <w:i/>
                <w:color w:val="808080"/>
                <w:sz w:val="22"/>
                <w:szCs w:val="22"/>
              </w:rPr>
            </w:pPr>
            <w:r w:rsidRPr="00084B49">
              <w:rPr>
                <w:rFonts w:cs="Arial"/>
                <w:i/>
                <w:color w:val="808080"/>
                <w:szCs w:val="22"/>
              </w:rPr>
              <w:t>(Cuando se trate de un proyecto de reglamento técnico o de procedimientos de evaluación de conformidad)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CC459A" w14:textId="1D23CAE3" w:rsidR="00D05B67" w:rsidRDefault="00D6199F" w:rsidP="00D05B6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i/>
                <w:color w:val="808080"/>
                <w:sz w:val="22"/>
                <w:szCs w:val="22"/>
              </w:rPr>
              <w:t>No aplica</w:t>
            </w:r>
          </w:p>
        </w:tc>
      </w:tr>
      <w:tr w:rsidR="005F30C3" w:rsidRPr="009F7CED" w14:paraId="4241CE5C" w14:textId="77777777" w:rsidTr="61966AD2">
        <w:trPr>
          <w:trHeight w:val="66"/>
        </w:trPr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48042" w14:textId="77777777" w:rsidR="005F30C3" w:rsidRDefault="005F30C3" w:rsidP="00D05B6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Informe de observaciones y respuestas </w:t>
            </w:r>
          </w:p>
          <w:p w14:paraId="4E1961C8" w14:textId="77777777" w:rsidR="005F30C3" w:rsidRPr="00084B49" w:rsidRDefault="005F30C3" w:rsidP="00D05B67">
            <w:pPr>
              <w:jc w:val="both"/>
              <w:rPr>
                <w:rFonts w:cs="Arial"/>
                <w:i/>
                <w:color w:val="808080"/>
                <w:sz w:val="22"/>
                <w:szCs w:val="22"/>
              </w:rPr>
            </w:pPr>
            <w:r w:rsidRPr="00084B49">
              <w:rPr>
                <w:rFonts w:cs="Arial"/>
                <w:i/>
                <w:color w:val="808080"/>
                <w:szCs w:val="22"/>
              </w:rPr>
              <w:t>(Análisis del informe con la evaluación de las observaciones de los ciudadanos y grupos de interés sobre el proyecto normativo)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C90E99" w14:textId="549F9B8D" w:rsidR="005F30C3" w:rsidRDefault="007C3498" w:rsidP="00D05B6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i/>
                <w:color w:val="808080"/>
                <w:sz w:val="22"/>
                <w:szCs w:val="22"/>
              </w:rPr>
              <w:t>(</w:t>
            </w:r>
            <w:r w:rsidR="005F30C3" w:rsidRPr="005F30C3">
              <w:rPr>
                <w:rFonts w:cs="Arial"/>
                <w:i/>
                <w:color w:val="808080"/>
                <w:sz w:val="22"/>
                <w:szCs w:val="22"/>
              </w:rPr>
              <w:t>x)</w:t>
            </w:r>
          </w:p>
        </w:tc>
      </w:tr>
      <w:tr w:rsidR="005F30C3" w:rsidRPr="009F7CED" w14:paraId="07676EB5" w14:textId="77777777" w:rsidTr="61966AD2">
        <w:trPr>
          <w:trHeight w:val="66"/>
        </w:trPr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683E6" w14:textId="77777777" w:rsidR="005F30C3" w:rsidRDefault="005F30C3" w:rsidP="00D05B6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Concepto de Abogacía de la Competencia de la Superintendencia de Industria y Comercio</w:t>
            </w:r>
          </w:p>
          <w:p w14:paraId="364EFEA6" w14:textId="77777777" w:rsidR="005F30C3" w:rsidRPr="00084B49" w:rsidRDefault="005F30C3" w:rsidP="00D05B67">
            <w:pPr>
              <w:jc w:val="both"/>
              <w:rPr>
                <w:rFonts w:cs="Arial"/>
                <w:i/>
                <w:color w:val="808080"/>
                <w:sz w:val="22"/>
                <w:szCs w:val="22"/>
              </w:rPr>
            </w:pPr>
            <w:r w:rsidRPr="00084B49">
              <w:rPr>
                <w:rFonts w:cs="Arial"/>
                <w:i/>
                <w:color w:val="808080"/>
                <w:szCs w:val="22"/>
              </w:rPr>
              <w:t>(Cuando los proyectos normativos tengan incidencia en la libre competencia de los mercados)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8BF5F5" w14:textId="7220EF96" w:rsidR="005F30C3" w:rsidRDefault="00D6199F" w:rsidP="00D05B6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i/>
                <w:color w:val="808080"/>
                <w:sz w:val="22"/>
                <w:szCs w:val="22"/>
              </w:rPr>
              <w:t>No aplica</w:t>
            </w:r>
          </w:p>
        </w:tc>
      </w:tr>
      <w:tr w:rsidR="005F30C3" w:rsidRPr="009F7CED" w14:paraId="19E5B7FC" w14:textId="77777777" w:rsidTr="61966AD2">
        <w:trPr>
          <w:trHeight w:val="66"/>
        </w:trPr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EB9CC" w14:textId="77777777" w:rsidR="005F30C3" w:rsidRDefault="005F30C3" w:rsidP="00D05B6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Concepto de aprobación nuevos trámites del Departamento Administrativo de la Función Pública</w:t>
            </w:r>
          </w:p>
          <w:p w14:paraId="1DFA88C0" w14:textId="77777777" w:rsidR="005F30C3" w:rsidRDefault="005F30C3" w:rsidP="00D05B67">
            <w:pPr>
              <w:jc w:val="both"/>
              <w:rPr>
                <w:rFonts w:cs="Arial"/>
                <w:sz w:val="22"/>
                <w:szCs w:val="22"/>
              </w:rPr>
            </w:pPr>
            <w:r w:rsidRPr="00084B49">
              <w:rPr>
                <w:rFonts w:cs="Arial"/>
                <w:i/>
                <w:color w:val="808080"/>
                <w:szCs w:val="22"/>
              </w:rPr>
              <w:t>(Cuando el proyecto normativo adopte o modifique un trámite)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5CE5B9" w14:textId="743F935F" w:rsidR="005F30C3" w:rsidRDefault="00D6199F" w:rsidP="00D05B6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i/>
                <w:color w:val="808080"/>
                <w:sz w:val="22"/>
                <w:szCs w:val="22"/>
              </w:rPr>
              <w:t>No aplica</w:t>
            </w:r>
          </w:p>
        </w:tc>
      </w:tr>
      <w:tr w:rsidR="005F30C3" w:rsidRPr="009F7CED" w14:paraId="3322BE2A" w14:textId="77777777" w:rsidTr="61966AD2">
        <w:trPr>
          <w:trHeight w:val="66"/>
        </w:trPr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4C563" w14:textId="0E83D181" w:rsidR="002177BF" w:rsidRPr="00AE5805" w:rsidRDefault="002177BF" w:rsidP="00084B49">
            <w:pPr>
              <w:jc w:val="both"/>
              <w:rPr>
                <w:rFonts w:cs="Arial"/>
                <w:sz w:val="22"/>
                <w:szCs w:val="22"/>
              </w:rPr>
            </w:pPr>
            <w:r w:rsidRPr="00FA0B35">
              <w:rPr>
                <w:rFonts w:cs="Arial"/>
                <w:bCs/>
                <w:color w:val="000000"/>
                <w:sz w:val="22"/>
                <w:szCs w:val="22"/>
              </w:rPr>
              <w:t>Estudio Técnico Justificación Actualización Anexo 1 Resolución 500 - Subdirección de Estándares y Arquitectura</w:t>
            </w:r>
          </w:p>
          <w:p w14:paraId="1CD006DB" w14:textId="348518CA" w:rsidR="005F30C3" w:rsidRDefault="005F30C3" w:rsidP="00084B49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73A3BDE5" w14:textId="77777777" w:rsidR="005F30C3" w:rsidRDefault="005F30C3" w:rsidP="00084B49">
            <w:pPr>
              <w:jc w:val="both"/>
              <w:rPr>
                <w:rFonts w:cs="Arial"/>
                <w:sz w:val="22"/>
                <w:szCs w:val="22"/>
              </w:rPr>
            </w:pPr>
            <w:r w:rsidRPr="00084B49">
              <w:rPr>
                <w:rFonts w:cs="Arial"/>
                <w:i/>
                <w:color w:val="808080"/>
                <w:szCs w:val="22"/>
              </w:rPr>
              <w:t>(Cualquier otro aspecto que la entidad originadora de la norma considere relevante o de importancia)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B8FF30" w14:textId="7208FA5B" w:rsidR="005F30C3" w:rsidRDefault="005F30C3" w:rsidP="00D05B67">
            <w:pPr>
              <w:jc w:val="both"/>
              <w:rPr>
                <w:rFonts w:cs="Arial"/>
                <w:sz w:val="22"/>
                <w:szCs w:val="22"/>
              </w:rPr>
            </w:pPr>
            <w:r w:rsidRPr="005F30C3">
              <w:rPr>
                <w:rFonts w:cs="Arial"/>
                <w:i/>
                <w:color w:val="808080"/>
                <w:sz w:val="22"/>
                <w:szCs w:val="22"/>
              </w:rPr>
              <w:t>(x)</w:t>
            </w:r>
          </w:p>
        </w:tc>
      </w:tr>
    </w:tbl>
    <w:p w14:paraId="56E6101F" w14:textId="77777777" w:rsidR="00301DC2" w:rsidRPr="009F7CED" w:rsidRDefault="00301DC2" w:rsidP="00587695">
      <w:pPr>
        <w:ind w:right="-377"/>
        <w:jc w:val="both"/>
        <w:rPr>
          <w:rFonts w:cs="Arial"/>
          <w:sz w:val="22"/>
          <w:szCs w:val="22"/>
        </w:rPr>
      </w:pPr>
    </w:p>
    <w:p w14:paraId="3D31B7B8" w14:textId="77777777" w:rsidR="0090223D" w:rsidRPr="00D05B67" w:rsidRDefault="0090223D" w:rsidP="0090223D">
      <w:pPr>
        <w:ind w:left="-1276" w:right="-377" w:firstLine="283"/>
        <w:jc w:val="both"/>
        <w:rPr>
          <w:rFonts w:cs="Arial"/>
          <w:b/>
          <w:sz w:val="22"/>
          <w:szCs w:val="22"/>
        </w:rPr>
      </w:pPr>
      <w:r w:rsidRPr="00D05B67">
        <w:rPr>
          <w:rFonts w:cs="Arial"/>
          <w:b/>
          <w:sz w:val="22"/>
          <w:szCs w:val="22"/>
        </w:rPr>
        <w:lastRenderedPageBreak/>
        <w:t>Aprobó:</w:t>
      </w:r>
    </w:p>
    <w:p w14:paraId="42721134" w14:textId="4476C7DE" w:rsidR="0090223D" w:rsidRDefault="001E3669" w:rsidP="0090223D">
      <w:pPr>
        <w:pStyle w:val="Listavistosa-nfasis11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Lucy Elena Urón Rincón</w:t>
      </w:r>
      <w:r w:rsidR="003C729F" w:rsidRPr="003C729F">
        <w:rPr>
          <w:rFonts w:ascii="Arial" w:hAnsi="Arial" w:cs="Arial"/>
          <w:b/>
        </w:rPr>
        <w:t xml:space="preserve"> – Director</w:t>
      </w:r>
      <w:r>
        <w:rPr>
          <w:rFonts w:ascii="Arial" w:hAnsi="Arial" w:cs="Arial"/>
          <w:b/>
        </w:rPr>
        <w:t>a</w:t>
      </w:r>
      <w:r w:rsidR="003C729F" w:rsidRPr="003C729F">
        <w:rPr>
          <w:rFonts w:ascii="Arial" w:hAnsi="Arial" w:cs="Arial"/>
          <w:b/>
        </w:rPr>
        <w:t xml:space="preserve"> Gobierno Digital</w:t>
      </w:r>
    </w:p>
    <w:p w14:paraId="64166ADB" w14:textId="77777777" w:rsidR="003C729F" w:rsidRPr="00E0174F" w:rsidRDefault="003C729F" w:rsidP="0090223D">
      <w:pPr>
        <w:pStyle w:val="Listavistosa-nfasis11"/>
        <w:rPr>
          <w:rFonts w:ascii="Arial" w:hAnsi="Arial" w:cs="Arial"/>
          <w:b/>
        </w:rPr>
      </w:pPr>
    </w:p>
    <w:p w14:paraId="2D0ACA03" w14:textId="07458A61" w:rsidR="0090223D" w:rsidRPr="00E0174F" w:rsidRDefault="00487FF4" w:rsidP="0090223D">
      <w:pPr>
        <w:pStyle w:val="Listavistosa-nfasis1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Raúl </w:t>
      </w:r>
      <w:r w:rsidR="00B64F0F">
        <w:rPr>
          <w:rFonts w:ascii="Arial" w:hAnsi="Arial" w:cs="Arial"/>
          <w:b/>
        </w:rPr>
        <w:t xml:space="preserve">Fernando </w:t>
      </w:r>
      <w:r>
        <w:rPr>
          <w:rFonts w:ascii="Arial" w:hAnsi="Arial" w:cs="Arial"/>
          <w:b/>
        </w:rPr>
        <w:t>Núñez</w:t>
      </w:r>
      <w:r w:rsidR="0090223D" w:rsidRPr="009F5C4A">
        <w:rPr>
          <w:rFonts w:ascii="Arial" w:hAnsi="Arial" w:cs="Arial"/>
          <w:b/>
        </w:rPr>
        <w:t xml:space="preserve"> </w:t>
      </w:r>
      <w:r w:rsidR="00DE05A2">
        <w:rPr>
          <w:rFonts w:ascii="Arial" w:hAnsi="Arial" w:cs="Arial"/>
          <w:b/>
        </w:rPr>
        <w:t xml:space="preserve">Marín </w:t>
      </w:r>
      <w:r w:rsidR="0090223D" w:rsidRPr="009F5C4A">
        <w:rPr>
          <w:rFonts w:ascii="Arial" w:hAnsi="Arial" w:cs="Arial"/>
          <w:b/>
        </w:rPr>
        <w:t xml:space="preserve">– Director Jurídico </w:t>
      </w:r>
    </w:p>
    <w:p w14:paraId="604AB31F" w14:textId="77777777" w:rsidR="009F5C4A" w:rsidRDefault="009F5C4A" w:rsidP="00696582">
      <w:pPr>
        <w:pStyle w:val="Listavistosa-nfasis11"/>
        <w:rPr>
          <w:rFonts w:ascii="Arial" w:hAnsi="Arial" w:cs="Arial"/>
          <w:b/>
        </w:rPr>
      </w:pPr>
    </w:p>
    <w:p w14:paraId="16D3ACBD" w14:textId="5A15C275" w:rsidR="006779DA" w:rsidRPr="00366F75" w:rsidRDefault="006779DA" w:rsidP="00696582">
      <w:pPr>
        <w:pStyle w:val="Listavistosa-nfasis11"/>
        <w:rPr>
          <w:rFonts w:ascii="Arial" w:hAnsi="Arial" w:cs="Arial"/>
          <w:b/>
          <w:color w:val="FF0000"/>
        </w:rPr>
      </w:pPr>
    </w:p>
    <w:sectPr w:rsidR="006779DA" w:rsidRPr="00366F75" w:rsidSect="0041000C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616" w:right="616" w:bottom="1115" w:left="1701" w:header="720" w:footer="1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F1BF0" w14:textId="77777777" w:rsidR="001A5BD1" w:rsidRDefault="001A5BD1">
      <w:r>
        <w:separator/>
      </w:r>
    </w:p>
  </w:endnote>
  <w:endnote w:type="continuationSeparator" w:id="0">
    <w:p w14:paraId="7D4927A7" w14:textId="77777777" w:rsidR="001A5BD1" w:rsidRDefault="001A5BD1">
      <w:r>
        <w:continuationSeparator/>
      </w:r>
    </w:p>
  </w:endnote>
  <w:endnote w:type="continuationNotice" w:id="1">
    <w:p w14:paraId="1522F4F0" w14:textId="77777777" w:rsidR="001A5BD1" w:rsidRDefault="001A5B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7A484" w14:textId="33B79ABF" w:rsidR="00F77DB8" w:rsidRDefault="00F77DB8" w:rsidP="00F77DB8">
    <w:pPr>
      <w:pStyle w:val="Piedepgina"/>
      <w:tabs>
        <w:tab w:val="clear" w:pos="8504"/>
      </w:tabs>
      <w:ind w:left="-709"/>
      <w:rPr>
        <w:rFonts w:ascii="Calibri" w:hAnsi="Calibri" w:cs="Calibri"/>
        <w:color w:val="000000"/>
      </w:rPr>
    </w:pPr>
    <w:r>
      <w:rPr>
        <w:noProof/>
        <w:sz w:val="18"/>
        <w:szCs w:val="18"/>
        <w:lang w:val="es-CO"/>
      </w:rPr>
      <w:drawing>
        <wp:anchor distT="0" distB="0" distL="114300" distR="114300" simplePos="0" relativeHeight="251658242" behindDoc="1" locked="0" layoutInCell="1" allowOverlap="1" wp14:anchorId="2BCF06CF" wp14:editId="3F388C26">
          <wp:simplePos x="0" y="0"/>
          <wp:positionH relativeFrom="column">
            <wp:posOffset>-775335</wp:posOffset>
          </wp:positionH>
          <wp:positionV relativeFrom="paragraph">
            <wp:posOffset>-182880</wp:posOffset>
          </wp:positionV>
          <wp:extent cx="638175" cy="609600"/>
          <wp:effectExtent l="0" t="0" r="9525" b="0"/>
          <wp:wrapNone/>
          <wp:docPr id="83" name="Picture 83" descr="S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rFonts w:ascii="Calibri" w:hAnsi="Calibri" w:cs="Calibri"/>
        <w:color w:val="000000"/>
      </w:rPr>
      <w:t>GJU-TIC-FM-010</w:t>
    </w:r>
  </w:p>
  <w:p w14:paraId="25B85007" w14:textId="6E3FE63E" w:rsidR="00F77DB8" w:rsidRDefault="00F77DB8" w:rsidP="00F77DB8">
    <w:pPr>
      <w:pStyle w:val="Piedepgina"/>
      <w:tabs>
        <w:tab w:val="clear" w:pos="8504"/>
      </w:tabs>
      <w:ind w:left="-709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  <w:t xml:space="preserve">         V2</w:t>
    </w:r>
    <w:r>
      <w:rPr>
        <w:rFonts w:ascii="Calibri" w:hAnsi="Calibri" w:cs="Calibri"/>
        <w:color w:val="000000"/>
      </w:rPr>
      <w:tab/>
    </w:r>
  </w:p>
  <w:p w14:paraId="7B62638E" w14:textId="643DD8EB" w:rsidR="00836C6A" w:rsidRDefault="00F77DB8" w:rsidP="00F77DB8">
    <w:pPr>
      <w:pStyle w:val="Piedepgina"/>
      <w:jc w:val="right"/>
    </w:pP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  <w:t xml:space="preserve">                                   </w:t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noProof/>
      </w:rPr>
      <w:tab/>
    </w:r>
    <w:r w:rsidR="00B237A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5BE78E" wp14:editId="29452DD3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685"/>
              <wp:effectExtent l="0" t="2540" r="0" b="0"/>
              <wp:wrapNone/>
              <wp:docPr id="8" name="Text Box 8" descr="{&quot;HashCode&quot;:-324040364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DF9FE" w14:textId="4A625D82" w:rsidR="00FE2D84" w:rsidRPr="00AF569A" w:rsidRDefault="00692F01" w:rsidP="00692F01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Pública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75BE78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{&quot;HashCode&quot;:-324040364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" o:allowincell="f" filled="f" stroked="f">
              <v:textbox inset="20pt,0,,0">
                <w:txbxContent>
                  <w:p w14:paraId="21CDF9FE" w14:textId="4A625D82" w:rsidR="00FE2D84" w:rsidRPr="00AF569A" w:rsidRDefault="00692F01" w:rsidP="00692F01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89230A1" w14:textId="4395C5FA" w:rsidR="00F07A7D" w:rsidRPr="0084294E" w:rsidRDefault="00F07A7D" w:rsidP="008C703D">
    <w:pPr>
      <w:pStyle w:val="Piedepgina"/>
      <w:ind w:left="-851"/>
      <w:rPr>
        <w:sz w:val="18"/>
        <w:szCs w:val="18"/>
        <w:lang w:val="es-C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EE956" w14:textId="5999C073" w:rsidR="00AF569A" w:rsidRDefault="00F77DB8" w:rsidP="003650D5">
    <w:pPr>
      <w:pStyle w:val="Piedepgina"/>
      <w:ind w:left="-709"/>
      <w:rPr>
        <w:rFonts w:ascii="Calibri" w:hAnsi="Calibri" w:cs="Calibri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A78EAAB" wp14:editId="25D5AA0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87" name="Text Box 87" descr="{&quot;HashCode&quot;:-324040364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962748" w14:textId="73919169" w:rsidR="00F77DB8" w:rsidRPr="00F77DB8" w:rsidRDefault="00F77DB8" w:rsidP="00F77DB8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F77DB8">
                            <w:rPr>
                              <w:rFonts w:ascii="Calibri" w:hAnsi="Calibri" w:cs="Calibri"/>
                              <w:color w:val="000000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A78EAAB" id="_x0000_t202" coordsize="21600,21600" o:spt="202" path="m,l,21600r21600,l21600,xe">
              <v:stroke joinstyle="miter"/>
              <v:path gradientshapeok="t" o:connecttype="rect"/>
            </v:shapetype>
            <v:shape id="Text Box 87" o:spid="_x0000_s1027" type="#_x0000_t202" alt="{&quot;HashCode&quot;:-324040364,&quot;Height&quot;:792.0,&quot;Width&quot;:612.0,&quot;Placement&quot;:&quot;Footer&quot;,&quot;Index&quot;:&quot;FirstPage&quot;,&quot;Section&quot;:1,&quot;Top&quot;:0.0,&quot;Left&quot;:0.0}" style="position:absolute;left:0;text-align:left;margin-left:0;margin-top:755.45pt;width:612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" o:allowincell="f" filled="f" stroked="f" strokeweight=".5pt">
              <v:textbox inset="20pt,0,,0">
                <w:txbxContent>
                  <w:p w14:paraId="36962748" w14:textId="73919169" w:rsidR="00F77DB8" w:rsidRPr="00F77DB8" w:rsidRDefault="00F77DB8" w:rsidP="00F77DB8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F77DB8">
                      <w:rPr>
                        <w:rFonts w:ascii="Calibri" w:hAnsi="Calibri" w:cs="Calibri"/>
                        <w:color w:val="000000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66EE7874" wp14:editId="6021A482">
          <wp:simplePos x="0" y="0"/>
          <wp:positionH relativeFrom="column">
            <wp:posOffset>-451485</wp:posOffset>
          </wp:positionH>
          <wp:positionV relativeFrom="paragraph">
            <wp:posOffset>-267335</wp:posOffset>
          </wp:positionV>
          <wp:extent cx="542925" cy="514350"/>
          <wp:effectExtent l="0" t="0" r="9525" b="0"/>
          <wp:wrapNone/>
          <wp:docPr id="86" name="Picture 86" descr="S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</w:p>
  <w:p w14:paraId="7E9BB38D" w14:textId="6A6E08F1" w:rsidR="00F77DB8" w:rsidRDefault="00F77DB8" w:rsidP="00F77DB8">
    <w:pPr>
      <w:pStyle w:val="Piedepgina"/>
      <w:tabs>
        <w:tab w:val="clear" w:pos="8504"/>
      </w:tabs>
      <w:ind w:left="-709"/>
      <w:rPr>
        <w:rFonts w:ascii="Calibri" w:hAnsi="Calibri" w:cs="Calibri"/>
        <w:color w:val="000000"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   </w:t>
    </w:r>
    <w:r>
      <w:rPr>
        <w:noProof/>
      </w:rPr>
      <w:tab/>
      <w:t xml:space="preserve">                       </w:t>
    </w:r>
    <w:r>
      <w:rPr>
        <w:rFonts w:ascii="Calibri" w:hAnsi="Calibri" w:cs="Calibri"/>
        <w:color w:val="000000"/>
      </w:rPr>
      <w:t>GJU-TIC-FM-010</w:t>
    </w:r>
  </w:p>
  <w:p w14:paraId="0D0AAF29" w14:textId="3D3F049B" w:rsidR="00F77DB8" w:rsidRDefault="00F77DB8" w:rsidP="00F77DB8">
    <w:pPr>
      <w:pStyle w:val="Piedepgina"/>
      <w:tabs>
        <w:tab w:val="clear" w:pos="8504"/>
      </w:tabs>
      <w:ind w:left="-709"/>
    </w:pP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  <w:t xml:space="preserve">                      V2</w:t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D119E" w14:textId="77777777" w:rsidR="001A5BD1" w:rsidRDefault="001A5BD1">
      <w:r>
        <w:separator/>
      </w:r>
    </w:p>
  </w:footnote>
  <w:footnote w:type="continuationSeparator" w:id="0">
    <w:p w14:paraId="02BEAAA6" w14:textId="77777777" w:rsidR="001A5BD1" w:rsidRDefault="001A5BD1">
      <w:r>
        <w:continuationSeparator/>
      </w:r>
    </w:p>
  </w:footnote>
  <w:footnote w:type="continuationNotice" w:id="1">
    <w:p w14:paraId="4C93AE6F" w14:textId="77777777" w:rsidR="001A5BD1" w:rsidRDefault="001A5B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B03BF" w14:textId="77777777" w:rsidR="00F07A7D" w:rsidRDefault="00F07A7D">
    <w:pPr>
      <w:pStyle w:val="Encabezado"/>
    </w:pPr>
  </w:p>
  <w:tbl>
    <w:tblPr>
      <w:tblW w:w="10798" w:type="dxa"/>
      <w:tblInd w:w="-9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74"/>
      <w:gridCol w:w="5775"/>
      <w:gridCol w:w="1449"/>
    </w:tblGrid>
    <w:tr w:rsidR="008C703D" w14:paraId="190BE4D9" w14:textId="77777777" w:rsidTr="008C703D">
      <w:tc>
        <w:tcPr>
          <w:tcW w:w="3574" w:type="dxa"/>
          <w:shd w:val="clear" w:color="auto" w:fill="auto"/>
        </w:tcPr>
        <w:p w14:paraId="09BB7B8D" w14:textId="153AE1CD" w:rsidR="008C703D" w:rsidRPr="00366F75" w:rsidRDefault="00217BF5" w:rsidP="00366F75">
          <w:pPr>
            <w:rPr>
              <w:rFonts w:ascii="Times New Roman" w:hAnsi="Times New Roman"/>
              <w:sz w:val="24"/>
              <w:szCs w:val="24"/>
              <w:lang w:val="es-CO" w:eastAsia="es-CO"/>
            </w:rPr>
          </w:pPr>
          <w:r>
            <w:rPr>
              <w:rFonts w:ascii="Arial Narrow" w:hAnsi="Arial Narrow"/>
              <w:noProof/>
            </w:rPr>
            <w:drawing>
              <wp:anchor distT="0" distB="0" distL="114300" distR="114300" simplePos="0" relativeHeight="251659269" behindDoc="0" locked="0" layoutInCell="1" allowOverlap="1" wp14:anchorId="7C2CA526" wp14:editId="7A8F50B6">
                <wp:simplePos x="0" y="0"/>
                <wp:positionH relativeFrom="column">
                  <wp:posOffset>790575</wp:posOffset>
                </wp:positionH>
                <wp:positionV relativeFrom="paragraph">
                  <wp:posOffset>28575</wp:posOffset>
                </wp:positionV>
                <wp:extent cx="464185" cy="495300"/>
                <wp:effectExtent l="0" t="0" r="0" b="0"/>
                <wp:wrapNone/>
                <wp:docPr id="1993611888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9398901" name="Imagen 125939890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18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75" w:type="dxa"/>
          <w:shd w:val="clear" w:color="auto" w:fill="auto"/>
          <w:vAlign w:val="center"/>
        </w:tcPr>
        <w:p w14:paraId="787F766F" w14:textId="77777777" w:rsidR="008C703D" w:rsidRDefault="008C703D" w:rsidP="001447C1">
          <w:pPr>
            <w:pStyle w:val="Ttulo2"/>
            <w:ind w:left="72" w:right="72"/>
          </w:pPr>
          <w:r w:rsidRPr="00FD3D04">
            <w:rPr>
              <w:rFonts w:cs="Arial"/>
              <w:bCs/>
              <w:color w:val="000000"/>
              <w:sz w:val="24"/>
              <w:szCs w:val="24"/>
            </w:rPr>
            <w:t>FORMATO MEMORIA JUSTIFICATIVA</w:t>
          </w:r>
        </w:p>
      </w:tc>
      <w:tc>
        <w:tcPr>
          <w:tcW w:w="1449" w:type="dxa"/>
          <w:shd w:val="clear" w:color="auto" w:fill="auto"/>
          <w:vAlign w:val="center"/>
        </w:tcPr>
        <w:p w14:paraId="4CEF7297" w14:textId="7E6064B0" w:rsidR="008C703D" w:rsidRDefault="00B237AC" w:rsidP="008C703D">
          <w:pPr>
            <w:pStyle w:val="Ttulo2"/>
            <w:ind w:right="72"/>
          </w:pPr>
          <w:r>
            <w:rPr>
              <w:noProof/>
            </w:rPr>
            <w:drawing>
              <wp:inline distT="0" distB="0" distL="0" distR="0" wp14:anchorId="34E81AE1" wp14:editId="47C57D30">
                <wp:extent cx="647700" cy="609600"/>
                <wp:effectExtent l="0" t="0" r="0" b="0"/>
                <wp:docPr id="82" name="Picture 82" descr="M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571213" w14:textId="77777777" w:rsidR="00F07A7D" w:rsidRDefault="00F07A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98" w:type="dxa"/>
      <w:tblInd w:w="-9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67"/>
      <w:gridCol w:w="5752"/>
      <w:gridCol w:w="1979"/>
    </w:tblGrid>
    <w:tr w:rsidR="008C703D" w14:paraId="20778B37" w14:textId="77777777" w:rsidTr="00D97F1C">
      <w:trPr>
        <w:trHeight w:val="1408"/>
      </w:trPr>
      <w:tc>
        <w:tcPr>
          <w:tcW w:w="3067" w:type="dxa"/>
          <w:shd w:val="clear" w:color="auto" w:fill="auto"/>
        </w:tcPr>
        <w:p w14:paraId="69C28DE1" w14:textId="0EF52BF3" w:rsidR="008C703D" w:rsidRPr="00366F75" w:rsidRDefault="00217BF5" w:rsidP="00D97F1C">
          <w:pPr>
            <w:jc w:val="center"/>
            <w:rPr>
              <w:rFonts w:ascii="Times New Roman" w:hAnsi="Times New Roman"/>
              <w:sz w:val="24"/>
              <w:szCs w:val="24"/>
              <w:lang w:val="es-CO" w:eastAsia="es-CO"/>
            </w:rPr>
          </w:pPr>
          <w:r>
            <w:rPr>
              <w:rFonts w:ascii="Arial Narrow" w:hAnsi="Arial Narrow"/>
              <w:noProof/>
            </w:rPr>
            <w:drawing>
              <wp:inline distT="0" distB="0" distL="0" distR="0" wp14:anchorId="16B9E4FC" wp14:editId="749250DD">
                <wp:extent cx="464335" cy="900000"/>
                <wp:effectExtent l="0" t="0" r="0" b="0"/>
                <wp:docPr id="1259398901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9398901" name="Imagen 125939890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33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2" w:type="dxa"/>
          <w:shd w:val="clear" w:color="auto" w:fill="auto"/>
          <w:vAlign w:val="center"/>
        </w:tcPr>
        <w:p w14:paraId="67C9E327" w14:textId="77777777" w:rsidR="008C703D" w:rsidRDefault="008C703D" w:rsidP="00FD3D04">
          <w:pPr>
            <w:pStyle w:val="Ttulo2"/>
            <w:ind w:left="72" w:right="72"/>
          </w:pPr>
          <w:r w:rsidRPr="00FD3D04">
            <w:rPr>
              <w:rFonts w:cs="Arial"/>
              <w:bCs/>
              <w:color w:val="000000"/>
              <w:sz w:val="24"/>
              <w:szCs w:val="24"/>
            </w:rPr>
            <w:t>FORMATO MEMORIA JUSTIFICATIVA</w:t>
          </w:r>
        </w:p>
      </w:tc>
      <w:tc>
        <w:tcPr>
          <w:tcW w:w="1979" w:type="dxa"/>
          <w:shd w:val="clear" w:color="auto" w:fill="auto"/>
          <w:vAlign w:val="center"/>
        </w:tcPr>
        <w:p w14:paraId="471C3705" w14:textId="1AC9FB15" w:rsidR="008C703D" w:rsidRDefault="00B237AC" w:rsidP="008C703D">
          <w:pPr>
            <w:pStyle w:val="Ttulo2"/>
            <w:ind w:right="72"/>
          </w:pPr>
          <w:r>
            <w:rPr>
              <w:noProof/>
            </w:rPr>
            <w:drawing>
              <wp:inline distT="0" distB="0" distL="0" distR="0" wp14:anchorId="2F43C1A8" wp14:editId="4D56ECDF">
                <wp:extent cx="647700" cy="609600"/>
                <wp:effectExtent l="0" t="0" r="0" b="0"/>
                <wp:docPr id="85" name="Picture 85" descr="M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M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249300" w14:textId="77777777" w:rsidR="00350767" w:rsidRDefault="003507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F1F71"/>
    <w:multiLevelType w:val="hybridMultilevel"/>
    <w:tmpl w:val="E22093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7E34"/>
    <w:multiLevelType w:val="hybridMultilevel"/>
    <w:tmpl w:val="EBC2F2E6"/>
    <w:lvl w:ilvl="0" w:tplc="D3C24856"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E945B7"/>
    <w:multiLevelType w:val="hybridMultilevel"/>
    <w:tmpl w:val="9BA8E9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F2FD2"/>
    <w:multiLevelType w:val="hybridMultilevel"/>
    <w:tmpl w:val="23780C54"/>
    <w:lvl w:ilvl="0" w:tplc="7122AF3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D43E1"/>
    <w:multiLevelType w:val="hybridMultilevel"/>
    <w:tmpl w:val="3E3C0C3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077F4"/>
    <w:multiLevelType w:val="hybridMultilevel"/>
    <w:tmpl w:val="471ED7F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331E40"/>
    <w:multiLevelType w:val="hybridMultilevel"/>
    <w:tmpl w:val="7EB8E8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225D5"/>
    <w:multiLevelType w:val="hybridMultilevel"/>
    <w:tmpl w:val="2752FB6E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F7F7418"/>
    <w:multiLevelType w:val="hybridMultilevel"/>
    <w:tmpl w:val="561034C0"/>
    <w:lvl w:ilvl="0" w:tplc="C688F9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CC3AAB"/>
    <w:multiLevelType w:val="hybridMultilevel"/>
    <w:tmpl w:val="C72A38F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30D56"/>
    <w:multiLevelType w:val="hybridMultilevel"/>
    <w:tmpl w:val="B512F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D6525"/>
    <w:multiLevelType w:val="hybridMultilevel"/>
    <w:tmpl w:val="14323D5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D575C"/>
    <w:multiLevelType w:val="hybridMultilevel"/>
    <w:tmpl w:val="903E42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438A4"/>
    <w:multiLevelType w:val="hybridMultilevel"/>
    <w:tmpl w:val="CC544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17AA6"/>
    <w:multiLevelType w:val="hybridMultilevel"/>
    <w:tmpl w:val="78BE8B20"/>
    <w:lvl w:ilvl="0" w:tplc="D10EA2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33F05"/>
    <w:multiLevelType w:val="hybridMultilevel"/>
    <w:tmpl w:val="DBDC35E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341FF"/>
    <w:multiLevelType w:val="multilevel"/>
    <w:tmpl w:val="078847B8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A7C7321"/>
    <w:multiLevelType w:val="hybridMultilevel"/>
    <w:tmpl w:val="EF704034"/>
    <w:lvl w:ilvl="0" w:tplc="3AAE91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32023"/>
    <w:multiLevelType w:val="hybridMultilevel"/>
    <w:tmpl w:val="E91C692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A3792D"/>
    <w:multiLevelType w:val="hybridMultilevel"/>
    <w:tmpl w:val="1150A7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C1A61"/>
    <w:multiLevelType w:val="hybridMultilevel"/>
    <w:tmpl w:val="9C96BFC6"/>
    <w:lvl w:ilvl="0" w:tplc="AE5A3DC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27B63"/>
    <w:multiLevelType w:val="hybridMultilevel"/>
    <w:tmpl w:val="7BC80F2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E38A9"/>
    <w:multiLevelType w:val="hybridMultilevel"/>
    <w:tmpl w:val="B6C654B2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811299"/>
    <w:multiLevelType w:val="hybridMultilevel"/>
    <w:tmpl w:val="4CAE1F3E"/>
    <w:lvl w:ilvl="0" w:tplc="C5F83004">
      <w:start w:val="144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20AD0"/>
    <w:multiLevelType w:val="hybridMultilevel"/>
    <w:tmpl w:val="44084084"/>
    <w:lvl w:ilvl="0" w:tplc="240A000D">
      <w:start w:val="1"/>
      <w:numFmt w:val="bullet"/>
      <w:lvlText w:val=""/>
      <w:lvlJc w:val="left"/>
      <w:pPr>
        <w:ind w:left="-10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-3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</w:abstractNum>
  <w:abstractNum w:abstractNumId="25" w15:restartNumberingAfterBreak="0">
    <w:nsid w:val="55612A01"/>
    <w:multiLevelType w:val="hybridMultilevel"/>
    <w:tmpl w:val="516C2342"/>
    <w:lvl w:ilvl="0" w:tplc="2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6C63FAB"/>
    <w:multiLevelType w:val="hybridMultilevel"/>
    <w:tmpl w:val="4B2669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8006D"/>
    <w:multiLevelType w:val="hybridMultilevel"/>
    <w:tmpl w:val="1F986C7A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99274BB"/>
    <w:multiLevelType w:val="hybridMultilevel"/>
    <w:tmpl w:val="19B6D6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C27BD1"/>
    <w:multiLevelType w:val="hybridMultilevel"/>
    <w:tmpl w:val="B00A22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163EC"/>
    <w:multiLevelType w:val="hybridMultilevel"/>
    <w:tmpl w:val="2B166F1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423FF4"/>
    <w:multiLevelType w:val="multilevel"/>
    <w:tmpl w:val="60C2505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2" w15:restartNumberingAfterBreak="0">
    <w:nsid w:val="60682FB7"/>
    <w:multiLevelType w:val="hybridMultilevel"/>
    <w:tmpl w:val="6EB8E7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A438E4"/>
    <w:multiLevelType w:val="hybridMultilevel"/>
    <w:tmpl w:val="1602CE3A"/>
    <w:lvl w:ilvl="0" w:tplc="BB08A936">
      <w:numFmt w:val="bullet"/>
      <w:lvlText w:val="-"/>
      <w:lvlJc w:val="left"/>
      <w:pPr>
        <w:ind w:left="322" w:hanging="360"/>
      </w:pPr>
      <w:rPr>
        <w:rFonts w:ascii="Arial" w:eastAsia="Time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</w:abstractNum>
  <w:abstractNum w:abstractNumId="34" w15:restartNumberingAfterBreak="0">
    <w:nsid w:val="64573526"/>
    <w:multiLevelType w:val="hybridMultilevel"/>
    <w:tmpl w:val="665E973A"/>
    <w:lvl w:ilvl="0" w:tplc="2C08755A">
      <w:start w:val="1"/>
      <w:numFmt w:val="bullet"/>
      <w:lvlText w:val="•"/>
      <w:lvlJc w:val="left"/>
      <w:pPr>
        <w:tabs>
          <w:tab w:val="num" w:pos="999"/>
        </w:tabs>
        <w:ind w:left="999" w:hanging="360"/>
      </w:pPr>
      <w:rPr>
        <w:rFonts w:ascii="Arial" w:hAnsi="Arial" w:hint="default"/>
      </w:rPr>
    </w:lvl>
    <w:lvl w:ilvl="1" w:tplc="5AD0665A" w:tentative="1">
      <w:start w:val="1"/>
      <w:numFmt w:val="bullet"/>
      <w:lvlText w:val="•"/>
      <w:lvlJc w:val="left"/>
      <w:pPr>
        <w:tabs>
          <w:tab w:val="num" w:pos="1719"/>
        </w:tabs>
        <w:ind w:left="1719" w:hanging="360"/>
      </w:pPr>
      <w:rPr>
        <w:rFonts w:ascii="Arial" w:hAnsi="Arial" w:hint="default"/>
      </w:rPr>
    </w:lvl>
    <w:lvl w:ilvl="2" w:tplc="2AD44A04" w:tentative="1">
      <w:start w:val="1"/>
      <w:numFmt w:val="bullet"/>
      <w:lvlText w:val="•"/>
      <w:lvlJc w:val="left"/>
      <w:pPr>
        <w:tabs>
          <w:tab w:val="num" w:pos="2439"/>
        </w:tabs>
        <w:ind w:left="2439" w:hanging="360"/>
      </w:pPr>
      <w:rPr>
        <w:rFonts w:ascii="Arial" w:hAnsi="Arial" w:hint="default"/>
      </w:rPr>
    </w:lvl>
    <w:lvl w:ilvl="3" w:tplc="07082974" w:tentative="1">
      <w:start w:val="1"/>
      <w:numFmt w:val="bullet"/>
      <w:lvlText w:val="•"/>
      <w:lvlJc w:val="left"/>
      <w:pPr>
        <w:tabs>
          <w:tab w:val="num" w:pos="3159"/>
        </w:tabs>
        <w:ind w:left="3159" w:hanging="360"/>
      </w:pPr>
      <w:rPr>
        <w:rFonts w:ascii="Arial" w:hAnsi="Arial" w:hint="default"/>
      </w:rPr>
    </w:lvl>
    <w:lvl w:ilvl="4" w:tplc="CD76DC7C" w:tentative="1">
      <w:start w:val="1"/>
      <w:numFmt w:val="bullet"/>
      <w:lvlText w:val="•"/>
      <w:lvlJc w:val="left"/>
      <w:pPr>
        <w:tabs>
          <w:tab w:val="num" w:pos="3879"/>
        </w:tabs>
        <w:ind w:left="3879" w:hanging="360"/>
      </w:pPr>
      <w:rPr>
        <w:rFonts w:ascii="Arial" w:hAnsi="Arial" w:hint="default"/>
      </w:rPr>
    </w:lvl>
    <w:lvl w:ilvl="5" w:tplc="3D28A6E6" w:tentative="1">
      <w:start w:val="1"/>
      <w:numFmt w:val="bullet"/>
      <w:lvlText w:val="•"/>
      <w:lvlJc w:val="left"/>
      <w:pPr>
        <w:tabs>
          <w:tab w:val="num" w:pos="4599"/>
        </w:tabs>
        <w:ind w:left="4599" w:hanging="360"/>
      </w:pPr>
      <w:rPr>
        <w:rFonts w:ascii="Arial" w:hAnsi="Arial" w:hint="default"/>
      </w:rPr>
    </w:lvl>
    <w:lvl w:ilvl="6" w:tplc="590A4E18" w:tentative="1">
      <w:start w:val="1"/>
      <w:numFmt w:val="bullet"/>
      <w:lvlText w:val="•"/>
      <w:lvlJc w:val="left"/>
      <w:pPr>
        <w:tabs>
          <w:tab w:val="num" w:pos="5319"/>
        </w:tabs>
        <w:ind w:left="5319" w:hanging="360"/>
      </w:pPr>
      <w:rPr>
        <w:rFonts w:ascii="Arial" w:hAnsi="Arial" w:hint="default"/>
      </w:rPr>
    </w:lvl>
    <w:lvl w:ilvl="7" w:tplc="56BA76D8" w:tentative="1">
      <w:start w:val="1"/>
      <w:numFmt w:val="bullet"/>
      <w:lvlText w:val="•"/>
      <w:lvlJc w:val="left"/>
      <w:pPr>
        <w:tabs>
          <w:tab w:val="num" w:pos="6039"/>
        </w:tabs>
        <w:ind w:left="6039" w:hanging="360"/>
      </w:pPr>
      <w:rPr>
        <w:rFonts w:ascii="Arial" w:hAnsi="Arial" w:hint="default"/>
      </w:rPr>
    </w:lvl>
    <w:lvl w:ilvl="8" w:tplc="D56AD64E" w:tentative="1">
      <w:start w:val="1"/>
      <w:numFmt w:val="bullet"/>
      <w:lvlText w:val="•"/>
      <w:lvlJc w:val="left"/>
      <w:pPr>
        <w:tabs>
          <w:tab w:val="num" w:pos="6759"/>
        </w:tabs>
        <w:ind w:left="6759" w:hanging="360"/>
      </w:pPr>
      <w:rPr>
        <w:rFonts w:ascii="Arial" w:hAnsi="Arial" w:hint="default"/>
      </w:rPr>
    </w:lvl>
  </w:abstractNum>
  <w:abstractNum w:abstractNumId="35" w15:restartNumberingAfterBreak="0">
    <w:nsid w:val="65C86972"/>
    <w:multiLevelType w:val="hybridMultilevel"/>
    <w:tmpl w:val="EF60E5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B19CB"/>
    <w:multiLevelType w:val="hybridMultilevel"/>
    <w:tmpl w:val="359E384C"/>
    <w:lvl w:ilvl="0" w:tplc="4804310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FA48A5"/>
    <w:multiLevelType w:val="hybridMultilevel"/>
    <w:tmpl w:val="3E2221D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8547E6"/>
    <w:multiLevelType w:val="hybridMultilevel"/>
    <w:tmpl w:val="9F3404D0"/>
    <w:lvl w:ilvl="0" w:tplc="89D2AE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FA64E9"/>
    <w:multiLevelType w:val="hybridMultilevel"/>
    <w:tmpl w:val="70E22AB2"/>
    <w:lvl w:ilvl="0" w:tplc="645EFE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74639D"/>
    <w:multiLevelType w:val="hybridMultilevel"/>
    <w:tmpl w:val="F692C1A2"/>
    <w:lvl w:ilvl="0" w:tplc="24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1" w15:restartNumberingAfterBreak="0">
    <w:nsid w:val="72044BA6"/>
    <w:multiLevelType w:val="hybridMultilevel"/>
    <w:tmpl w:val="07EEA1E4"/>
    <w:lvl w:ilvl="0" w:tplc="FEE66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813B2"/>
    <w:multiLevelType w:val="hybridMultilevel"/>
    <w:tmpl w:val="C8E461B0"/>
    <w:lvl w:ilvl="0" w:tplc="A26EE7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7"/>
  </w:num>
  <w:num w:numId="4">
    <w:abstractNumId w:val="8"/>
  </w:num>
  <w:num w:numId="5">
    <w:abstractNumId w:val="16"/>
  </w:num>
  <w:num w:numId="6">
    <w:abstractNumId w:val="31"/>
  </w:num>
  <w:num w:numId="7">
    <w:abstractNumId w:val="9"/>
  </w:num>
  <w:num w:numId="8">
    <w:abstractNumId w:val="17"/>
  </w:num>
  <w:num w:numId="9">
    <w:abstractNumId w:val="6"/>
  </w:num>
  <w:num w:numId="10">
    <w:abstractNumId w:val="21"/>
  </w:num>
  <w:num w:numId="11">
    <w:abstractNumId w:val="13"/>
  </w:num>
  <w:num w:numId="12">
    <w:abstractNumId w:val="32"/>
  </w:num>
  <w:num w:numId="13">
    <w:abstractNumId w:val="38"/>
  </w:num>
  <w:num w:numId="14">
    <w:abstractNumId w:val="39"/>
  </w:num>
  <w:num w:numId="15">
    <w:abstractNumId w:val="1"/>
  </w:num>
  <w:num w:numId="16">
    <w:abstractNumId w:val="22"/>
  </w:num>
  <w:num w:numId="17">
    <w:abstractNumId w:val="4"/>
  </w:num>
  <w:num w:numId="18">
    <w:abstractNumId w:val="24"/>
  </w:num>
  <w:num w:numId="19">
    <w:abstractNumId w:val="27"/>
  </w:num>
  <w:num w:numId="20">
    <w:abstractNumId w:val="0"/>
  </w:num>
  <w:num w:numId="21">
    <w:abstractNumId w:val="10"/>
  </w:num>
  <w:num w:numId="22">
    <w:abstractNumId w:val="19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11"/>
  </w:num>
  <w:num w:numId="26">
    <w:abstractNumId w:val="29"/>
  </w:num>
  <w:num w:numId="27">
    <w:abstractNumId w:val="26"/>
  </w:num>
  <w:num w:numId="28">
    <w:abstractNumId w:val="40"/>
  </w:num>
  <w:num w:numId="29">
    <w:abstractNumId w:val="1"/>
  </w:num>
  <w:num w:numId="30">
    <w:abstractNumId w:val="42"/>
  </w:num>
  <w:num w:numId="31">
    <w:abstractNumId w:val="23"/>
  </w:num>
  <w:num w:numId="32">
    <w:abstractNumId w:val="35"/>
  </w:num>
  <w:num w:numId="33">
    <w:abstractNumId w:val="25"/>
  </w:num>
  <w:num w:numId="34">
    <w:abstractNumId w:val="34"/>
  </w:num>
  <w:num w:numId="35">
    <w:abstractNumId w:val="14"/>
  </w:num>
  <w:num w:numId="36">
    <w:abstractNumId w:val="5"/>
  </w:num>
  <w:num w:numId="37">
    <w:abstractNumId w:val="2"/>
  </w:num>
  <w:num w:numId="38">
    <w:abstractNumId w:val="28"/>
  </w:num>
  <w:num w:numId="39">
    <w:abstractNumId w:val="33"/>
  </w:num>
  <w:num w:numId="40">
    <w:abstractNumId w:val="15"/>
  </w:num>
  <w:num w:numId="41">
    <w:abstractNumId w:val="41"/>
  </w:num>
  <w:num w:numId="42">
    <w:abstractNumId w:val="18"/>
  </w:num>
  <w:num w:numId="43">
    <w:abstractNumId w:val="3"/>
  </w:num>
  <w:num w:numId="44">
    <w:abstractNumId w:val="1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80"/>
    <w:rsid w:val="00003D24"/>
    <w:rsid w:val="00006F83"/>
    <w:rsid w:val="00007F07"/>
    <w:rsid w:val="00013BFD"/>
    <w:rsid w:val="00013C42"/>
    <w:rsid w:val="00014938"/>
    <w:rsid w:val="00014D67"/>
    <w:rsid w:val="00016A94"/>
    <w:rsid w:val="00021FCC"/>
    <w:rsid w:val="00024F34"/>
    <w:rsid w:val="0002546A"/>
    <w:rsid w:val="00032CBF"/>
    <w:rsid w:val="00034F12"/>
    <w:rsid w:val="000351D5"/>
    <w:rsid w:val="0004205E"/>
    <w:rsid w:val="00047A6E"/>
    <w:rsid w:val="00050524"/>
    <w:rsid w:val="00066463"/>
    <w:rsid w:val="0007636F"/>
    <w:rsid w:val="00081CEE"/>
    <w:rsid w:val="00084B49"/>
    <w:rsid w:val="00086B16"/>
    <w:rsid w:val="00092C0A"/>
    <w:rsid w:val="00094D9F"/>
    <w:rsid w:val="000A35DA"/>
    <w:rsid w:val="000A3E34"/>
    <w:rsid w:val="000B30A6"/>
    <w:rsid w:val="000B39C5"/>
    <w:rsid w:val="000B50F1"/>
    <w:rsid w:val="000B6E61"/>
    <w:rsid w:val="000C41BE"/>
    <w:rsid w:val="000C614C"/>
    <w:rsid w:val="000C6C52"/>
    <w:rsid w:val="000D1904"/>
    <w:rsid w:val="000D2DA8"/>
    <w:rsid w:val="000D512E"/>
    <w:rsid w:val="000E0152"/>
    <w:rsid w:val="000E370D"/>
    <w:rsid w:val="000E65A4"/>
    <w:rsid w:val="00105533"/>
    <w:rsid w:val="001072FB"/>
    <w:rsid w:val="0010755B"/>
    <w:rsid w:val="00112EF1"/>
    <w:rsid w:val="00116659"/>
    <w:rsid w:val="001175AA"/>
    <w:rsid w:val="00125A3A"/>
    <w:rsid w:val="00126916"/>
    <w:rsid w:val="00126980"/>
    <w:rsid w:val="001303DD"/>
    <w:rsid w:val="001348DA"/>
    <w:rsid w:val="001365B5"/>
    <w:rsid w:val="00136CD0"/>
    <w:rsid w:val="0013737F"/>
    <w:rsid w:val="00142BF2"/>
    <w:rsid w:val="001447C1"/>
    <w:rsid w:val="00145BCA"/>
    <w:rsid w:val="0015216F"/>
    <w:rsid w:val="00153523"/>
    <w:rsid w:val="00157729"/>
    <w:rsid w:val="00164587"/>
    <w:rsid w:val="001665A3"/>
    <w:rsid w:val="00173095"/>
    <w:rsid w:val="001743EF"/>
    <w:rsid w:val="00174A31"/>
    <w:rsid w:val="00177232"/>
    <w:rsid w:val="00187186"/>
    <w:rsid w:val="00187DBE"/>
    <w:rsid w:val="001978EB"/>
    <w:rsid w:val="001A2AF1"/>
    <w:rsid w:val="001A5BD1"/>
    <w:rsid w:val="001C013E"/>
    <w:rsid w:val="001C0778"/>
    <w:rsid w:val="001D1743"/>
    <w:rsid w:val="001D17CF"/>
    <w:rsid w:val="001E2543"/>
    <w:rsid w:val="001E3669"/>
    <w:rsid w:val="001E52D2"/>
    <w:rsid w:val="001E6C60"/>
    <w:rsid w:val="001F238A"/>
    <w:rsid w:val="001F7835"/>
    <w:rsid w:val="002171A2"/>
    <w:rsid w:val="002177BF"/>
    <w:rsid w:val="00217BF5"/>
    <w:rsid w:val="00217E6D"/>
    <w:rsid w:val="002217D1"/>
    <w:rsid w:val="00225E2F"/>
    <w:rsid w:val="002264B8"/>
    <w:rsid w:val="00235361"/>
    <w:rsid w:val="00236F62"/>
    <w:rsid w:val="00237D76"/>
    <w:rsid w:val="00251FCE"/>
    <w:rsid w:val="00252F13"/>
    <w:rsid w:val="00254313"/>
    <w:rsid w:val="0026513E"/>
    <w:rsid w:val="002729A5"/>
    <w:rsid w:val="00283FF5"/>
    <w:rsid w:val="002862C1"/>
    <w:rsid w:val="00286449"/>
    <w:rsid w:val="00287EC3"/>
    <w:rsid w:val="00293F29"/>
    <w:rsid w:val="002941D1"/>
    <w:rsid w:val="002A18A5"/>
    <w:rsid w:val="002A1FA0"/>
    <w:rsid w:val="002A2A12"/>
    <w:rsid w:val="002C0596"/>
    <w:rsid w:val="002C05D0"/>
    <w:rsid w:val="002C6429"/>
    <w:rsid w:val="002D096D"/>
    <w:rsid w:val="002D11FE"/>
    <w:rsid w:val="002D2CB2"/>
    <w:rsid w:val="002D35EC"/>
    <w:rsid w:val="002D3FE3"/>
    <w:rsid w:val="002D5E8B"/>
    <w:rsid w:val="002E38DA"/>
    <w:rsid w:val="002E4A97"/>
    <w:rsid w:val="002E71C4"/>
    <w:rsid w:val="002F226A"/>
    <w:rsid w:val="00301DC2"/>
    <w:rsid w:val="00311031"/>
    <w:rsid w:val="003227FD"/>
    <w:rsid w:val="00325A55"/>
    <w:rsid w:val="003343DB"/>
    <w:rsid w:val="00336655"/>
    <w:rsid w:val="00342B3C"/>
    <w:rsid w:val="00346554"/>
    <w:rsid w:val="003503EB"/>
    <w:rsid w:val="00350767"/>
    <w:rsid w:val="00350E4B"/>
    <w:rsid w:val="00351028"/>
    <w:rsid w:val="003533A1"/>
    <w:rsid w:val="003650D5"/>
    <w:rsid w:val="003651DE"/>
    <w:rsid w:val="00366F75"/>
    <w:rsid w:val="00367CB8"/>
    <w:rsid w:val="003711C0"/>
    <w:rsid w:val="00373197"/>
    <w:rsid w:val="00373730"/>
    <w:rsid w:val="00375BFA"/>
    <w:rsid w:val="003818A1"/>
    <w:rsid w:val="0038390A"/>
    <w:rsid w:val="003A0BBF"/>
    <w:rsid w:val="003A3C08"/>
    <w:rsid w:val="003A6449"/>
    <w:rsid w:val="003A73D2"/>
    <w:rsid w:val="003B3F46"/>
    <w:rsid w:val="003B4DDE"/>
    <w:rsid w:val="003B625C"/>
    <w:rsid w:val="003C0C28"/>
    <w:rsid w:val="003C0F32"/>
    <w:rsid w:val="003C6CAC"/>
    <w:rsid w:val="003C729F"/>
    <w:rsid w:val="003C7339"/>
    <w:rsid w:val="003D3516"/>
    <w:rsid w:val="003E1394"/>
    <w:rsid w:val="003E582F"/>
    <w:rsid w:val="003E776C"/>
    <w:rsid w:val="00401B59"/>
    <w:rsid w:val="00405CE5"/>
    <w:rsid w:val="0041000C"/>
    <w:rsid w:val="0041604F"/>
    <w:rsid w:val="00422FB9"/>
    <w:rsid w:val="00427DD9"/>
    <w:rsid w:val="0043050E"/>
    <w:rsid w:val="004317DB"/>
    <w:rsid w:val="00432C5C"/>
    <w:rsid w:val="00437C19"/>
    <w:rsid w:val="00461D1F"/>
    <w:rsid w:val="0046422D"/>
    <w:rsid w:val="00470148"/>
    <w:rsid w:val="00470526"/>
    <w:rsid w:val="004848A4"/>
    <w:rsid w:val="004874D7"/>
    <w:rsid w:val="00487FF4"/>
    <w:rsid w:val="004965F6"/>
    <w:rsid w:val="004A0755"/>
    <w:rsid w:val="004A6BE3"/>
    <w:rsid w:val="004B078F"/>
    <w:rsid w:val="004B7E31"/>
    <w:rsid w:val="004C4371"/>
    <w:rsid w:val="004C7D38"/>
    <w:rsid w:val="004D0D86"/>
    <w:rsid w:val="004D10C6"/>
    <w:rsid w:val="004D2643"/>
    <w:rsid w:val="004D294E"/>
    <w:rsid w:val="004D3D03"/>
    <w:rsid w:val="004D4586"/>
    <w:rsid w:val="004D6329"/>
    <w:rsid w:val="004E034B"/>
    <w:rsid w:val="004E06CC"/>
    <w:rsid w:val="004E17FC"/>
    <w:rsid w:val="004E274E"/>
    <w:rsid w:val="004E517F"/>
    <w:rsid w:val="004F778E"/>
    <w:rsid w:val="004F7A38"/>
    <w:rsid w:val="0050148F"/>
    <w:rsid w:val="00502F91"/>
    <w:rsid w:val="00520AAA"/>
    <w:rsid w:val="00520B2A"/>
    <w:rsid w:val="005338E4"/>
    <w:rsid w:val="00537C16"/>
    <w:rsid w:val="0054286C"/>
    <w:rsid w:val="00543E5A"/>
    <w:rsid w:val="00545A32"/>
    <w:rsid w:val="0054645F"/>
    <w:rsid w:val="005616ED"/>
    <w:rsid w:val="005629D0"/>
    <w:rsid w:val="00564A4E"/>
    <w:rsid w:val="00571B28"/>
    <w:rsid w:val="00576C76"/>
    <w:rsid w:val="005815B6"/>
    <w:rsid w:val="00584E85"/>
    <w:rsid w:val="005871DA"/>
    <w:rsid w:val="00587695"/>
    <w:rsid w:val="0059054D"/>
    <w:rsid w:val="0059316B"/>
    <w:rsid w:val="005949A8"/>
    <w:rsid w:val="005A077D"/>
    <w:rsid w:val="005A4320"/>
    <w:rsid w:val="005A498D"/>
    <w:rsid w:val="005C19CA"/>
    <w:rsid w:val="005C3F5F"/>
    <w:rsid w:val="005C4522"/>
    <w:rsid w:val="005D49BF"/>
    <w:rsid w:val="005F30C3"/>
    <w:rsid w:val="005F7863"/>
    <w:rsid w:val="0060353B"/>
    <w:rsid w:val="006041A4"/>
    <w:rsid w:val="006063A6"/>
    <w:rsid w:val="00620876"/>
    <w:rsid w:val="00624FD0"/>
    <w:rsid w:val="0063096B"/>
    <w:rsid w:val="00630C5E"/>
    <w:rsid w:val="006315B4"/>
    <w:rsid w:val="00635AC3"/>
    <w:rsid w:val="00636FFB"/>
    <w:rsid w:val="00654CCF"/>
    <w:rsid w:val="00665F82"/>
    <w:rsid w:val="0067186C"/>
    <w:rsid w:val="00671E11"/>
    <w:rsid w:val="006779DA"/>
    <w:rsid w:val="00687EB3"/>
    <w:rsid w:val="00692980"/>
    <w:rsid w:val="00692F01"/>
    <w:rsid w:val="00693246"/>
    <w:rsid w:val="0069506F"/>
    <w:rsid w:val="00696582"/>
    <w:rsid w:val="006A1DBB"/>
    <w:rsid w:val="006B4E40"/>
    <w:rsid w:val="006B7422"/>
    <w:rsid w:val="006C103A"/>
    <w:rsid w:val="006C4E6A"/>
    <w:rsid w:val="006C50E8"/>
    <w:rsid w:val="006D464D"/>
    <w:rsid w:val="006E6F11"/>
    <w:rsid w:val="006F0B6B"/>
    <w:rsid w:val="006F144D"/>
    <w:rsid w:val="006F461B"/>
    <w:rsid w:val="006F622C"/>
    <w:rsid w:val="00700FF6"/>
    <w:rsid w:val="00704D44"/>
    <w:rsid w:val="00715A68"/>
    <w:rsid w:val="00715DD5"/>
    <w:rsid w:val="00715ECF"/>
    <w:rsid w:val="00716282"/>
    <w:rsid w:val="00717A04"/>
    <w:rsid w:val="00717BFE"/>
    <w:rsid w:val="007208C5"/>
    <w:rsid w:val="00725BB4"/>
    <w:rsid w:val="0073180A"/>
    <w:rsid w:val="00732997"/>
    <w:rsid w:val="007336C3"/>
    <w:rsid w:val="00735033"/>
    <w:rsid w:val="00756485"/>
    <w:rsid w:val="0075705D"/>
    <w:rsid w:val="007626E1"/>
    <w:rsid w:val="00767F65"/>
    <w:rsid w:val="00770D6C"/>
    <w:rsid w:val="00783515"/>
    <w:rsid w:val="00787C94"/>
    <w:rsid w:val="00791BCB"/>
    <w:rsid w:val="007921BD"/>
    <w:rsid w:val="00793683"/>
    <w:rsid w:val="00793A02"/>
    <w:rsid w:val="00795C6B"/>
    <w:rsid w:val="007A1566"/>
    <w:rsid w:val="007A370E"/>
    <w:rsid w:val="007A3995"/>
    <w:rsid w:val="007A5AC5"/>
    <w:rsid w:val="007B622D"/>
    <w:rsid w:val="007C3498"/>
    <w:rsid w:val="007C4288"/>
    <w:rsid w:val="007C484E"/>
    <w:rsid w:val="007C5F57"/>
    <w:rsid w:val="007D331A"/>
    <w:rsid w:val="007D4853"/>
    <w:rsid w:val="007D57C4"/>
    <w:rsid w:val="007E0429"/>
    <w:rsid w:val="007E41DE"/>
    <w:rsid w:val="007E4CE3"/>
    <w:rsid w:val="007F2B1F"/>
    <w:rsid w:val="00802F7A"/>
    <w:rsid w:val="00806A1C"/>
    <w:rsid w:val="0080773A"/>
    <w:rsid w:val="00815575"/>
    <w:rsid w:val="008173F3"/>
    <w:rsid w:val="0082092A"/>
    <w:rsid w:val="0082117C"/>
    <w:rsid w:val="00822703"/>
    <w:rsid w:val="0082274D"/>
    <w:rsid w:val="008227E9"/>
    <w:rsid w:val="008252C5"/>
    <w:rsid w:val="00831860"/>
    <w:rsid w:val="00832F2D"/>
    <w:rsid w:val="00836C6A"/>
    <w:rsid w:val="00841C9F"/>
    <w:rsid w:val="0084294E"/>
    <w:rsid w:val="00843EFF"/>
    <w:rsid w:val="008442A5"/>
    <w:rsid w:val="008477A9"/>
    <w:rsid w:val="0085416A"/>
    <w:rsid w:val="00856B0F"/>
    <w:rsid w:val="0087186A"/>
    <w:rsid w:val="00872BED"/>
    <w:rsid w:val="00872C56"/>
    <w:rsid w:val="00874F67"/>
    <w:rsid w:val="00876AC2"/>
    <w:rsid w:val="00883F43"/>
    <w:rsid w:val="00884C98"/>
    <w:rsid w:val="00884CE2"/>
    <w:rsid w:val="00885E7D"/>
    <w:rsid w:val="0089363F"/>
    <w:rsid w:val="00894D05"/>
    <w:rsid w:val="00896ED8"/>
    <w:rsid w:val="008A209D"/>
    <w:rsid w:val="008A2436"/>
    <w:rsid w:val="008A4E8C"/>
    <w:rsid w:val="008A563D"/>
    <w:rsid w:val="008B1443"/>
    <w:rsid w:val="008B3B0A"/>
    <w:rsid w:val="008C2BA0"/>
    <w:rsid w:val="008C69F2"/>
    <w:rsid w:val="008C703D"/>
    <w:rsid w:val="008D1D44"/>
    <w:rsid w:val="008D3E6C"/>
    <w:rsid w:val="008D7E61"/>
    <w:rsid w:val="008E04EC"/>
    <w:rsid w:val="008E43F4"/>
    <w:rsid w:val="008F1C75"/>
    <w:rsid w:val="008F3936"/>
    <w:rsid w:val="008F42F6"/>
    <w:rsid w:val="008F5282"/>
    <w:rsid w:val="00900091"/>
    <w:rsid w:val="0090223D"/>
    <w:rsid w:val="00912BAC"/>
    <w:rsid w:val="00925058"/>
    <w:rsid w:val="00926CDB"/>
    <w:rsid w:val="00930113"/>
    <w:rsid w:val="009356EC"/>
    <w:rsid w:val="00937FB2"/>
    <w:rsid w:val="0094114F"/>
    <w:rsid w:val="0095690D"/>
    <w:rsid w:val="009609C5"/>
    <w:rsid w:val="00965B1A"/>
    <w:rsid w:val="00971B57"/>
    <w:rsid w:val="00974CE6"/>
    <w:rsid w:val="00976933"/>
    <w:rsid w:val="00981893"/>
    <w:rsid w:val="00984974"/>
    <w:rsid w:val="00986438"/>
    <w:rsid w:val="00987DBF"/>
    <w:rsid w:val="009970F9"/>
    <w:rsid w:val="009A0D3A"/>
    <w:rsid w:val="009A5590"/>
    <w:rsid w:val="009C3837"/>
    <w:rsid w:val="009C44BD"/>
    <w:rsid w:val="009C537F"/>
    <w:rsid w:val="009D0585"/>
    <w:rsid w:val="009D2BB3"/>
    <w:rsid w:val="009E0846"/>
    <w:rsid w:val="009E1EF4"/>
    <w:rsid w:val="009E1F32"/>
    <w:rsid w:val="009E4BD5"/>
    <w:rsid w:val="009F1BE0"/>
    <w:rsid w:val="009F5C4A"/>
    <w:rsid w:val="009F7CED"/>
    <w:rsid w:val="00A04569"/>
    <w:rsid w:val="00A0736A"/>
    <w:rsid w:val="00A07DE7"/>
    <w:rsid w:val="00A120D6"/>
    <w:rsid w:val="00A1301A"/>
    <w:rsid w:val="00A14C37"/>
    <w:rsid w:val="00A161B9"/>
    <w:rsid w:val="00A219D7"/>
    <w:rsid w:val="00A23998"/>
    <w:rsid w:val="00A2785C"/>
    <w:rsid w:val="00A33DCF"/>
    <w:rsid w:val="00A377FE"/>
    <w:rsid w:val="00A4128C"/>
    <w:rsid w:val="00A41AEF"/>
    <w:rsid w:val="00A447B3"/>
    <w:rsid w:val="00A47862"/>
    <w:rsid w:val="00A500DD"/>
    <w:rsid w:val="00A52C3F"/>
    <w:rsid w:val="00A5470F"/>
    <w:rsid w:val="00A55DB6"/>
    <w:rsid w:val="00A61784"/>
    <w:rsid w:val="00A64120"/>
    <w:rsid w:val="00A72973"/>
    <w:rsid w:val="00A74AFD"/>
    <w:rsid w:val="00A80613"/>
    <w:rsid w:val="00A83A98"/>
    <w:rsid w:val="00A85AEA"/>
    <w:rsid w:val="00A94019"/>
    <w:rsid w:val="00AA28E8"/>
    <w:rsid w:val="00AB0708"/>
    <w:rsid w:val="00AB0C45"/>
    <w:rsid w:val="00AB6652"/>
    <w:rsid w:val="00AC1AF8"/>
    <w:rsid w:val="00AC447D"/>
    <w:rsid w:val="00AC52B0"/>
    <w:rsid w:val="00AD5446"/>
    <w:rsid w:val="00AD623F"/>
    <w:rsid w:val="00AE03F3"/>
    <w:rsid w:val="00AE5805"/>
    <w:rsid w:val="00AF569A"/>
    <w:rsid w:val="00AF5E71"/>
    <w:rsid w:val="00B13AE3"/>
    <w:rsid w:val="00B237AC"/>
    <w:rsid w:val="00B25550"/>
    <w:rsid w:val="00B30DCD"/>
    <w:rsid w:val="00B377D3"/>
    <w:rsid w:val="00B4178F"/>
    <w:rsid w:val="00B4216E"/>
    <w:rsid w:val="00B427B2"/>
    <w:rsid w:val="00B448DC"/>
    <w:rsid w:val="00B463AC"/>
    <w:rsid w:val="00B51095"/>
    <w:rsid w:val="00B6123C"/>
    <w:rsid w:val="00B6148A"/>
    <w:rsid w:val="00B61CA6"/>
    <w:rsid w:val="00B64F0F"/>
    <w:rsid w:val="00B65F1B"/>
    <w:rsid w:val="00B66D03"/>
    <w:rsid w:val="00B7000F"/>
    <w:rsid w:val="00B71913"/>
    <w:rsid w:val="00B729FC"/>
    <w:rsid w:val="00B73EC6"/>
    <w:rsid w:val="00B766E4"/>
    <w:rsid w:val="00B8326D"/>
    <w:rsid w:val="00B84AF8"/>
    <w:rsid w:val="00B937B6"/>
    <w:rsid w:val="00B9401D"/>
    <w:rsid w:val="00BA450F"/>
    <w:rsid w:val="00BB2062"/>
    <w:rsid w:val="00BB545F"/>
    <w:rsid w:val="00BD4B65"/>
    <w:rsid w:val="00BE280C"/>
    <w:rsid w:val="00BF054E"/>
    <w:rsid w:val="00BF0DB9"/>
    <w:rsid w:val="00C12B93"/>
    <w:rsid w:val="00C134C3"/>
    <w:rsid w:val="00C26C14"/>
    <w:rsid w:val="00C27D76"/>
    <w:rsid w:val="00C31D59"/>
    <w:rsid w:val="00C36892"/>
    <w:rsid w:val="00C4009A"/>
    <w:rsid w:val="00C401C2"/>
    <w:rsid w:val="00C43BD2"/>
    <w:rsid w:val="00C46330"/>
    <w:rsid w:val="00C47F73"/>
    <w:rsid w:val="00C52E86"/>
    <w:rsid w:val="00C6077B"/>
    <w:rsid w:val="00C61441"/>
    <w:rsid w:val="00C7294E"/>
    <w:rsid w:val="00C7789B"/>
    <w:rsid w:val="00C91F90"/>
    <w:rsid w:val="00CA57DF"/>
    <w:rsid w:val="00CA6553"/>
    <w:rsid w:val="00CB0063"/>
    <w:rsid w:val="00CB4D37"/>
    <w:rsid w:val="00CB66F7"/>
    <w:rsid w:val="00CC0C62"/>
    <w:rsid w:val="00CC259C"/>
    <w:rsid w:val="00CC42D1"/>
    <w:rsid w:val="00CC5B3E"/>
    <w:rsid w:val="00CE1A87"/>
    <w:rsid w:val="00CF25EF"/>
    <w:rsid w:val="00CF713E"/>
    <w:rsid w:val="00D04A96"/>
    <w:rsid w:val="00D05B67"/>
    <w:rsid w:val="00D05D52"/>
    <w:rsid w:val="00D24980"/>
    <w:rsid w:val="00D26D53"/>
    <w:rsid w:val="00D31F43"/>
    <w:rsid w:val="00D40E59"/>
    <w:rsid w:val="00D415E6"/>
    <w:rsid w:val="00D4307D"/>
    <w:rsid w:val="00D444C5"/>
    <w:rsid w:val="00D4684C"/>
    <w:rsid w:val="00D530DC"/>
    <w:rsid w:val="00D6199F"/>
    <w:rsid w:val="00D62023"/>
    <w:rsid w:val="00D63E05"/>
    <w:rsid w:val="00D65397"/>
    <w:rsid w:val="00D7070F"/>
    <w:rsid w:val="00D709DD"/>
    <w:rsid w:val="00D8294A"/>
    <w:rsid w:val="00D83F98"/>
    <w:rsid w:val="00D84A75"/>
    <w:rsid w:val="00D85F90"/>
    <w:rsid w:val="00D90649"/>
    <w:rsid w:val="00D91E89"/>
    <w:rsid w:val="00D9213D"/>
    <w:rsid w:val="00D965B1"/>
    <w:rsid w:val="00D96D32"/>
    <w:rsid w:val="00D97DF9"/>
    <w:rsid w:val="00D97F1C"/>
    <w:rsid w:val="00DA6526"/>
    <w:rsid w:val="00DA6C54"/>
    <w:rsid w:val="00DC54A3"/>
    <w:rsid w:val="00DD181C"/>
    <w:rsid w:val="00DD181D"/>
    <w:rsid w:val="00DD2F2C"/>
    <w:rsid w:val="00DD48D9"/>
    <w:rsid w:val="00DE05A2"/>
    <w:rsid w:val="00DE1540"/>
    <w:rsid w:val="00DE520C"/>
    <w:rsid w:val="00DE7239"/>
    <w:rsid w:val="00DF1E66"/>
    <w:rsid w:val="00DF60FD"/>
    <w:rsid w:val="00DF6410"/>
    <w:rsid w:val="00E007F7"/>
    <w:rsid w:val="00E00B6E"/>
    <w:rsid w:val="00E0174F"/>
    <w:rsid w:val="00E05F18"/>
    <w:rsid w:val="00E06A27"/>
    <w:rsid w:val="00E11F62"/>
    <w:rsid w:val="00E12202"/>
    <w:rsid w:val="00E135E3"/>
    <w:rsid w:val="00E20331"/>
    <w:rsid w:val="00E242C5"/>
    <w:rsid w:val="00E24673"/>
    <w:rsid w:val="00E24F26"/>
    <w:rsid w:val="00E261B4"/>
    <w:rsid w:val="00E31E85"/>
    <w:rsid w:val="00E407FF"/>
    <w:rsid w:val="00E40C34"/>
    <w:rsid w:val="00E41E2C"/>
    <w:rsid w:val="00E44207"/>
    <w:rsid w:val="00E66C57"/>
    <w:rsid w:val="00E66D00"/>
    <w:rsid w:val="00E7224C"/>
    <w:rsid w:val="00E729F2"/>
    <w:rsid w:val="00E75DBD"/>
    <w:rsid w:val="00E805D3"/>
    <w:rsid w:val="00E80826"/>
    <w:rsid w:val="00E84DA1"/>
    <w:rsid w:val="00E91332"/>
    <w:rsid w:val="00EA3045"/>
    <w:rsid w:val="00EC1DE8"/>
    <w:rsid w:val="00EC35AE"/>
    <w:rsid w:val="00ED3974"/>
    <w:rsid w:val="00ED4708"/>
    <w:rsid w:val="00ED774D"/>
    <w:rsid w:val="00EE0D69"/>
    <w:rsid w:val="00EE0F26"/>
    <w:rsid w:val="00EE2ABB"/>
    <w:rsid w:val="00EF192B"/>
    <w:rsid w:val="00F06B8A"/>
    <w:rsid w:val="00F078D0"/>
    <w:rsid w:val="00F07A7D"/>
    <w:rsid w:val="00F153C1"/>
    <w:rsid w:val="00F16839"/>
    <w:rsid w:val="00F211E7"/>
    <w:rsid w:val="00F21D37"/>
    <w:rsid w:val="00F221F0"/>
    <w:rsid w:val="00F26136"/>
    <w:rsid w:val="00F2713B"/>
    <w:rsid w:val="00F305D8"/>
    <w:rsid w:val="00F37106"/>
    <w:rsid w:val="00F44A2E"/>
    <w:rsid w:val="00F47D57"/>
    <w:rsid w:val="00F55DC4"/>
    <w:rsid w:val="00F576B3"/>
    <w:rsid w:val="00F64A17"/>
    <w:rsid w:val="00F741AF"/>
    <w:rsid w:val="00F745E1"/>
    <w:rsid w:val="00F75A79"/>
    <w:rsid w:val="00F7620E"/>
    <w:rsid w:val="00F775AD"/>
    <w:rsid w:val="00F77DB8"/>
    <w:rsid w:val="00F80E07"/>
    <w:rsid w:val="00F87559"/>
    <w:rsid w:val="00F90326"/>
    <w:rsid w:val="00F90F86"/>
    <w:rsid w:val="00F92DF0"/>
    <w:rsid w:val="00FA0454"/>
    <w:rsid w:val="00FA0B35"/>
    <w:rsid w:val="00FA4A9E"/>
    <w:rsid w:val="00FA7D61"/>
    <w:rsid w:val="00FB1248"/>
    <w:rsid w:val="00FB1453"/>
    <w:rsid w:val="00FB217D"/>
    <w:rsid w:val="00FB29CC"/>
    <w:rsid w:val="00FC0522"/>
    <w:rsid w:val="00FC2DE3"/>
    <w:rsid w:val="00FD3D04"/>
    <w:rsid w:val="00FD47DC"/>
    <w:rsid w:val="00FD49A0"/>
    <w:rsid w:val="00FE27DE"/>
    <w:rsid w:val="00FE2D84"/>
    <w:rsid w:val="00FF66CA"/>
    <w:rsid w:val="6196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7122209"/>
  <w15:chartTrackingRefBased/>
  <w15:docId w15:val="{FF1FCC6D-72EB-48F4-832D-F09F4AAE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E2D84"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b/>
      <w:color w:val="000080"/>
      <w:spacing w:val="-8"/>
      <w:kern w:val="28"/>
      <w:sz w:val="28"/>
      <w:lang w:val="es-CO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ind w:right="902"/>
      <w:textAlignment w:val="baseline"/>
    </w:pPr>
    <w:rPr>
      <w:rFonts w:ascii="Verdana" w:hAnsi="Verdana"/>
      <w:sz w:val="18"/>
      <w:lang w:val="es-CO"/>
    </w:rPr>
  </w:style>
  <w:style w:type="paragraph" w:styleId="Sangra3detindependiente">
    <w:name w:val="Body Text Indent 3"/>
    <w:basedOn w:val="Normal"/>
    <w:pPr>
      <w:overflowPunct w:val="0"/>
      <w:autoSpaceDE w:val="0"/>
      <w:autoSpaceDN w:val="0"/>
      <w:adjustRightInd w:val="0"/>
      <w:ind w:left="709" w:hanging="349"/>
      <w:jc w:val="both"/>
      <w:textAlignment w:val="baseline"/>
    </w:pPr>
    <w:rPr>
      <w:rFonts w:ascii="Tahoma" w:hAnsi="Tahoma" w:cs="Tahoma"/>
      <w:bCs/>
      <w:sz w:val="22"/>
      <w:lang w:val="es-CO"/>
    </w:rPr>
  </w:style>
  <w:style w:type="paragraph" w:styleId="Textoindependiente">
    <w:name w:val="Body Text"/>
    <w:basedOn w:val="Normal"/>
    <w:pPr>
      <w:jc w:val="both"/>
    </w:pPr>
    <w:rPr>
      <w:rFonts w:ascii="Tahoma" w:hAnsi="Tahoma" w:cs="Tahoma"/>
      <w:iCs/>
      <w:sz w:val="18"/>
    </w:rPr>
  </w:style>
  <w:style w:type="paragraph" w:customStyle="1" w:styleId="Textoindependiente31">
    <w:name w:val="Texto independiente 31"/>
    <w:basedOn w:val="Normal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 w:val="24"/>
      <w:lang w:val="es-CO"/>
    </w:rPr>
  </w:style>
  <w:style w:type="character" w:customStyle="1" w:styleId="InitialStyle">
    <w:name w:val="InitialStyle"/>
    <w:rPr>
      <w:rFonts w:ascii="Courier New" w:hAnsi="Courier New"/>
      <w:color w:val="auto"/>
      <w:spacing w:val="0"/>
      <w:sz w:val="28"/>
    </w:rPr>
  </w:style>
  <w:style w:type="paragraph" w:styleId="Textoindependiente2">
    <w:name w:val="Body Text 2"/>
    <w:basedOn w:val="Normal"/>
    <w:rsid w:val="003227FD"/>
    <w:pPr>
      <w:spacing w:after="120" w:line="480" w:lineRule="auto"/>
    </w:pPr>
  </w:style>
  <w:style w:type="paragraph" w:styleId="Encabezado">
    <w:name w:val="header"/>
    <w:basedOn w:val="Normal"/>
    <w:rsid w:val="00A2785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278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0773A"/>
  </w:style>
  <w:style w:type="paragraph" w:styleId="NormalWeb">
    <w:name w:val="Normal (Web)"/>
    <w:basedOn w:val="Normal"/>
    <w:uiPriority w:val="99"/>
    <w:rsid w:val="00BA450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Refdecomentario">
    <w:name w:val="annotation reference"/>
    <w:semiHidden/>
    <w:rsid w:val="00885E7D"/>
    <w:rPr>
      <w:sz w:val="16"/>
      <w:szCs w:val="16"/>
    </w:rPr>
  </w:style>
  <w:style w:type="paragraph" w:styleId="Textocomentario">
    <w:name w:val="annotation text"/>
    <w:basedOn w:val="Normal"/>
    <w:semiHidden/>
    <w:rsid w:val="00885E7D"/>
  </w:style>
  <w:style w:type="paragraph" w:styleId="Asuntodelcomentario">
    <w:name w:val="annotation subject"/>
    <w:basedOn w:val="Textocomentario"/>
    <w:next w:val="Textocomentario"/>
    <w:semiHidden/>
    <w:rsid w:val="00885E7D"/>
    <w:rPr>
      <w:b/>
      <w:bCs/>
    </w:rPr>
  </w:style>
  <w:style w:type="paragraph" w:styleId="Textodeglobo">
    <w:name w:val="Balloon Text"/>
    <w:basedOn w:val="Normal"/>
    <w:semiHidden/>
    <w:rsid w:val="00885E7D"/>
    <w:rPr>
      <w:rFonts w:ascii="Tahoma" w:hAnsi="Tahoma" w:cs="Tahoma"/>
      <w:sz w:val="16"/>
      <w:szCs w:val="16"/>
    </w:rPr>
  </w:style>
  <w:style w:type="paragraph" w:customStyle="1" w:styleId="Listavistosa-nfasis11">
    <w:name w:val="Lista vistosa - Énfasis 11"/>
    <w:aliases w:val="Normal. Viñetas"/>
    <w:basedOn w:val="Normal"/>
    <w:link w:val="Listavistosa-nfasis1Car"/>
    <w:uiPriority w:val="34"/>
    <w:qFormat/>
    <w:rsid w:val="009C537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O" w:eastAsia="es-CO"/>
    </w:rPr>
  </w:style>
  <w:style w:type="paragraph" w:customStyle="1" w:styleId="Default">
    <w:name w:val="Default"/>
    <w:rsid w:val="00DF1E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uerpo">
    <w:name w:val="Cuerpo"/>
    <w:rsid w:val="00DF1E6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PiedepginaCar">
    <w:name w:val="Pie de página Car"/>
    <w:link w:val="Piedepgina"/>
    <w:uiPriority w:val="99"/>
    <w:rsid w:val="00B4178F"/>
    <w:rPr>
      <w:rFonts w:ascii="Arial" w:hAnsi="Arial"/>
      <w:lang w:val="es-ES" w:eastAsia="es-ES"/>
    </w:rPr>
  </w:style>
  <w:style w:type="paragraph" w:customStyle="1" w:styleId="xmsonormal">
    <w:name w:val="x_msonormal"/>
    <w:basedOn w:val="Normal"/>
    <w:rsid w:val="00715DD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paragraph" w:customStyle="1" w:styleId="xmsolistparagraph">
    <w:name w:val="x_msolistparagraph"/>
    <w:basedOn w:val="Normal"/>
    <w:rsid w:val="00715DD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715DD5"/>
  </w:style>
  <w:style w:type="paragraph" w:customStyle="1" w:styleId="xcuerpo">
    <w:name w:val="x_cuerpo"/>
    <w:basedOn w:val="Normal"/>
    <w:rsid w:val="00715DD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paragraph" w:styleId="Textonotapie">
    <w:name w:val="footnote text"/>
    <w:basedOn w:val="Normal"/>
    <w:link w:val="TextonotapieCar"/>
    <w:uiPriority w:val="99"/>
    <w:rsid w:val="00925058"/>
    <w:rPr>
      <w:rFonts w:ascii="Times" w:eastAsia="Times" w:hAnsi="Times"/>
      <w:lang w:val="en-US"/>
    </w:rPr>
  </w:style>
  <w:style w:type="character" w:customStyle="1" w:styleId="TextonotapieCar">
    <w:name w:val="Texto nota pie Car"/>
    <w:link w:val="Textonotapie"/>
    <w:uiPriority w:val="99"/>
    <w:rsid w:val="00925058"/>
    <w:rPr>
      <w:rFonts w:ascii="Times" w:eastAsia="Times" w:hAnsi="Times"/>
      <w:lang w:val="en-US" w:eastAsia="es-ES"/>
    </w:rPr>
  </w:style>
  <w:style w:type="character" w:styleId="Refdenotaalpie">
    <w:name w:val="footnote reference"/>
    <w:uiPriority w:val="99"/>
    <w:rsid w:val="00925058"/>
    <w:rPr>
      <w:vertAlign w:val="superscript"/>
    </w:rPr>
  </w:style>
  <w:style w:type="paragraph" w:customStyle="1" w:styleId="Cuadrculamedia21">
    <w:name w:val="Cuadrícula media 21"/>
    <w:qFormat/>
    <w:rsid w:val="00236F62"/>
    <w:rPr>
      <w:rFonts w:ascii="Calibri" w:eastAsia="Calibri" w:hAnsi="Calibri"/>
      <w:sz w:val="22"/>
      <w:szCs w:val="22"/>
      <w:lang w:eastAsia="en-US"/>
    </w:rPr>
  </w:style>
  <w:style w:type="character" w:styleId="Textoennegrita">
    <w:name w:val="Strong"/>
    <w:uiPriority w:val="22"/>
    <w:qFormat/>
    <w:rsid w:val="002D2CB2"/>
    <w:rPr>
      <w:b/>
      <w:bCs/>
    </w:rPr>
  </w:style>
  <w:style w:type="paragraph" w:styleId="Ttulo">
    <w:name w:val="Title"/>
    <w:basedOn w:val="Normal"/>
    <w:link w:val="TtuloCar"/>
    <w:qFormat/>
    <w:rsid w:val="00AE03F3"/>
    <w:pPr>
      <w:jc w:val="center"/>
    </w:pPr>
    <w:rPr>
      <w:rFonts w:cs="Arial"/>
      <w:b/>
      <w:bCs/>
      <w:sz w:val="32"/>
      <w:szCs w:val="24"/>
    </w:rPr>
  </w:style>
  <w:style w:type="character" w:customStyle="1" w:styleId="TtuloCar">
    <w:name w:val="Título Car"/>
    <w:link w:val="Ttulo"/>
    <w:rsid w:val="00AE03F3"/>
    <w:rPr>
      <w:rFonts w:ascii="Arial" w:hAnsi="Arial" w:cs="Arial"/>
      <w:b/>
      <w:bCs/>
      <w:sz w:val="32"/>
      <w:szCs w:val="24"/>
      <w:lang w:val="es-ES" w:eastAsia="es-ES"/>
    </w:rPr>
  </w:style>
  <w:style w:type="character" w:customStyle="1" w:styleId="Listavistosa-nfasis1Car">
    <w:name w:val="Lista vistosa - Énfasis 1 Car"/>
    <w:aliases w:val="Normal. Viñetas Car"/>
    <w:link w:val="Listavistosa-nfasis11"/>
    <w:uiPriority w:val="34"/>
    <w:locked/>
    <w:rsid w:val="005629D0"/>
    <w:rPr>
      <w:rFonts w:ascii="Calibri" w:hAnsi="Calibri"/>
      <w:sz w:val="22"/>
      <w:szCs w:val="22"/>
    </w:rPr>
  </w:style>
  <w:style w:type="character" w:styleId="Hipervnculo">
    <w:name w:val="Hyperlink"/>
    <w:uiPriority w:val="99"/>
    <w:unhideWhenUsed/>
    <w:rsid w:val="00F80E07"/>
    <w:rPr>
      <w:color w:val="0000FF"/>
      <w:u w:val="single"/>
    </w:rPr>
  </w:style>
  <w:style w:type="table" w:styleId="Tablaconcuadrcula">
    <w:name w:val="Table Grid"/>
    <w:basedOn w:val="Tablanormal"/>
    <w:rsid w:val="0035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rsid w:val="003650D5"/>
  </w:style>
  <w:style w:type="paragraph" w:styleId="Revisin">
    <w:name w:val="Revision"/>
    <w:hidden/>
    <w:uiPriority w:val="71"/>
    <w:rsid w:val="00F64A17"/>
    <w:rPr>
      <w:rFonts w:ascii="Arial" w:hAnsi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D0978E93353D479C8DC9570212469B" ma:contentTypeVersion="14" ma:contentTypeDescription="Crear nuevo documento." ma:contentTypeScope="" ma:versionID="4b9befa75a347ec10a62573a205a13ca">
  <xsd:schema xmlns:xsd="http://www.w3.org/2001/XMLSchema" xmlns:xs="http://www.w3.org/2001/XMLSchema" xmlns:p="http://schemas.microsoft.com/office/2006/metadata/properties" xmlns:ns3="4171c87d-3dc0-46bf-af47-d6e497ee0d41" xmlns:ns4="343a738a-e1be-4a84-8cf9-e13d3dd389bf" targetNamespace="http://schemas.microsoft.com/office/2006/metadata/properties" ma:root="true" ma:fieldsID="004ee174b04090ed933dad2e989209ce" ns3:_="" ns4:_="">
    <xsd:import namespace="4171c87d-3dc0-46bf-af47-d6e497ee0d41"/>
    <xsd:import namespace="343a738a-e1be-4a84-8cf9-e13d3dd389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1c87d-3dc0-46bf-af47-d6e497ee0d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a738a-e1be-4a84-8cf9-e13d3dd38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AD9C4-874B-465E-8F6C-E5CCB23D4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1c87d-3dc0-46bf-af47-d6e497ee0d41"/>
    <ds:schemaRef ds:uri="343a738a-e1be-4a84-8cf9-e13d3dd38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4A2C0C-43A8-4E0A-B224-1B702EFA9A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B7797-5E74-A441-AF9C-B2708DD1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2457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dafp</Company>
  <LinksUpToDate>false</LinksUpToDate>
  <CharactersWithSpaces>15943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de sistemas</dc:creator>
  <cp:keywords/>
  <dc:description/>
  <cp:lastModifiedBy>Luis Fernando Bastidas Reyes</cp:lastModifiedBy>
  <cp:revision>3</cp:revision>
  <cp:lastPrinted>2019-07-08T22:30:00Z</cp:lastPrinted>
  <dcterms:created xsi:type="dcterms:W3CDTF">2025-06-05T11:50:00Z</dcterms:created>
  <dcterms:modified xsi:type="dcterms:W3CDTF">2025-06-05T11:50:00Z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0x01010039D0978E93353D479C8DC9570212469B</vt:lpwstr>
  </property>
  <property fmtid="{D5CDD505-2E9C-101B-9397-08002B2CF9AE}" pid="3" name="MSIP_Label_f8da2c01-e402-4fc9-beb9-bac87f3a3b75_Enabled">
    <vt:lpwstr>true</vt:lpwstr>
  </property>
  <property fmtid="{D5CDD505-2E9C-101B-9397-08002B2CF9AE}" pid="4" name="MSIP_Label_f8da2c01-e402-4fc9-beb9-bac87f3a3b75_SetDate">
    <vt:lpwstr>2023-10-27T21:02:43Z</vt:lpwstr>
  </property>
  <property fmtid="{D5CDD505-2E9C-101B-9397-08002B2CF9AE}" pid="5" name="MSIP_Label_f8da2c01-e402-4fc9-beb9-bac87f3a3b75_Method">
    <vt:lpwstr>Privileged</vt:lpwstr>
  </property>
  <property fmtid="{D5CDD505-2E9C-101B-9397-08002B2CF9AE}" pid="6" name="MSIP_Label_f8da2c01-e402-4fc9-beb9-bac87f3a3b75_Name">
    <vt:lpwstr>f8da2c01-e402-4fc9-beb9-bac87f3a3b75</vt:lpwstr>
  </property>
  <property fmtid="{D5CDD505-2E9C-101B-9397-08002B2CF9AE}" pid="7" name="MSIP_Label_f8da2c01-e402-4fc9-beb9-bac87f3a3b75_SiteId">
    <vt:lpwstr>1a0673c6-24e1-476d-bb4d-ba6a91a3c588</vt:lpwstr>
  </property>
  <property fmtid="{D5CDD505-2E9C-101B-9397-08002B2CF9AE}" pid="8" name="MSIP_Label_f8da2c01-e402-4fc9-beb9-bac87f3a3b75_ActionId">
    <vt:lpwstr>0cfa8002-b063-4185-b394-62ab8b253e5f</vt:lpwstr>
  </property>
  <property fmtid="{D5CDD505-2E9C-101B-9397-08002B2CF9AE}" pid="9" name="MSIP_Label_f8da2c01-e402-4fc9-beb9-bac87f3a3b75_ContentBits">
    <vt:lpwstr>2</vt:lpwstr>
  </property>
  <property fmtid="{D5CDD505-2E9C-101B-9397-08002B2CF9AE}" pid="10" name="GrammarlyDocumentId">
    <vt:lpwstr>2f72ae4401a9025fdb2011981fba9b9dea14ba800bdac7a32f3bc85bbf852afb</vt:lpwstr>
  </property>
  <property fmtid="{D5CDD505-2E9C-101B-9397-08002B2CF9AE}" pid="11" name="_activity">
    <vt:lpwstr/>
  </property>
</Properties>
</file>