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7C2195" w14:paraId="37976A32"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2221798A" w14:textId="77777777" w:rsidR="0026513E" w:rsidRPr="007C2195" w:rsidRDefault="00795C6B" w:rsidP="00283D6A">
            <w:pPr>
              <w:pStyle w:val="Ttulo2"/>
              <w:ind w:right="72"/>
              <w:jc w:val="both"/>
              <w:rPr>
                <w:rFonts w:ascii="Arial Narrow" w:hAnsi="Arial Narrow" w:cs="Arial"/>
                <w:bCs/>
                <w:sz w:val="22"/>
                <w:szCs w:val="22"/>
              </w:rPr>
            </w:pPr>
            <w:r w:rsidRPr="007C2195">
              <w:rPr>
                <w:rFonts w:ascii="Arial Narrow" w:hAnsi="Arial Narrow" w:cs="Arial"/>
                <w:sz w:val="22"/>
                <w:szCs w:val="22"/>
                <w:lang w:val="es-CO"/>
              </w:rPr>
              <w:t>Entidad</w:t>
            </w:r>
            <w:r w:rsidR="00086B16" w:rsidRPr="007C2195">
              <w:rPr>
                <w:rFonts w:ascii="Arial Narrow" w:hAnsi="Arial Narrow" w:cs="Arial"/>
                <w:sz w:val="22"/>
                <w:szCs w:val="22"/>
                <w:lang w:val="es-CO"/>
              </w:rPr>
              <w:t xml:space="preserve"> </w:t>
            </w:r>
            <w:r w:rsidRPr="007C2195">
              <w:rPr>
                <w:rFonts w:ascii="Arial Narrow" w:hAnsi="Arial Narrow" w:cs="Arial"/>
                <w:sz w:val="22"/>
                <w:szCs w:val="22"/>
                <w:lang w:val="es-CO"/>
              </w:rPr>
              <w:t>originadora</w:t>
            </w:r>
            <w:r w:rsidR="00293F29" w:rsidRPr="007C2195">
              <w:rPr>
                <w:rFonts w:ascii="Arial Narrow" w:hAnsi="Arial Narrow" w:cs="Arial"/>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9406CB6" w14:textId="7C853E35" w:rsidR="0026513E" w:rsidRPr="007C2195" w:rsidRDefault="003E6751" w:rsidP="00283D6A">
            <w:pPr>
              <w:pStyle w:val="Ttulo2"/>
              <w:ind w:left="72" w:right="72"/>
              <w:jc w:val="both"/>
              <w:rPr>
                <w:rFonts w:ascii="Arial Narrow" w:hAnsi="Arial Narrow" w:cs="Arial"/>
                <w:b w:val="0"/>
                <w:iCs/>
                <w:sz w:val="22"/>
                <w:szCs w:val="22"/>
              </w:rPr>
            </w:pPr>
            <w:r w:rsidRPr="007C2195">
              <w:rPr>
                <w:rFonts w:ascii="Arial Narrow" w:hAnsi="Arial Narrow" w:cs="Arial"/>
                <w:b w:val="0"/>
                <w:iCs/>
                <w:sz w:val="22"/>
                <w:szCs w:val="22"/>
              </w:rPr>
              <w:t>Ministerio de Tecnologías de la Información y las Comunicaciones.</w:t>
            </w:r>
          </w:p>
        </w:tc>
      </w:tr>
      <w:tr w:rsidR="005C4522" w:rsidRPr="007C2195" w14:paraId="53D25FCD"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6D1BF2E" w14:textId="77777777" w:rsidR="00C47F73" w:rsidRPr="007C2195" w:rsidRDefault="0026513E" w:rsidP="00283D6A">
            <w:pPr>
              <w:pStyle w:val="Ttulo2"/>
              <w:ind w:right="72"/>
              <w:jc w:val="both"/>
              <w:rPr>
                <w:rFonts w:ascii="Arial Narrow" w:hAnsi="Arial Narrow" w:cs="Arial"/>
                <w:bCs/>
                <w:sz w:val="22"/>
                <w:szCs w:val="22"/>
              </w:rPr>
            </w:pPr>
            <w:r w:rsidRPr="007C2195">
              <w:rPr>
                <w:rFonts w:ascii="Arial Narrow" w:hAnsi="Arial Narrow" w:cs="Arial"/>
                <w:bCs/>
                <w:sz w:val="22"/>
                <w:szCs w:val="22"/>
              </w:rPr>
              <w:t>Fecha</w:t>
            </w:r>
            <w:r w:rsidR="00BB545F" w:rsidRPr="007C2195">
              <w:rPr>
                <w:rFonts w:ascii="Arial Narrow" w:hAnsi="Arial Narrow" w:cs="Arial"/>
                <w:bCs/>
                <w:sz w:val="22"/>
                <w:szCs w:val="22"/>
              </w:rPr>
              <w:t xml:space="preserve"> (</w:t>
            </w:r>
            <w:proofErr w:type="spellStart"/>
            <w:r w:rsidR="00BB545F" w:rsidRPr="007C2195">
              <w:rPr>
                <w:rFonts w:ascii="Arial Narrow" w:hAnsi="Arial Narrow" w:cs="Arial"/>
                <w:bCs/>
                <w:sz w:val="22"/>
                <w:szCs w:val="22"/>
              </w:rPr>
              <w:t>dd</w:t>
            </w:r>
            <w:proofErr w:type="spellEnd"/>
            <w:r w:rsidR="00BB545F" w:rsidRPr="007C2195">
              <w:rPr>
                <w:rFonts w:ascii="Arial Narrow" w:hAnsi="Arial Narrow" w:cs="Arial"/>
                <w:bCs/>
                <w:sz w:val="22"/>
                <w:szCs w:val="22"/>
              </w:rPr>
              <w:t>/mm/</w:t>
            </w:r>
            <w:proofErr w:type="spellStart"/>
            <w:r w:rsidR="00BB545F" w:rsidRPr="007C2195">
              <w:rPr>
                <w:rFonts w:ascii="Arial Narrow" w:hAnsi="Arial Narrow" w:cs="Arial"/>
                <w:bCs/>
                <w:sz w:val="22"/>
                <w:szCs w:val="22"/>
              </w:rPr>
              <w:t>aa</w:t>
            </w:r>
            <w:proofErr w:type="spellEnd"/>
            <w:r w:rsidR="00BB545F" w:rsidRPr="007C2195">
              <w:rPr>
                <w:rFonts w:ascii="Arial Narrow" w:hAnsi="Arial Narrow" w:cs="Arial"/>
                <w:bCs/>
                <w:sz w:val="22"/>
                <w:szCs w:val="22"/>
              </w:rPr>
              <w:t>)</w:t>
            </w:r>
            <w:r w:rsidR="00293F29" w:rsidRPr="007C2195">
              <w:rPr>
                <w:rFonts w:ascii="Arial Narrow" w:hAnsi="Arial Narrow"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7A01855" w14:textId="653DD9F8" w:rsidR="00C47F73" w:rsidRPr="007C2195" w:rsidRDefault="00E50116" w:rsidP="00283D6A">
            <w:pPr>
              <w:pStyle w:val="Ttulo2"/>
              <w:ind w:right="72"/>
              <w:jc w:val="both"/>
              <w:rPr>
                <w:rFonts w:ascii="Arial Narrow" w:hAnsi="Arial Narrow" w:cs="Arial"/>
                <w:b w:val="0"/>
                <w:iCs/>
                <w:sz w:val="22"/>
                <w:szCs w:val="22"/>
              </w:rPr>
            </w:pPr>
            <w:r w:rsidRPr="007C2195">
              <w:rPr>
                <w:rFonts w:ascii="Arial Narrow" w:hAnsi="Arial Narrow" w:cs="Arial"/>
                <w:b w:val="0"/>
                <w:iCs/>
                <w:sz w:val="22"/>
                <w:szCs w:val="22"/>
              </w:rPr>
              <w:t>Junio</w:t>
            </w:r>
            <w:r w:rsidR="00B55DD4" w:rsidRPr="007C2195">
              <w:rPr>
                <w:rFonts w:ascii="Arial Narrow" w:hAnsi="Arial Narrow" w:cs="Arial"/>
                <w:b w:val="0"/>
                <w:iCs/>
                <w:sz w:val="22"/>
                <w:szCs w:val="22"/>
              </w:rPr>
              <w:t xml:space="preserve"> de 202</w:t>
            </w:r>
            <w:r w:rsidR="008A1A33" w:rsidRPr="007C2195">
              <w:rPr>
                <w:rFonts w:ascii="Arial Narrow" w:hAnsi="Arial Narrow" w:cs="Arial"/>
                <w:b w:val="0"/>
                <w:iCs/>
                <w:sz w:val="22"/>
                <w:szCs w:val="22"/>
              </w:rPr>
              <w:t>5</w:t>
            </w:r>
          </w:p>
        </w:tc>
      </w:tr>
      <w:tr w:rsidR="005C4522" w:rsidRPr="007C2195" w14:paraId="26AE5D51"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8B21D1B" w14:textId="77777777" w:rsidR="0059316B" w:rsidRPr="007C2195" w:rsidRDefault="00A55DB6" w:rsidP="00283D6A">
            <w:pPr>
              <w:pStyle w:val="Ttulo2"/>
              <w:ind w:right="72"/>
              <w:jc w:val="both"/>
              <w:rPr>
                <w:rFonts w:ascii="Arial Narrow" w:hAnsi="Arial Narrow" w:cs="Arial"/>
                <w:bCs/>
                <w:sz w:val="22"/>
                <w:szCs w:val="22"/>
              </w:rPr>
            </w:pPr>
            <w:r w:rsidRPr="007C2195">
              <w:rPr>
                <w:rFonts w:ascii="Arial Narrow" w:hAnsi="Arial Narrow" w:cs="Arial"/>
                <w:bCs/>
                <w:sz w:val="22"/>
                <w:szCs w:val="22"/>
              </w:rPr>
              <w:t xml:space="preserve">Proyecto de </w:t>
            </w:r>
            <w:r w:rsidR="00587695" w:rsidRPr="007C2195">
              <w:rPr>
                <w:rFonts w:ascii="Arial Narrow" w:hAnsi="Arial Narrow" w:cs="Arial"/>
                <w:bCs/>
                <w:sz w:val="22"/>
                <w:szCs w:val="22"/>
              </w:rPr>
              <w:t>D</w:t>
            </w:r>
            <w:r w:rsidRPr="007C2195">
              <w:rPr>
                <w:rFonts w:ascii="Arial Narrow" w:hAnsi="Arial Narrow" w:cs="Arial"/>
                <w:bCs/>
                <w:sz w:val="22"/>
                <w:szCs w:val="22"/>
              </w:rPr>
              <w:t>ecreto</w:t>
            </w:r>
            <w:r w:rsidR="00795C6B" w:rsidRPr="007C2195">
              <w:rPr>
                <w:rFonts w:ascii="Arial Narrow" w:hAnsi="Arial Narrow" w:cs="Arial"/>
                <w:bCs/>
                <w:sz w:val="22"/>
                <w:szCs w:val="22"/>
              </w:rPr>
              <w:t>/Resolución</w:t>
            </w:r>
            <w:r w:rsidR="00293F29" w:rsidRPr="007C2195">
              <w:rPr>
                <w:rFonts w:ascii="Arial Narrow" w:hAnsi="Arial Narrow"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4136248" w14:textId="64FBEB0C" w:rsidR="001F238A" w:rsidRPr="007C2195" w:rsidRDefault="007C2195" w:rsidP="00283D6A">
            <w:pPr>
              <w:spacing w:line="276" w:lineRule="auto"/>
              <w:contextualSpacing/>
              <w:jc w:val="both"/>
              <w:rPr>
                <w:rFonts w:ascii="Arial Narrow" w:hAnsi="Arial Narrow" w:cs="Arial"/>
                <w:iCs/>
                <w:sz w:val="22"/>
                <w:szCs w:val="22"/>
              </w:rPr>
            </w:pPr>
            <w:r w:rsidRPr="007C2195">
              <w:rPr>
                <w:rFonts w:ascii="Arial Narrow" w:hAnsi="Arial Narrow" w:cs="Arial"/>
                <w:iCs/>
                <w:sz w:val="22"/>
                <w:szCs w:val="22"/>
              </w:rPr>
              <w:t>“Por el cual se modifica el artículo 2.2.30.17 del Decreto 1078 de 2015 y se dictan otras disposiciones relativas al despliegue de infraestructura de telecomunicaciones”</w:t>
            </w:r>
          </w:p>
        </w:tc>
      </w:tr>
      <w:tr w:rsidR="00DF60FD" w:rsidRPr="007C2195" w14:paraId="421EB457" w14:textId="77777777" w:rsidTr="0075705D">
        <w:trPr>
          <w:trHeight w:val="674"/>
        </w:trPr>
        <w:tc>
          <w:tcPr>
            <w:tcW w:w="10774" w:type="dxa"/>
            <w:gridSpan w:val="3"/>
            <w:tcBorders>
              <w:top w:val="single" w:sz="4" w:space="0" w:color="auto"/>
            </w:tcBorders>
            <w:shd w:val="clear" w:color="auto" w:fill="FFFFFF"/>
            <w:vAlign w:val="center"/>
          </w:tcPr>
          <w:p w14:paraId="0A3EBB54" w14:textId="77777777" w:rsidR="006315B4" w:rsidRPr="007C2195" w:rsidRDefault="006315B4" w:rsidP="00283D6A">
            <w:pPr>
              <w:pStyle w:val="Prrafodelista"/>
              <w:rPr>
                <w:rFonts w:ascii="Arial Narrow" w:hAnsi="Arial Narrow" w:cs="Arial"/>
                <w:b/>
                <w:color w:val="000000"/>
                <w:sz w:val="22"/>
                <w:szCs w:val="22"/>
              </w:rPr>
            </w:pPr>
          </w:p>
          <w:p w14:paraId="23A54342" w14:textId="7B507380" w:rsidR="0095690D" w:rsidRPr="007C2195" w:rsidRDefault="0095690D" w:rsidP="00283D6A">
            <w:pPr>
              <w:pStyle w:val="Prrafodelista"/>
              <w:numPr>
                <w:ilvl w:val="0"/>
                <w:numId w:val="48"/>
              </w:numPr>
              <w:rPr>
                <w:rFonts w:ascii="Arial Narrow" w:hAnsi="Arial Narrow" w:cs="Arial"/>
                <w:b/>
                <w:color w:val="000000"/>
                <w:sz w:val="22"/>
                <w:szCs w:val="22"/>
              </w:rPr>
            </w:pPr>
            <w:r w:rsidRPr="007C2195">
              <w:rPr>
                <w:rFonts w:ascii="Arial Narrow" w:hAnsi="Arial Narrow" w:cs="Arial"/>
                <w:b/>
                <w:color w:val="000000"/>
                <w:sz w:val="22"/>
                <w:szCs w:val="22"/>
              </w:rPr>
              <w:t>ANTECEDENTES Y RAZONES DE OPORTUNIDAD Y CONVENIENCIA QUE JUSTIFICAN SU EXPEDICIÓN.</w:t>
            </w:r>
          </w:p>
          <w:p w14:paraId="6EC7DA4D" w14:textId="77777777" w:rsidR="00403274" w:rsidRPr="007C2195" w:rsidRDefault="00403274" w:rsidP="00283D6A">
            <w:pPr>
              <w:jc w:val="both"/>
              <w:rPr>
                <w:rFonts w:ascii="Arial Narrow" w:hAnsi="Arial Narrow" w:cs="Arial"/>
                <w:sz w:val="22"/>
                <w:szCs w:val="22"/>
                <w:shd w:val="clear" w:color="auto" w:fill="FFFFFF"/>
                <w:lang w:eastAsia="es-CO"/>
              </w:rPr>
            </w:pPr>
          </w:p>
          <w:p w14:paraId="06138342" w14:textId="4E0F9A50" w:rsidR="00D97A52" w:rsidRPr="007C2195" w:rsidRDefault="003B45F9" w:rsidP="00283D6A">
            <w:pPr>
              <w:jc w:val="both"/>
              <w:rPr>
                <w:rFonts w:ascii="Arial Narrow" w:hAnsi="Arial Narrow" w:cs="Arial"/>
                <w:sz w:val="22"/>
                <w:szCs w:val="22"/>
                <w:shd w:val="clear" w:color="auto" w:fill="FFFFFF"/>
                <w:lang w:eastAsia="es-CO"/>
              </w:rPr>
            </w:pPr>
            <w:r w:rsidRPr="007C2195">
              <w:rPr>
                <w:rFonts w:ascii="Arial Narrow" w:hAnsi="Arial Narrow" w:cs="Arial"/>
                <w:sz w:val="22"/>
                <w:szCs w:val="22"/>
                <w:shd w:val="clear" w:color="auto" w:fill="FFFFFF"/>
                <w:lang w:eastAsia="es-CO"/>
              </w:rPr>
              <w:t>E</w:t>
            </w:r>
            <w:r w:rsidR="00D97A52" w:rsidRPr="007C2195">
              <w:rPr>
                <w:rFonts w:ascii="Arial Narrow" w:hAnsi="Arial Narrow" w:cs="Arial"/>
                <w:sz w:val="22"/>
                <w:szCs w:val="22"/>
                <w:shd w:val="clear" w:color="auto" w:fill="FFFFFF"/>
                <w:lang w:eastAsia="es-CO"/>
              </w:rPr>
              <w:t xml:space="preserve">l Plan Nacional de Desarrollo “Colombia Potencia Mundial de la Vida” Ley 2294 de 2013, en su artículo 147 </w:t>
            </w:r>
            <w:r w:rsidR="00047495" w:rsidRPr="007C2195">
              <w:rPr>
                <w:rFonts w:ascii="Arial Narrow" w:hAnsi="Arial Narrow" w:cs="Arial"/>
                <w:sz w:val="22"/>
                <w:szCs w:val="22"/>
                <w:shd w:val="clear" w:color="auto" w:fill="FFFFFF"/>
                <w:lang w:eastAsia="es-CO"/>
              </w:rPr>
              <w:t xml:space="preserve">que </w:t>
            </w:r>
            <w:r w:rsidR="00D97A52" w:rsidRPr="007C2195">
              <w:rPr>
                <w:rFonts w:ascii="Arial Narrow" w:hAnsi="Arial Narrow" w:cs="Arial"/>
                <w:sz w:val="22"/>
                <w:szCs w:val="22"/>
                <w:shd w:val="clear" w:color="auto" w:fill="FFFFFF"/>
                <w:lang w:eastAsia="es-CO"/>
              </w:rPr>
              <w:t xml:space="preserve">modificó los incisos primero y segundo del artículo 193 de la Ley 1753 de 2015, </w:t>
            </w:r>
            <w:r w:rsidR="001A7261" w:rsidRPr="007C2195">
              <w:rPr>
                <w:rFonts w:ascii="Arial Narrow" w:hAnsi="Arial Narrow" w:cs="Arial"/>
                <w:sz w:val="22"/>
                <w:szCs w:val="22"/>
                <w:shd w:val="clear" w:color="auto" w:fill="FFFFFF"/>
                <w:lang w:eastAsia="es-CO"/>
              </w:rPr>
              <w:t xml:space="preserve">dispuso lo siguiente: </w:t>
            </w:r>
            <w:r w:rsidR="00D97A52" w:rsidRPr="007C2195">
              <w:rPr>
                <w:rFonts w:ascii="Arial Narrow" w:hAnsi="Arial Narrow" w:cs="Arial"/>
                <w:sz w:val="22"/>
                <w:szCs w:val="22"/>
                <w:shd w:val="clear" w:color="auto" w:fill="FFFFFF"/>
                <w:lang w:eastAsia="es-CO"/>
              </w:rPr>
              <w:t xml:space="preserve"> </w:t>
            </w:r>
          </w:p>
          <w:p w14:paraId="359F2324" w14:textId="77777777" w:rsidR="00D97A52" w:rsidRPr="007C2195" w:rsidRDefault="00D97A52" w:rsidP="00283D6A">
            <w:pPr>
              <w:jc w:val="both"/>
              <w:rPr>
                <w:rFonts w:ascii="Arial Narrow" w:hAnsi="Arial Narrow" w:cs="Arial"/>
                <w:sz w:val="22"/>
                <w:szCs w:val="22"/>
                <w:shd w:val="clear" w:color="auto" w:fill="FFFFFF"/>
                <w:lang w:eastAsia="es-CO"/>
              </w:rPr>
            </w:pPr>
          </w:p>
          <w:p w14:paraId="3513DD57" w14:textId="79CA76BF" w:rsidR="00D97A52" w:rsidRPr="007C2195" w:rsidRDefault="00280757" w:rsidP="00283D6A">
            <w:pPr>
              <w:ind w:left="424" w:right="434"/>
              <w:jc w:val="both"/>
              <w:rPr>
                <w:rFonts w:ascii="Arial Narrow" w:hAnsi="Arial Narrow" w:cs="Arial"/>
                <w:i/>
                <w:iCs/>
                <w:sz w:val="22"/>
                <w:szCs w:val="22"/>
                <w:shd w:val="clear" w:color="auto" w:fill="FFFFFF"/>
                <w:lang w:eastAsia="es-CO"/>
              </w:rPr>
            </w:pPr>
            <w:r w:rsidRPr="007C2195">
              <w:rPr>
                <w:rFonts w:ascii="Arial Narrow" w:hAnsi="Arial Narrow" w:cs="Arial"/>
                <w:sz w:val="22"/>
                <w:szCs w:val="22"/>
                <w:shd w:val="clear" w:color="auto" w:fill="FFFFFF"/>
                <w:lang w:eastAsia="es-CO"/>
              </w:rPr>
              <w:t>“</w:t>
            </w:r>
            <w:r w:rsidR="00D97A52" w:rsidRPr="007C2195">
              <w:rPr>
                <w:rFonts w:ascii="Arial Narrow" w:hAnsi="Arial Narrow" w:cs="Arial"/>
                <w:i/>
                <w:iCs/>
                <w:sz w:val="22"/>
                <w:szCs w:val="22"/>
                <w:shd w:val="clear" w:color="auto" w:fill="FFFFFF"/>
                <w:lang w:eastAsia="es-CO"/>
              </w:rPr>
              <w:t xml:space="preserve">Artículo 193. Acceso a las </w:t>
            </w:r>
            <w:r w:rsidR="00F815CD" w:rsidRPr="007C2195">
              <w:rPr>
                <w:rFonts w:ascii="Arial Narrow" w:hAnsi="Arial Narrow" w:cs="Arial"/>
                <w:i/>
                <w:iCs/>
                <w:sz w:val="22"/>
                <w:szCs w:val="22"/>
                <w:shd w:val="clear" w:color="auto" w:fill="FFFFFF"/>
                <w:lang w:eastAsia="es-CO"/>
              </w:rPr>
              <w:t>TIC</w:t>
            </w:r>
            <w:r w:rsidR="00D97A52" w:rsidRPr="007C2195">
              <w:rPr>
                <w:rFonts w:ascii="Arial Narrow" w:hAnsi="Arial Narrow" w:cs="Arial"/>
                <w:i/>
                <w:iCs/>
                <w:sz w:val="22"/>
                <w:szCs w:val="22"/>
                <w:shd w:val="clear" w:color="auto" w:fill="FFFFFF"/>
                <w:lang w:eastAsia="es-CO"/>
              </w:rPr>
              <w:t xml:space="preserve"> y despliegue de infraestructura. Con el propósito de garantizar el ejercicio y goce efectivo de los derechos constitucionales a la comunicación, la vida en situaciones de emergencia, la educación, la salud, la seguridad personal, y el acceso a la información, al conocimiento, la ciencia y a la cultura, así como el de contribuir a la masificación del Gobierno Digital, de conformidad con la Ley 1341 de 2009, es deber de la Nación asegurar la prestación continua, oportuna y de calidad de los servicios públicos de comunicaciones, incluido el servicio público de acceso a Internet declarado como servicio público esencial, para lo cual, velará por el despliegue de la infraestructura de redes de telecomunicaciones en las entidades territoriales.</w:t>
            </w:r>
          </w:p>
          <w:p w14:paraId="3BC69F68" w14:textId="77777777" w:rsidR="00D97A52" w:rsidRPr="007C2195" w:rsidRDefault="00D97A52" w:rsidP="00283D6A">
            <w:pPr>
              <w:ind w:left="424" w:right="434"/>
              <w:jc w:val="both"/>
              <w:rPr>
                <w:rFonts w:ascii="Arial Narrow" w:hAnsi="Arial Narrow" w:cs="Arial"/>
                <w:i/>
                <w:iCs/>
                <w:sz w:val="22"/>
                <w:szCs w:val="22"/>
                <w:shd w:val="clear" w:color="auto" w:fill="FFFFFF"/>
                <w:lang w:eastAsia="es-CO"/>
              </w:rPr>
            </w:pPr>
          </w:p>
          <w:p w14:paraId="08E8C12E" w14:textId="2B7ED538" w:rsidR="00D97A52" w:rsidRPr="007C2195" w:rsidRDefault="00D97A52" w:rsidP="00283D6A">
            <w:pPr>
              <w:ind w:left="424" w:right="434"/>
              <w:jc w:val="both"/>
              <w:rPr>
                <w:rFonts w:ascii="Arial Narrow" w:hAnsi="Arial Narrow" w:cs="Arial"/>
                <w:i/>
                <w:iCs/>
                <w:sz w:val="22"/>
                <w:szCs w:val="22"/>
                <w:shd w:val="clear" w:color="auto" w:fill="FFFFFF"/>
                <w:lang w:eastAsia="es-CO"/>
              </w:rPr>
            </w:pPr>
            <w:r w:rsidRPr="007C2195">
              <w:rPr>
                <w:rFonts w:ascii="Arial Narrow" w:hAnsi="Arial Narrow" w:cs="Arial"/>
                <w:i/>
                <w:iCs/>
                <w:sz w:val="22"/>
                <w:szCs w:val="22"/>
                <w:shd w:val="clear" w:color="auto" w:fill="FFFFFF"/>
                <w:lang w:eastAsia="es-CO"/>
              </w:rPr>
              <w:t>Para tales efectos, el Ministerio de Tecnologías de Información y Comunicaciones, con el apoyo técnico de la Comisión de Regulación de Comunicaciones, y con observancia del principio de autonomía territorial, y con previa socialización a las entidades territoriales, reglamentará un procedimiento único para el despliegue de redes e infraestructura de telecomunicaciones en el territorio nacional, la cual será de obligatorio cumplimiento para las entidades territoriales, con el propósito de garantizar el acceso de la población a los servicios públicos prestados sobre las redes e infraestructuras de telecomunicaciones. Dicha reglamentación deberá incluir los requisitos únicos, instancias, y tiempos del procedimiento. En adición, las autoridades de todos los órdenes territoriales identificarán los obstáculos que restrinjan, limiten o impidan el despliegue de infraestructura de telecomunicaciones necesaria para el ejercicio y goce de los derechos constitucionales y procederá a adoptar las medidas y acciones que considere idóneas para removerlos.</w:t>
            </w:r>
          </w:p>
          <w:p w14:paraId="780D0797" w14:textId="77777777" w:rsidR="0033371F" w:rsidRPr="007C2195" w:rsidRDefault="0033371F" w:rsidP="00283D6A">
            <w:pPr>
              <w:ind w:left="424" w:right="434"/>
              <w:jc w:val="both"/>
              <w:rPr>
                <w:rFonts w:ascii="Arial Narrow" w:hAnsi="Arial Narrow" w:cs="Arial"/>
                <w:i/>
                <w:iCs/>
                <w:sz w:val="22"/>
                <w:szCs w:val="22"/>
                <w:shd w:val="clear" w:color="auto" w:fill="FFFFFF"/>
                <w:lang w:eastAsia="es-CO"/>
              </w:rPr>
            </w:pPr>
          </w:p>
          <w:p w14:paraId="598E55BB" w14:textId="3775FA04" w:rsidR="0033371F" w:rsidRPr="007C2195" w:rsidRDefault="0033371F" w:rsidP="00283D6A">
            <w:pPr>
              <w:ind w:left="424" w:right="434"/>
              <w:jc w:val="both"/>
              <w:rPr>
                <w:rFonts w:ascii="Arial Narrow" w:hAnsi="Arial Narrow" w:cs="Arial"/>
                <w:i/>
                <w:iCs/>
                <w:sz w:val="22"/>
                <w:szCs w:val="22"/>
                <w:shd w:val="clear" w:color="auto" w:fill="FFFFFF"/>
                <w:lang w:eastAsia="es-CO"/>
              </w:rPr>
            </w:pPr>
            <w:r w:rsidRPr="007C2195">
              <w:rPr>
                <w:rFonts w:ascii="Arial Narrow" w:hAnsi="Arial Narrow" w:cs="Arial"/>
                <w:i/>
                <w:iCs/>
                <w:sz w:val="22"/>
                <w:szCs w:val="22"/>
                <w:shd w:val="clear" w:color="auto" w:fill="FFFFFF"/>
                <w:lang w:eastAsia="es-CO"/>
              </w:rPr>
              <w:t>(…)</w:t>
            </w:r>
          </w:p>
          <w:p w14:paraId="18404B6E" w14:textId="77777777" w:rsidR="0033371F" w:rsidRPr="007C2195" w:rsidRDefault="0033371F" w:rsidP="00283D6A">
            <w:pPr>
              <w:ind w:left="424" w:right="434"/>
              <w:jc w:val="both"/>
              <w:rPr>
                <w:rFonts w:ascii="Arial Narrow" w:hAnsi="Arial Narrow" w:cs="Arial"/>
                <w:i/>
                <w:iCs/>
                <w:sz w:val="22"/>
                <w:szCs w:val="22"/>
                <w:shd w:val="clear" w:color="auto" w:fill="FFFFFF"/>
                <w:lang w:eastAsia="es-CO"/>
              </w:rPr>
            </w:pPr>
          </w:p>
          <w:p w14:paraId="43B34C05" w14:textId="101D83FB" w:rsidR="0033371F" w:rsidRPr="007C2195" w:rsidRDefault="0033371F" w:rsidP="00283D6A">
            <w:pPr>
              <w:ind w:left="424" w:right="434"/>
              <w:jc w:val="both"/>
              <w:rPr>
                <w:rFonts w:ascii="Arial Narrow" w:hAnsi="Arial Narrow" w:cs="Arial"/>
                <w:i/>
                <w:iCs/>
                <w:sz w:val="22"/>
                <w:szCs w:val="22"/>
                <w:shd w:val="clear" w:color="auto" w:fill="FFFFFF"/>
                <w:lang w:eastAsia="es-CO"/>
              </w:rPr>
            </w:pPr>
            <w:r w:rsidRPr="007C2195">
              <w:rPr>
                <w:rFonts w:ascii="Arial Narrow" w:hAnsi="Arial Narrow" w:cs="Arial"/>
                <w:i/>
                <w:iCs/>
                <w:sz w:val="22"/>
                <w:szCs w:val="22"/>
                <w:shd w:val="clear" w:color="auto" w:fill="FFFFFF"/>
                <w:lang w:eastAsia="es-CO"/>
              </w:rPr>
              <w:t xml:space="preserve">PARÁGRAFO 2o. Las solicitudes de licencia para la construcción, conexión, instalación, modificación u operación de cualquier equipamiento para la prestación de servicios de telecomunicaciones, fijas y </w:t>
            </w:r>
            <w:proofErr w:type="gramStart"/>
            <w:r w:rsidRPr="007C2195">
              <w:rPr>
                <w:rFonts w:ascii="Arial Narrow" w:hAnsi="Arial Narrow" w:cs="Arial"/>
                <w:i/>
                <w:iCs/>
                <w:sz w:val="22"/>
                <w:szCs w:val="22"/>
                <w:shd w:val="clear" w:color="auto" w:fill="FFFFFF"/>
                <w:lang w:eastAsia="es-CO"/>
              </w:rPr>
              <w:t>móviles,</w:t>
            </w:r>
            <w:proofErr w:type="gramEnd"/>
            <w:r w:rsidRPr="007C2195">
              <w:rPr>
                <w:rFonts w:ascii="Arial Narrow" w:hAnsi="Arial Narrow" w:cs="Arial"/>
                <w:i/>
                <w:iCs/>
                <w:sz w:val="22"/>
                <w:szCs w:val="22"/>
                <w:shd w:val="clear" w:color="auto" w:fill="FFFFFF"/>
                <w:lang w:eastAsia="es-CO"/>
              </w:rPr>
              <w:t xml:space="preserve"> serán resueltas por la entidad, pública o privada, competente dentro del mes siguiente a su presentación. Transcurrido este plazo sin que se haya notificado la decisión que resuelva la petición, se entenderá concedida la licencia en favor del peticionario en los términos solicitados en razón a que ha operado el silencio administrativo positivo. Dentro de las setenta y dos (72) horas siguientes la autoridad competente deberá reconocer al peticionario los efectos del silencio administrativo positivo</w:t>
            </w:r>
            <w:r w:rsidR="00280757" w:rsidRPr="007C2195">
              <w:rPr>
                <w:rFonts w:ascii="Arial Narrow" w:hAnsi="Arial Narrow" w:cs="Arial"/>
                <w:i/>
                <w:iCs/>
                <w:sz w:val="22"/>
                <w:szCs w:val="22"/>
                <w:shd w:val="clear" w:color="auto" w:fill="FFFFFF"/>
                <w:lang w:eastAsia="es-CO"/>
              </w:rPr>
              <w:t xml:space="preserve"> (…)</w:t>
            </w:r>
            <w:r w:rsidRPr="007C2195">
              <w:rPr>
                <w:rFonts w:ascii="Arial Narrow" w:hAnsi="Arial Narrow" w:cs="Arial"/>
                <w:i/>
                <w:iCs/>
                <w:sz w:val="22"/>
                <w:szCs w:val="22"/>
                <w:shd w:val="clear" w:color="auto" w:fill="FFFFFF"/>
                <w:lang w:eastAsia="es-CO"/>
              </w:rPr>
              <w:t>”.</w:t>
            </w:r>
          </w:p>
          <w:p w14:paraId="1439180F" w14:textId="6D5CAB13" w:rsidR="00D97A52" w:rsidRPr="007C2195" w:rsidRDefault="00D97A52" w:rsidP="00283D6A">
            <w:pPr>
              <w:jc w:val="both"/>
              <w:rPr>
                <w:rFonts w:ascii="Arial Narrow" w:hAnsi="Arial Narrow" w:cs="Arial"/>
                <w:sz w:val="22"/>
                <w:szCs w:val="22"/>
                <w:shd w:val="clear" w:color="auto" w:fill="FFFFFF"/>
                <w:lang w:eastAsia="es-CO"/>
              </w:rPr>
            </w:pPr>
          </w:p>
          <w:p w14:paraId="2E5E409C" w14:textId="77777777" w:rsidR="00DB1297" w:rsidRPr="00DF1C3F" w:rsidRDefault="005E6F7C" w:rsidP="00283D6A">
            <w:pPr>
              <w:jc w:val="both"/>
              <w:rPr>
                <w:rFonts w:ascii="Arial Narrow" w:hAnsi="Arial Narrow"/>
                <w:sz w:val="22"/>
                <w:szCs w:val="22"/>
              </w:rPr>
            </w:pPr>
            <w:r w:rsidRPr="007C2195">
              <w:rPr>
                <w:rFonts w:ascii="Arial Narrow" w:hAnsi="Arial Narrow" w:cs="Arial"/>
                <w:sz w:val="22"/>
                <w:szCs w:val="22"/>
                <w:shd w:val="clear" w:color="auto" w:fill="FFFFFF"/>
                <w:lang w:eastAsia="es-CO"/>
              </w:rPr>
              <w:t xml:space="preserve">En cumplimiento del inciso segundo de la citada norma, </w:t>
            </w:r>
            <w:r w:rsidR="00DB1297" w:rsidRPr="00DF1C3F">
              <w:rPr>
                <w:rFonts w:ascii="Arial Narrow" w:hAnsi="Arial Narrow"/>
                <w:sz w:val="22"/>
                <w:szCs w:val="22"/>
              </w:rPr>
              <w:t>el Gobierno nacional expidió el Decreto 1031 de 2024 (14 de agosto de 2024), adicionando el Título 30, Parte 2, Libro 2 del Decreto 1078 de 2015 (Decreto Único Reglamentario del sector TIC). Este nuevo título reglamentó el Procedimiento Único de Despliegue de Redes e Infraestructura de Telecomunicaciones, incluyendo los requisitos unificados, las etapas y plazos. Entre otras medidas, el Decreto 1031 estableció: un Formulario Único de solicitud (Art. 2.2.30.9), la creación futura de un Portal Único de Despliegue de Infraestructura TIC (PUDIT) para radicar y dar seguimiento a solicitudes (Art. 2.2.30.10) –a implementarse en máximo 18 meses–, la documentación técnica y legal exigible (Art. 2.2.30.11 y ss.), el plazo de un mes para decidir las solicitudes so pena de SAP (Art. 2.2.30.13), y exenciones a licencias urbanísticas en ciertos casos (Arts. 2.2.30.14-16).</w:t>
            </w:r>
          </w:p>
          <w:p w14:paraId="7D1E6EEC" w14:textId="70E17826" w:rsidR="005E6F7C" w:rsidRPr="007C2195" w:rsidRDefault="005E6F7C" w:rsidP="00283D6A">
            <w:pPr>
              <w:pStyle w:val="paragraph"/>
              <w:spacing w:before="0" w:beforeAutospacing="0" w:after="0" w:afterAutospacing="0" w:line="276" w:lineRule="auto"/>
              <w:jc w:val="both"/>
              <w:textAlignment w:val="baseline"/>
              <w:rPr>
                <w:rFonts w:ascii="Arial Narrow" w:hAnsi="Arial Narrow" w:cs="Arial"/>
                <w:sz w:val="22"/>
                <w:szCs w:val="22"/>
                <w:shd w:val="clear" w:color="auto" w:fill="FFFFFF"/>
                <w:lang w:val="es-ES"/>
              </w:rPr>
            </w:pPr>
          </w:p>
          <w:p w14:paraId="1839034F" w14:textId="77777777" w:rsidR="00E46CAB" w:rsidRPr="00DF1C3F" w:rsidRDefault="00E46CAB" w:rsidP="00283D6A">
            <w:pPr>
              <w:jc w:val="both"/>
              <w:rPr>
                <w:rFonts w:ascii="Arial Narrow" w:hAnsi="Arial Narrow"/>
                <w:sz w:val="22"/>
                <w:szCs w:val="22"/>
              </w:rPr>
            </w:pPr>
            <w:r>
              <w:rPr>
                <w:rFonts w:ascii="Arial Narrow" w:hAnsi="Arial Narrow"/>
                <w:sz w:val="22"/>
                <w:szCs w:val="22"/>
              </w:rPr>
              <w:lastRenderedPageBreak/>
              <w:t>E</w:t>
            </w:r>
            <w:r w:rsidRPr="00DF1C3F">
              <w:rPr>
                <w:rFonts w:ascii="Arial Narrow" w:hAnsi="Arial Narrow"/>
                <w:sz w:val="22"/>
                <w:szCs w:val="22"/>
              </w:rPr>
              <w:t>l Decreto 1031 de 2024 incluyó un mecanismo de regularización. El artículo 2.2.30.17 (adicionado por el Decreto 1031) permite que, dentro de los 12 meses siguientes a la entrada en vigor del nuevo título, los proveedores de redes o infraestructura soliciten la regularización de infraestructura ya instalada sin permiso, cumpliendo las mismas condiciones del procedimiento único para una autorización nueva, salvo algunos requisitos específicos (numerales 4, 7 y 8 del Art. 2.2.30.11). Se exige además una descripción detallada de la infraestructura a regularizar (dimensiones, altura, equipos). Esta disposición busca permitir que infraestructuras “clandestinas” puedan continuar operando legalmente, siempre que en el plazo concedido se pongan a paz y salvo con las normas aplicables.</w:t>
            </w:r>
          </w:p>
          <w:p w14:paraId="2E683F98" w14:textId="77777777" w:rsidR="00403274" w:rsidRDefault="00403274" w:rsidP="00283D6A">
            <w:pPr>
              <w:jc w:val="both"/>
              <w:rPr>
                <w:rFonts w:ascii="Arial Narrow" w:hAnsi="Arial Narrow" w:cs="Arial"/>
                <w:sz w:val="22"/>
                <w:szCs w:val="22"/>
                <w:shd w:val="clear" w:color="auto" w:fill="FFFFFF"/>
                <w:lang w:eastAsia="es-CO"/>
              </w:rPr>
            </w:pPr>
          </w:p>
          <w:p w14:paraId="679572F3" w14:textId="77777777" w:rsidR="005B41F4" w:rsidRPr="00DF1C3F" w:rsidRDefault="005B41F4" w:rsidP="00283D6A">
            <w:pPr>
              <w:jc w:val="both"/>
              <w:rPr>
                <w:rFonts w:ascii="Arial Narrow" w:hAnsi="Arial Narrow"/>
                <w:sz w:val="22"/>
                <w:szCs w:val="22"/>
              </w:rPr>
            </w:pPr>
            <w:r w:rsidRPr="00DF1C3F">
              <w:rPr>
                <w:rFonts w:ascii="Arial Narrow" w:hAnsi="Arial Narrow"/>
                <w:sz w:val="22"/>
                <w:szCs w:val="22"/>
              </w:rPr>
              <w:t>El artículo 2.2.30.17 del Decreto 1078 de 2015, adicionado por el Decreto 1031 de 2024, creó una ventana de doce meses para que los operadores solicitaran la regularización de infraestructura ya instalada sin autorización previa, remitiendo al procedimiento único establecido para nuevas solicitudes, salvo algunas excepciones. No obstante, el decreto no equipara expresamente las solicitudes de regularización con las de instalación nueva, ni contempla la aplicación del silencio administrativo positivo (SAP) para estos casos.</w:t>
            </w:r>
          </w:p>
          <w:p w14:paraId="6B67C6B1" w14:textId="77777777" w:rsidR="005B41F4" w:rsidRPr="00DF1C3F" w:rsidRDefault="005B41F4" w:rsidP="00283D6A">
            <w:pPr>
              <w:jc w:val="both"/>
              <w:rPr>
                <w:rFonts w:ascii="Arial Narrow" w:hAnsi="Arial Narrow"/>
                <w:sz w:val="22"/>
                <w:szCs w:val="22"/>
              </w:rPr>
            </w:pPr>
          </w:p>
          <w:p w14:paraId="073E5C28" w14:textId="77777777" w:rsidR="005B41F4" w:rsidRPr="00DF1C3F" w:rsidRDefault="005B41F4" w:rsidP="00283D6A">
            <w:pPr>
              <w:jc w:val="both"/>
              <w:rPr>
                <w:rFonts w:ascii="Arial Narrow" w:hAnsi="Arial Narrow"/>
                <w:sz w:val="22"/>
                <w:szCs w:val="22"/>
              </w:rPr>
            </w:pPr>
            <w:r w:rsidRPr="00DF1C3F">
              <w:rPr>
                <w:rFonts w:ascii="Arial Narrow" w:hAnsi="Arial Narrow"/>
                <w:sz w:val="22"/>
                <w:szCs w:val="22"/>
              </w:rPr>
              <w:t>Posteriormente, el proyecto de decreto de regularización sometido a comentarios propuso adicionar un parágrafo al artículo 2.2.30.17 para que la regularización equivaliera, para todos los efectos legales, a una licencia de instalación, conexión, modificación u operación de infraestructura, y que se aplicaran los efectos del SAP. Esta propuesta, que sí planteaba una equiparación expresa y normativa, motivó reparos jurídicos y constitucionales de diversas entidades territoriales y gremiales, al considerar que dicha equivalencia no estaba prevista por el legislador y excedía la potestad reglamentaria del Gobierno.</w:t>
            </w:r>
          </w:p>
          <w:p w14:paraId="7E6214B6" w14:textId="77777777" w:rsidR="005B41F4" w:rsidRPr="00DF1C3F" w:rsidRDefault="005B41F4" w:rsidP="00283D6A">
            <w:pPr>
              <w:jc w:val="both"/>
              <w:rPr>
                <w:rFonts w:ascii="Arial Narrow" w:hAnsi="Arial Narrow"/>
                <w:sz w:val="22"/>
                <w:szCs w:val="22"/>
              </w:rPr>
            </w:pPr>
          </w:p>
          <w:p w14:paraId="13C19470" w14:textId="77777777" w:rsidR="005B41F4" w:rsidRPr="00DF1C3F" w:rsidRDefault="005B41F4" w:rsidP="00283D6A">
            <w:pPr>
              <w:jc w:val="both"/>
              <w:rPr>
                <w:rFonts w:ascii="Arial Narrow" w:hAnsi="Arial Narrow"/>
                <w:sz w:val="22"/>
                <w:szCs w:val="22"/>
              </w:rPr>
            </w:pPr>
            <w:r w:rsidRPr="00DF1C3F">
              <w:rPr>
                <w:rFonts w:ascii="Arial Narrow" w:hAnsi="Arial Narrow"/>
                <w:sz w:val="22"/>
                <w:szCs w:val="22"/>
              </w:rPr>
              <w:t xml:space="preserve">En consecuencia, resulta necesario precisar en </w:t>
            </w:r>
            <w:r>
              <w:rPr>
                <w:rFonts w:ascii="Arial Narrow" w:hAnsi="Arial Narrow"/>
                <w:sz w:val="22"/>
                <w:szCs w:val="22"/>
              </w:rPr>
              <w:t xml:space="preserve">una </w:t>
            </w:r>
            <w:r w:rsidRPr="00DF1C3F">
              <w:rPr>
                <w:rFonts w:ascii="Arial Narrow" w:hAnsi="Arial Narrow"/>
                <w:sz w:val="22"/>
                <w:szCs w:val="22"/>
              </w:rPr>
              <w:t>modificación normativa que la regularización no puede ser tratada como una solicitud de instalación nueva, debido a su naturaleza jurídica distinta, que parte de una situación de hecho irregular que requiere control posterior y no habilita una presunción de legalidad automática. Así, la regulación debe diferenciar claramente ambos procedimientos y establecer que el silencio administrativo positivo no aplica en los trámites de regularización, garantizando una evaluación expresa, técnica y jurídica por parte de la autoridad territorial competente.</w:t>
            </w:r>
          </w:p>
          <w:p w14:paraId="04684C28" w14:textId="77777777" w:rsidR="005B41F4" w:rsidRPr="00DF1C3F" w:rsidRDefault="005B41F4" w:rsidP="00283D6A">
            <w:pPr>
              <w:jc w:val="both"/>
              <w:rPr>
                <w:rFonts w:ascii="Arial Narrow" w:hAnsi="Arial Narrow"/>
                <w:sz w:val="22"/>
                <w:szCs w:val="22"/>
              </w:rPr>
            </w:pPr>
          </w:p>
          <w:p w14:paraId="4CD27D53" w14:textId="564F77B3" w:rsidR="00E46CAB" w:rsidRPr="007C2195" w:rsidRDefault="00E46CAB" w:rsidP="0015661E">
            <w:pPr>
              <w:jc w:val="both"/>
              <w:rPr>
                <w:rFonts w:ascii="Arial Narrow" w:hAnsi="Arial Narrow" w:cs="Arial"/>
                <w:sz w:val="22"/>
                <w:szCs w:val="22"/>
                <w:shd w:val="clear" w:color="auto" w:fill="FFFFFF"/>
                <w:lang w:eastAsia="es-CO"/>
              </w:rPr>
            </w:pPr>
          </w:p>
        </w:tc>
      </w:tr>
      <w:tr w:rsidR="00DF60FD" w:rsidRPr="007C2195" w14:paraId="1D35CE88"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5D2AF9E9" w14:textId="77777777" w:rsidR="00B11CBE" w:rsidRPr="007C2195" w:rsidRDefault="00B11CBE" w:rsidP="00283D6A">
            <w:pPr>
              <w:pStyle w:val="Prrafodelista"/>
              <w:rPr>
                <w:rFonts w:ascii="Arial Narrow" w:hAnsi="Arial Narrow" w:cs="Arial"/>
                <w:b/>
                <w:color w:val="000000"/>
                <w:sz w:val="22"/>
                <w:szCs w:val="22"/>
              </w:rPr>
            </w:pPr>
          </w:p>
          <w:p w14:paraId="4754CE36" w14:textId="5209CDDA" w:rsidR="00DF60FD" w:rsidRPr="007C2195" w:rsidRDefault="00DF60FD" w:rsidP="00283D6A">
            <w:pPr>
              <w:pStyle w:val="Prrafodelista"/>
              <w:numPr>
                <w:ilvl w:val="0"/>
                <w:numId w:val="46"/>
              </w:numPr>
              <w:rPr>
                <w:rFonts w:ascii="Arial Narrow" w:hAnsi="Arial Narrow" w:cs="Arial"/>
                <w:b/>
                <w:color w:val="000000"/>
                <w:sz w:val="22"/>
                <w:szCs w:val="22"/>
              </w:rPr>
            </w:pPr>
            <w:r w:rsidRPr="007C2195">
              <w:rPr>
                <w:rFonts w:ascii="Arial Narrow" w:hAnsi="Arial Narrow" w:cs="Arial"/>
                <w:b/>
                <w:color w:val="000000"/>
                <w:sz w:val="22"/>
                <w:szCs w:val="22"/>
              </w:rPr>
              <w:t>AMBITO DE APLICACIÓN Y SUJETO</w:t>
            </w:r>
            <w:r w:rsidR="00795C6B" w:rsidRPr="007C2195">
              <w:rPr>
                <w:rFonts w:ascii="Arial Narrow" w:hAnsi="Arial Narrow" w:cs="Arial"/>
                <w:b/>
                <w:color w:val="000000"/>
                <w:sz w:val="22"/>
                <w:szCs w:val="22"/>
              </w:rPr>
              <w:t>S</w:t>
            </w:r>
            <w:r w:rsidRPr="007C2195">
              <w:rPr>
                <w:rFonts w:ascii="Arial Narrow" w:hAnsi="Arial Narrow" w:cs="Arial"/>
                <w:b/>
                <w:color w:val="000000"/>
                <w:sz w:val="22"/>
                <w:szCs w:val="22"/>
              </w:rPr>
              <w:t xml:space="preserve"> A QUIEN</w:t>
            </w:r>
            <w:r w:rsidR="00795C6B" w:rsidRPr="007C2195">
              <w:rPr>
                <w:rFonts w:ascii="Arial Narrow" w:hAnsi="Arial Narrow" w:cs="Arial"/>
                <w:b/>
                <w:color w:val="000000"/>
                <w:sz w:val="22"/>
                <w:szCs w:val="22"/>
              </w:rPr>
              <w:t>ES</w:t>
            </w:r>
            <w:r w:rsidRPr="007C2195">
              <w:rPr>
                <w:rFonts w:ascii="Arial Narrow" w:hAnsi="Arial Narrow" w:cs="Arial"/>
                <w:b/>
                <w:color w:val="000000"/>
                <w:sz w:val="22"/>
                <w:szCs w:val="22"/>
              </w:rPr>
              <w:t xml:space="preserve"> VA DIRIGIDO</w:t>
            </w:r>
          </w:p>
          <w:p w14:paraId="5D0EE678" w14:textId="2CAD9440" w:rsidR="00795C6B" w:rsidRPr="007C2195" w:rsidRDefault="00795C6B" w:rsidP="00283D6A">
            <w:pPr>
              <w:jc w:val="both"/>
              <w:rPr>
                <w:rFonts w:ascii="Arial Narrow" w:hAnsi="Arial Narrow" w:cs="Arial"/>
                <w:b/>
                <w:color w:val="000000"/>
                <w:sz w:val="22"/>
                <w:szCs w:val="22"/>
              </w:rPr>
            </w:pPr>
          </w:p>
          <w:p w14:paraId="6BA79AC0" w14:textId="38120551" w:rsidR="00984A56" w:rsidRPr="007C2195" w:rsidRDefault="00984A56" w:rsidP="00283D6A">
            <w:pPr>
              <w:jc w:val="both"/>
              <w:rPr>
                <w:rFonts w:ascii="Arial Narrow" w:hAnsi="Arial Narrow" w:cs="Arial"/>
                <w:sz w:val="22"/>
                <w:szCs w:val="22"/>
                <w:shd w:val="clear" w:color="auto" w:fill="FFFFFF"/>
                <w:lang w:eastAsia="es-CO"/>
              </w:rPr>
            </w:pPr>
            <w:r w:rsidRPr="007C2195">
              <w:rPr>
                <w:rFonts w:ascii="Arial Narrow" w:hAnsi="Arial Narrow" w:cs="Arial"/>
                <w:sz w:val="22"/>
                <w:szCs w:val="22"/>
                <w:shd w:val="clear" w:color="auto" w:fill="FFFFFF"/>
                <w:lang w:eastAsia="es-CO"/>
              </w:rPr>
              <w:t xml:space="preserve">La presente norma será aplicable a los Proveedores de Redes y Servicios de Comunicaciones, </w:t>
            </w:r>
            <w:r w:rsidR="00B11CBE" w:rsidRPr="007C2195">
              <w:rPr>
                <w:rFonts w:ascii="Arial Narrow" w:hAnsi="Arial Narrow" w:cs="Arial"/>
                <w:sz w:val="22"/>
                <w:szCs w:val="22"/>
                <w:shd w:val="clear" w:color="auto" w:fill="FFFFFF"/>
                <w:lang w:eastAsia="es-CO"/>
              </w:rPr>
              <w:t>proveedores de infraestructura soporte, i</w:t>
            </w:r>
            <w:r w:rsidR="00F40383" w:rsidRPr="007C2195">
              <w:rPr>
                <w:rFonts w:ascii="Arial Narrow" w:hAnsi="Arial Narrow" w:cs="Arial"/>
                <w:sz w:val="22"/>
                <w:szCs w:val="22"/>
                <w:shd w:val="clear" w:color="auto" w:fill="FFFFFF"/>
                <w:lang w:eastAsia="es-CO"/>
              </w:rPr>
              <w:t xml:space="preserve">nstaladores de </w:t>
            </w:r>
            <w:r w:rsidR="00B11CBE" w:rsidRPr="007C2195">
              <w:rPr>
                <w:rFonts w:ascii="Arial Narrow" w:hAnsi="Arial Narrow" w:cs="Arial"/>
                <w:sz w:val="22"/>
                <w:szCs w:val="22"/>
                <w:shd w:val="clear" w:color="auto" w:fill="FFFFFF"/>
                <w:lang w:eastAsia="es-CO"/>
              </w:rPr>
              <w:t>i</w:t>
            </w:r>
            <w:r w:rsidR="00F40383" w:rsidRPr="007C2195">
              <w:rPr>
                <w:rFonts w:ascii="Arial Narrow" w:hAnsi="Arial Narrow" w:cs="Arial"/>
                <w:sz w:val="22"/>
                <w:szCs w:val="22"/>
                <w:shd w:val="clear" w:color="auto" w:fill="FFFFFF"/>
                <w:lang w:eastAsia="es-CO"/>
              </w:rPr>
              <w:t>nf</w:t>
            </w:r>
            <w:r w:rsidR="00CE0E9B" w:rsidRPr="007C2195">
              <w:rPr>
                <w:rFonts w:ascii="Arial Narrow" w:hAnsi="Arial Narrow" w:cs="Arial"/>
                <w:sz w:val="22"/>
                <w:szCs w:val="22"/>
                <w:shd w:val="clear" w:color="auto" w:fill="FFFFFF"/>
                <w:lang w:eastAsia="es-CO"/>
              </w:rPr>
              <w:t xml:space="preserve">raestructura de </w:t>
            </w:r>
            <w:r w:rsidR="00B11CBE" w:rsidRPr="007C2195">
              <w:rPr>
                <w:rFonts w:ascii="Arial Narrow" w:hAnsi="Arial Narrow" w:cs="Arial"/>
                <w:sz w:val="22"/>
                <w:szCs w:val="22"/>
                <w:shd w:val="clear" w:color="auto" w:fill="FFFFFF"/>
                <w:lang w:eastAsia="es-CO"/>
              </w:rPr>
              <w:t>telec</w:t>
            </w:r>
            <w:r w:rsidR="00CE0E9B" w:rsidRPr="007C2195">
              <w:rPr>
                <w:rFonts w:ascii="Arial Narrow" w:hAnsi="Arial Narrow" w:cs="Arial"/>
                <w:sz w:val="22"/>
                <w:szCs w:val="22"/>
                <w:shd w:val="clear" w:color="auto" w:fill="FFFFFF"/>
                <w:lang w:eastAsia="es-CO"/>
              </w:rPr>
              <w:t xml:space="preserve">omunicaciones </w:t>
            </w:r>
            <w:r w:rsidR="00B44ED5" w:rsidRPr="007C2195">
              <w:rPr>
                <w:rFonts w:ascii="Arial Narrow" w:hAnsi="Arial Narrow" w:cs="Arial"/>
                <w:sz w:val="22"/>
                <w:szCs w:val="22"/>
                <w:shd w:val="clear" w:color="auto" w:fill="FFFFFF"/>
                <w:lang w:eastAsia="es-CO"/>
              </w:rPr>
              <w:t>y entidades territoriales</w:t>
            </w:r>
            <w:r w:rsidR="00B24762" w:rsidRPr="007C2195">
              <w:rPr>
                <w:rFonts w:ascii="Arial Narrow" w:hAnsi="Arial Narrow" w:cs="Arial"/>
                <w:sz w:val="22"/>
                <w:szCs w:val="22"/>
                <w:shd w:val="clear" w:color="auto" w:fill="FFFFFF"/>
                <w:lang w:eastAsia="es-CO"/>
              </w:rPr>
              <w:t xml:space="preserve">. </w:t>
            </w:r>
          </w:p>
          <w:p w14:paraId="33CB66DC" w14:textId="77777777" w:rsidR="00795C6B" w:rsidRPr="007C2195" w:rsidRDefault="00795C6B" w:rsidP="00283D6A">
            <w:pPr>
              <w:jc w:val="both"/>
              <w:rPr>
                <w:rFonts w:ascii="Arial Narrow" w:hAnsi="Arial Narrow" w:cs="Arial"/>
                <w:iCs/>
                <w:color w:val="000000"/>
                <w:sz w:val="22"/>
                <w:szCs w:val="22"/>
              </w:rPr>
            </w:pPr>
          </w:p>
        </w:tc>
      </w:tr>
      <w:tr w:rsidR="00DF60FD" w:rsidRPr="007C2195" w14:paraId="568C284A" w14:textId="77777777" w:rsidTr="0075705D">
        <w:trPr>
          <w:trHeight w:val="278"/>
        </w:trPr>
        <w:tc>
          <w:tcPr>
            <w:tcW w:w="10774" w:type="dxa"/>
            <w:gridSpan w:val="3"/>
            <w:tcBorders>
              <w:bottom w:val="single" w:sz="4" w:space="0" w:color="auto"/>
            </w:tcBorders>
            <w:shd w:val="clear" w:color="auto" w:fill="FFFFFF"/>
            <w:vAlign w:val="center"/>
          </w:tcPr>
          <w:p w14:paraId="3EB8E6F4" w14:textId="15DD5F7C" w:rsidR="00B11CBE" w:rsidRPr="007C2195" w:rsidRDefault="00B11CBE" w:rsidP="00283D6A">
            <w:pPr>
              <w:ind w:left="494" w:hanging="283"/>
              <w:jc w:val="both"/>
              <w:rPr>
                <w:rFonts w:ascii="Arial Narrow" w:hAnsi="Arial Narrow" w:cs="Arial"/>
                <w:b/>
                <w:color w:val="000000" w:themeColor="text1"/>
                <w:sz w:val="22"/>
                <w:szCs w:val="22"/>
              </w:rPr>
            </w:pPr>
          </w:p>
          <w:p w14:paraId="3440EB42" w14:textId="70DBC8EC" w:rsidR="00DF60FD" w:rsidRPr="007C2195" w:rsidRDefault="00DF60FD" w:rsidP="00283D6A">
            <w:pPr>
              <w:pStyle w:val="Prrafodelista"/>
              <w:numPr>
                <w:ilvl w:val="0"/>
                <w:numId w:val="46"/>
              </w:numPr>
              <w:rPr>
                <w:rFonts w:ascii="Arial Narrow" w:hAnsi="Arial Narrow" w:cs="Arial"/>
                <w:b/>
                <w:color w:val="000000" w:themeColor="text1"/>
                <w:sz w:val="22"/>
                <w:szCs w:val="22"/>
              </w:rPr>
            </w:pPr>
            <w:r w:rsidRPr="007C2195">
              <w:rPr>
                <w:rFonts w:ascii="Arial Narrow" w:hAnsi="Arial Narrow" w:cs="Arial"/>
                <w:b/>
                <w:color w:val="000000" w:themeColor="text1"/>
                <w:sz w:val="22"/>
                <w:szCs w:val="22"/>
              </w:rPr>
              <w:t>VIABILIDAD JURÍDICA</w:t>
            </w:r>
          </w:p>
          <w:p w14:paraId="1A33E3C6" w14:textId="77777777" w:rsidR="00D05B67" w:rsidRPr="007C2195" w:rsidRDefault="00D05B67" w:rsidP="00283D6A">
            <w:pPr>
              <w:ind w:left="494" w:hanging="283"/>
              <w:jc w:val="both"/>
              <w:rPr>
                <w:rFonts w:ascii="Arial Narrow" w:hAnsi="Arial Narrow" w:cs="Arial"/>
                <w:i/>
                <w:color w:val="000000" w:themeColor="text1"/>
                <w:sz w:val="22"/>
                <w:szCs w:val="22"/>
              </w:rPr>
            </w:pPr>
          </w:p>
          <w:p w14:paraId="5AADDE28" w14:textId="7FD4D9E9" w:rsidR="003A4A9C" w:rsidRPr="007C2195" w:rsidRDefault="00795C6B" w:rsidP="00283D6A">
            <w:pPr>
              <w:ind w:left="494" w:hanging="283"/>
              <w:jc w:val="both"/>
              <w:rPr>
                <w:rFonts w:ascii="Arial Narrow" w:hAnsi="Arial Narrow" w:cs="Arial"/>
                <w:b/>
                <w:bCs/>
                <w:color w:val="000000" w:themeColor="text1"/>
                <w:sz w:val="22"/>
                <w:szCs w:val="22"/>
                <w:lang w:val="es-CO" w:eastAsia="es-CO"/>
              </w:rPr>
            </w:pPr>
            <w:r w:rsidRPr="007C2195">
              <w:rPr>
                <w:rFonts w:ascii="Arial Narrow" w:hAnsi="Arial Narrow" w:cs="Arial"/>
                <w:b/>
                <w:bCs/>
                <w:color w:val="000000" w:themeColor="text1"/>
                <w:sz w:val="22"/>
                <w:szCs w:val="22"/>
                <w:lang w:val="es-CO" w:eastAsia="es-CO"/>
              </w:rPr>
              <w:t>3.1 Análisis de las normas que otorgan la competencia para la expedición del proyecto normativo</w:t>
            </w:r>
          </w:p>
          <w:p w14:paraId="4CBBAEC1" w14:textId="77777777" w:rsidR="003A4A9C" w:rsidRPr="007C2195" w:rsidRDefault="003A4A9C" w:rsidP="00283D6A">
            <w:pPr>
              <w:jc w:val="both"/>
              <w:rPr>
                <w:rFonts w:ascii="Arial Narrow" w:hAnsi="Arial Narrow" w:cs="Arial"/>
                <w:sz w:val="22"/>
                <w:szCs w:val="22"/>
                <w:shd w:val="clear" w:color="auto" w:fill="FFFFFF"/>
                <w:lang w:eastAsia="es-CO"/>
              </w:rPr>
            </w:pPr>
          </w:p>
          <w:p w14:paraId="39E6AC56" w14:textId="08977D4F" w:rsidR="003A4A9C" w:rsidRPr="007C2195" w:rsidRDefault="00B2260E" w:rsidP="00283D6A">
            <w:pPr>
              <w:jc w:val="both"/>
              <w:rPr>
                <w:rFonts w:ascii="Arial Narrow" w:hAnsi="Arial Narrow" w:cs="Arial"/>
                <w:sz w:val="22"/>
                <w:szCs w:val="22"/>
                <w:shd w:val="clear" w:color="auto" w:fill="FFFFFF"/>
                <w:lang w:eastAsia="es-CO"/>
              </w:rPr>
            </w:pPr>
            <w:r w:rsidRPr="007C2195">
              <w:rPr>
                <w:rFonts w:ascii="Arial Narrow" w:hAnsi="Arial Narrow" w:cs="Arial"/>
                <w:sz w:val="22"/>
                <w:szCs w:val="22"/>
                <w:shd w:val="clear" w:color="auto" w:fill="FFFFFF"/>
                <w:lang w:eastAsia="es-CO"/>
              </w:rPr>
              <w:t>En l</w:t>
            </w:r>
            <w:r w:rsidR="003A4A9C" w:rsidRPr="007C2195">
              <w:rPr>
                <w:rFonts w:ascii="Arial Narrow" w:hAnsi="Arial Narrow" w:cs="Arial"/>
                <w:sz w:val="22"/>
                <w:szCs w:val="22"/>
                <w:shd w:val="clear" w:color="auto" w:fill="FFFFFF"/>
                <w:lang w:eastAsia="es-CO"/>
              </w:rPr>
              <w:t xml:space="preserve">as bases del Plan Nacional de Desarrollo 2022 – 2026 “Colombia, potencia mundial de la vida” se estableció </w:t>
            </w:r>
            <w:r w:rsidRPr="007C2195">
              <w:rPr>
                <w:rFonts w:ascii="Arial Narrow" w:hAnsi="Arial Narrow" w:cs="Arial"/>
                <w:sz w:val="22"/>
                <w:szCs w:val="22"/>
                <w:shd w:val="clear" w:color="auto" w:fill="FFFFFF"/>
                <w:lang w:eastAsia="es-CO"/>
              </w:rPr>
              <w:t>que</w:t>
            </w:r>
            <w:r w:rsidR="003A4A9C" w:rsidRPr="007C2195">
              <w:rPr>
                <w:rFonts w:ascii="Arial Narrow" w:hAnsi="Arial Narrow" w:cs="Arial"/>
                <w:sz w:val="22"/>
                <w:szCs w:val="22"/>
                <w:shd w:val="clear" w:color="auto" w:fill="FFFFFF"/>
                <w:lang w:eastAsia="es-CO"/>
              </w:rPr>
              <w:t xml:space="preserve"> “</w:t>
            </w:r>
            <w:r w:rsidRPr="007C2195">
              <w:rPr>
                <w:rFonts w:ascii="Arial Narrow" w:hAnsi="Arial Narrow" w:cs="Arial"/>
                <w:sz w:val="22"/>
                <w:szCs w:val="22"/>
                <w:shd w:val="clear" w:color="auto" w:fill="FFFFFF"/>
                <w:lang w:eastAsia="es-CO"/>
              </w:rPr>
              <w:t>s</w:t>
            </w:r>
            <w:r w:rsidR="003A4A9C" w:rsidRPr="007C2195">
              <w:rPr>
                <w:rFonts w:ascii="Arial Narrow" w:hAnsi="Arial Narrow" w:cs="Arial"/>
                <w:sz w:val="22"/>
                <w:szCs w:val="22"/>
                <w:shd w:val="clear" w:color="auto" w:fill="FFFFFF"/>
                <w:lang w:eastAsia="es-CO"/>
              </w:rPr>
              <w:t>e requiere la democratización en acceso, uso y apropiación de las TIC para desarrollar una sociedad del conocimiento y la tecnología, consolidar la red de infraestructura regional y social y sistemas de transporte público urbanos y regionales”.</w:t>
            </w:r>
          </w:p>
          <w:p w14:paraId="20B757F0" w14:textId="77777777" w:rsidR="003A4A9C" w:rsidRPr="007C2195" w:rsidRDefault="003A4A9C" w:rsidP="00283D6A">
            <w:pPr>
              <w:jc w:val="both"/>
              <w:rPr>
                <w:rFonts w:ascii="Arial Narrow" w:hAnsi="Arial Narrow" w:cs="Arial"/>
                <w:sz w:val="22"/>
                <w:szCs w:val="22"/>
                <w:shd w:val="clear" w:color="auto" w:fill="FFFFFF"/>
                <w:lang w:eastAsia="es-CO"/>
              </w:rPr>
            </w:pPr>
          </w:p>
          <w:p w14:paraId="263D0629" w14:textId="263B5777" w:rsidR="00E46B3C" w:rsidRPr="007C2195" w:rsidRDefault="001F0D0D" w:rsidP="00283D6A">
            <w:pPr>
              <w:jc w:val="both"/>
              <w:rPr>
                <w:rFonts w:ascii="Arial Narrow" w:hAnsi="Arial Narrow" w:cs="Arial"/>
                <w:sz w:val="22"/>
                <w:szCs w:val="22"/>
                <w:shd w:val="clear" w:color="auto" w:fill="FFFFFF"/>
                <w:lang w:eastAsia="es-CO"/>
              </w:rPr>
            </w:pPr>
            <w:r w:rsidRPr="007C2195">
              <w:rPr>
                <w:rFonts w:ascii="Arial Narrow" w:hAnsi="Arial Narrow" w:cs="Arial"/>
                <w:sz w:val="22"/>
                <w:szCs w:val="22"/>
                <w:shd w:val="clear" w:color="auto" w:fill="FFFFFF"/>
                <w:lang w:eastAsia="es-CO"/>
              </w:rPr>
              <w:t>El artículo 147 del P</w:t>
            </w:r>
            <w:r w:rsidR="00E46B3C" w:rsidRPr="007C2195">
              <w:rPr>
                <w:rFonts w:ascii="Arial Narrow" w:hAnsi="Arial Narrow" w:cs="Arial"/>
                <w:sz w:val="22"/>
                <w:szCs w:val="22"/>
                <w:shd w:val="clear" w:color="auto" w:fill="FFFFFF"/>
                <w:lang w:eastAsia="es-CO"/>
              </w:rPr>
              <w:t xml:space="preserve">lan Nacional de Desarrollo </w:t>
            </w:r>
            <w:r w:rsidRPr="007C2195">
              <w:rPr>
                <w:rFonts w:ascii="Arial Narrow" w:hAnsi="Arial Narrow" w:cs="Arial"/>
                <w:sz w:val="22"/>
                <w:szCs w:val="22"/>
                <w:shd w:val="clear" w:color="auto" w:fill="FFFFFF"/>
                <w:lang w:eastAsia="es-CO"/>
              </w:rPr>
              <w:t xml:space="preserve">modificó los incisos primero y segundo del artículo 193 de la Ley 1753 de 2015, </w:t>
            </w:r>
            <w:r w:rsidR="00E46B3C" w:rsidRPr="007C2195">
              <w:rPr>
                <w:rFonts w:ascii="Arial Narrow" w:hAnsi="Arial Narrow" w:cs="Arial"/>
                <w:sz w:val="22"/>
                <w:szCs w:val="22"/>
                <w:shd w:val="clear" w:color="auto" w:fill="FFFFFF"/>
                <w:lang w:eastAsia="es-CO"/>
              </w:rPr>
              <w:t xml:space="preserve">en el siguiente sentido: </w:t>
            </w:r>
          </w:p>
          <w:p w14:paraId="4ACE3703" w14:textId="77777777" w:rsidR="00E46B3C" w:rsidRPr="007C2195" w:rsidRDefault="00E46B3C" w:rsidP="00283D6A">
            <w:pPr>
              <w:jc w:val="both"/>
              <w:rPr>
                <w:rFonts w:ascii="Arial Narrow" w:hAnsi="Arial Narrow" w:cs="Arial"/>
                <w:sz w:val="22"/>
                <w:szCs w:val="22"/>
                <w:shd w:val="clear" w:color="auto" w:fill="FFFFFF"/>
                <w:lang w:eastAsia="es-CO"/>
              </w:rPr>
            </w:pPr>
          </w:p>
          <w:p w14:paraId="0D4D93DA" w14:textId="1D4FEDF4" w:rsidR="001F0D0D" w:rsidRPr="007C2195" w:rsidRDefault="00F03181" w:rsidP="00283D6A">
            <w:pPr>
              <w:jc w:val="both"/>
              <w:rPr>
                <w:rFonts w:ascii="Arial Narrow" w:hAnsi="Arial Narrow" w:cs="Arial"/>
                <w:i/>
                <w:iCs/>
                <w:sz w:val="22"/>
                <w:szCs w:val="22"/>
                <w:shd w:val="clear" w:color="auto" w:fill="FFFFFF"/>
                <w:lang w:eastAsia="es-CO"/>
              </w:rPr>
            </w:pPr>
            <w:r w:rsidRPr="007C2195">
              <w:rPr>
                <w:rFonts w:ascii="Arial Narrow" w:hAnsi="Arial Narrow" w:cs="Arial"/>
                <w:sz w:val="22"/>
                <w:szCs w:val="22"/>
                <w:shd w:val="clear" w:color="auto" w:fill="FFFFFF"/>
                <w:lang w:eastAsia="es-CO"/>
              </w:rPr>
              <w:t>“</w:t>
            </w:r>
            <w:r w:rsidR="001F0D0D" w:rsidRPr="007C2195">
              <w:rPr>
                <w:rFonts w:ascii="Arial Narrow" w:hAnsi="Arial Narrow" w:cs="Arial"/>
                <w:i/>
                <w:iCs/>
                <w:sz w:val="22"/>
                <w:szCs w:val="22"/>
                <w:shd w:val="clear" w:color="auto" w:fill="FFFFFF"/>
                <w:lang w:eastAsia="es-CO"/>
              </w:rPr>
              <w:t xml:space="preserve">Artículo 193. Acceso a las tic y despliegue de infraestructura. Con el propósito de garantizar el ejercicio y goce efectivo de los derechos constitucionales a la comunicación, la vida en situaciones de emergencia, la educación, la salud, la seguridad personal, y el acceso a la información, al conocimiento, la ciencia y a la cultura, así como el de contribuir a la masificación del Gobierno Digital, de conformidad </w:t>
            </w:r>
            <w:r w:rsidR="001F0D0D" w:rsidRPr="007C2195">
              <w:rPr>
                <w:rFonts w:ascii="Arial Narrow" w:hAnsi="Arial Narrow" w:cs="Arial"/>
                <w:i/>
                <w:iCs/>
                <w:sz w:val="22"/>
                <w:szCs w:val="22"/>
                <w:shd w:val="clear" w:color="auto" w:fill="FFFFFF"/>
                <w:lang w:eastAsia="es-CO"/>
              </w:rPr>
              <w:lastRenderedPageBreak/>
              <w:t>con la Ley 1341 de 2009, es deber de la Nación asegurar la prestación continua, oportuna y de calidad de los servicios públicos de comunicaciones, incluido el servicio público de acceso a Internet declarado como servicio público esencial, para lo cual, velará por el despliegue de la infraestructura de redes de telecomunicaciones en las entidades territoriales.</w:t>
            </w:r>
          </w:p>
          <w:p w14:paraId="742DC67E" w14:textId="77777777" w:rsidR="001F0D0D" w:rsidRPr="007C2195" w:rsidRDefault="001F0D0D" w:rsidP="00283D6A">
            <w:pPr>
              <w:jc w:val="both"/>
              <w:rPr>
                <w:rFonts w:ascii="Arial Narrow" w:hAnsi="Arial Narrow" w:cs="Arial"/>
                <w:i/>
                <w:iCs/>
                <w:sz w:val="22"/>
                <w:szCs w:val="22"/>
                <w:shd w:val="clear" w:color="auto" w:fill="FFFFFF"/>
                <w:lang w:eastAsia="es-CO"/>
              </w:rPr>
            </w:pPr>
          </w:p>
          <w:p w14:paraId="1F13726F" w14:textId="0DB581E6" w:rsidR="003A4A9C" w:rsidRPr="007C2195" w:rsidRDefault="001F0D0D" w:rsidP="00283D6A">
            <w:pPr>
              <w:jc w:val="both"/>
              <w:rPr>
                <w:rFonts w:ascii="Arial Narrow" w:hAnsi="Arial Narrow" w:cs="Arial"/>
                <w:i/>
                <w:iCs/>
                <w:sz w:val="22"/>
                <w:szCs w:val="22"/>
                <w:shd w:val="clear" w:color="auto" w:fill="FFFFFF"/>
                <w:lang w:eastAsia="es-CO"/>
              </w:rPr>
            </w:pPr>
            <w:r w:rsidRPr="007C2195">
              <w:rPr>
                <w:rFonts w:ascii="Arial Narrow" w:hAnsi="Arial Narrow" w:cs="Arial"/>
                <w:i/>
                <w:iCs/>
                <w:sz w:val="22"/>
                <w:szCs w:val="22"/>
                <w:shd w:val="clear" w:color="auto" w:fill="FFFFFF"/>
                <w:lang w:eastAsia="es-CO"/>
              </w:rPr>
              <w:t>Para tales efectos, el Ministerio de Tecnologías de Información y Comunicaciones, con el apoyo técnico de la Comisión de Regulación de Comunicaciones, y con observancia del principio de autonomía territorial, y con previa socialización a las entidades territoriales, reglamentará un procedimiento único para el despliegue de redes e infraestructura de telecomunicaciones en el territorio nacional, la cual será de obligatorio cumplimiento para las entidades territoriales, con el propósito de garantizar el acceso de la población a los servicios públicos prestados sobre las redes e infraestructuras de telecomunicaciones. Dicha reglamentación deberá incluir los requisitos únicos, instancias, y tiempos del procedimiento. En adición, las autoridades de todos los órdenes territoriales identificarán los obstáculos que restrinjan, limiten o impidan el despliegue de infraestructura de telecomunicaciones necesaria para el ejercicio y goce de los derechos constitucionales y procederá a adoptar las medidas y acciones que considere idóneas para removerlos</w:t>
            </w:r>
            <w:r w:rsidR="00F03181" w:rsidRPr="007C2195">
              <w:rPr>
                <w:rFonts w:ascii="Arial Narrow" w:hAnsi="Arial Narrow" w:cs="Arial"/>
                <w:i/>
                <w:iCs/>
                <w:sz w:val="22"/>
                <w:szCs w:val="22"/>
                <w:shd w:val="clear" w:color="auto" w:fill="FFFFFF"/>
                <w:lang w:eastAsia="es-CO"/>
              </w:rPr>
              <w:t>”</w:t>
            </w:r>
            <w:r w:rsidRPr="007C2195">
              <w:rPr>
                <w:rFonts w:ascii="Arial Narrow" w:hAnsi="Arial Narrow" w:cs="Arial"/>
                <w:i/>
                <w:iCs/>
                <w:sz w:val="22"/>
                <w:szCs w:val="22"/>
                <w:shd w:val="clear" w:color="auto" w:fill="FFFFFF"/>
                <w:lang w:eastAsia="es-CO"/>
              </w:rPr>
              <w:t>.</w:t>
            </w:r>
          </w:p>
          <w:p w14:paraId="537272B1" w14:textId="77777777" w:rsidR="003A4A9C" w:rsidRPr="007C2195" w:rsidRDefault="003A4A9C" w:rsidP="00283D6A">
            <w:pPr>
              <w:jc w:val="both"/>
              <w:rPr>
                <w:rFonts w:ascii="Arial Narrow" w:hAnsi="Arial Narrow" w:cs="Arial"/>
                <w:sz w:val="22"/>
                <w:szCs w:val="22"/>
                <w:shd w:val="clear" w:color="auto" w:fill="FFFFFF"/>
                <w:lang w:eastAsia="es-CO"/>
              </w:rPr>
            </w:pPr>
          </w:p>
          <w:p w14:paraId="577E41EA" w14:textId="34ECA2F4" w:rsidR="001A14E8" w:rsidRPr="007C2195" w:rsidRDefault="001A14E8" w:rsidP="00283D6A">
            <w:pPr>
              <w:shd w:val="clear" w:color="auto" w:fill="FFFFFF"/>
              <w:spacing w:line="276" w:lineRule="auto"/>
              <w:contextualSpacing/>
              <w:jc w:val="both"/>
              <w:rPr>
                <w:rFonts w:ascii="Arial Narrow" w:hAnsi="Arial Narrow" w:cs="Arial"/>
                <w:sz w:val="22"/>
                <w:szCs w:val="22"/>
                <w:shd w:val="clear" w:color="auto" w:fill="FFFFFF"/>
                <w:lang w:eastAsia="es-CO"/>
              </w:rPr>
            </w:pPr>
            <w:r w:rsidRPr="007C2195">
              <w:rPr>
                <w:rFonts w:ascii="Arial Narrow" w:hAnsi="Arial Narrow" w:cs="Arial"/>
                <w:sz w:val="22"/>
                <w:szCs w:val="22"/>
                <w:shd w:val="clear" w:color="auto" w:fill="FFFFFF"/>
                <w:lang w:eastAsia="es-CO"/>
              </w:rPr>
              <w:t>En cumplimiento del inciso segundo de la citada norma, el Gobierno expidió el Decreto 1031 de 2024</w:t>
            </w:r>
            <w:r w:rsidR="00262251" w:rsidRPr="007C2195">
              <w:rPr>
                <w:rFonts w:ascii="Arial Narrow" w:hAnsi="Arial Narrow" w:cs="Arial"/>
                <w:sz w:val="22"/>
                <w:szCs w:val="22"/>
                <w:shd w:val="clear" w:color="auto" w:fill="FFFFFF"/>
                <w:lang w:eastAsia="es-CO"/>
              </w:rPr>
              <w:t xml:space="preserve"> que modificó el Decreto 1078 de 2015</w:t>
            </w:r>
            <w:r w:rsidRPr="007C2195">
              <w:rPr>
                <w:rFonts w:ascii="Arial Narrow" w:hAnsi="Arial Narrow" w:cs="Arial"/>
                <w:sz w:val="22"/>
                <w:szCs w:val="22"/>
                <w:shd w:val="clear" w:color="auto" w:fill="FFFFFF"/>
                <w:lang w:eastAsia="es-CO"/>
              </w:rPr>
              <w:t>, mediante el cual reglamentó el procedimiento único para el despliegue de redes e infraestructura de telecomunicaciones en el territorio nacional, con el apoyo técnico de la Comisión de Regulación de Comunicaciones.</w:t>
            </w:r>
          </w:p>
          <w:p w14:paraId="7C0556BC" w14:textId="77777777" w:rsidR="00262251" w:rsidRPr="007C2195" w:rsidRDefault="00262251" w:rsidP="00283D6A">
            <w:pPr>
              <w:shd w:val="clear" w:color="auto" w:fill="FFFFFF"/>
              <w:spacing w:line="276" w:lineRule="auto"/>
              <w:contextualSpacing/>
              <w:jc w:val="both"/>
              <w:rPr>
                <w:rFonts w:ascii="Arial Narrow" w:hAnsi="Arial Narrow" w:cs="Arial"/>
                <w:sz w:val="22"/>
                <w:szCs w:val="22"/>
                <w:shd w:val="clear" w:color="auto" w:fill="FFFFFF"/>
                <w:lang w:eastAsia="es-CO"/>
              </w:rPr>
            </w:pPr>
          </w:p>
          <w:p w14:paraId="71E41ECB" w14:textId="71CE8F55" w:rsidR="001A14E8" w:rsidRPr="007C2195" w:rsidRDefault="00262251" w:rsidP="00283D6A">
            <w:pPr>
              <w:jc w:val="both"/>
              <w:rPr>
                <w:rFonts w:ascii="Arial Narrow" w:hAnsi="Arial Narrow" w:cs="Arial"/>
                <w:color w:val="000000" w:themeColor="text1"/>
                <w:sz w:val="22"/>
                <w:szCs w:val="22"/>
              </w:rPr>
            </w:pPr>
            <w:r w:rsidRPr="007C2195">
              <w:rPr>
                <w:rFonts w:ascii="Arial Narrow" w:hAnsi="Arial Narrow" w:cs="Arial"/>
                <w:sz w:val="22"/>
                <w:szCs w:val="22"/>
                <w:shd w:val="clear" w:color="auto" w:fill="FFFFFF"/>
                <w:lang w:eastAsia="es-CO"/>
              </w:rPr>
              <w:t xml:space="preserve">El presente Decreto </w:t>
            </w:r>
            <w:r w:rsidR="008B3141" w:rsidRPr="007C2195">
              <w:rPr>
                <w:rFonts w:ascii="Arial Narrow" w:hAnsi="Arial Narrow" w:cs="Arial"/>
                <w:iCs/>
                <w:sz w:val="22"/>
                <w:szCs w:val="22"/>
              </w:rPr>
              <w:t>modifica el artículo 2.2.30.17 del Decreto 1078 de 2015 y dicta otras disposiciones relativas al despliegue de infraestructura de telecomunicaciones</w:t>
            </w:r>
            <w:r w:rsidR="008B3141">
              <w:rPr>
                <w:rFonts w:ascii="Arial Narrow" w:hAnsi="Arial Narrow" w:cs="Arial"/>
                <w:iCs/>
                <w:sz w:val="22"/>
                <w:szCs w:val="22"/>
              </w:rPr>
              <w:t>.</w:t>
            </w:r>
          </w:p>
          <w:p w14:paraId="0639340E" w14:textId="77777777" w:rsidR="00795C6B" w:rsidRPr="007C2195" w:rsidRDefault="00795C6B" w:rsidP="00283D6A">
            <w:pPr>
              <w:ind w:left="494" w:hanging="283"/>
              <w:jc w:val="both"/>
              <w:rPr>
                <w:rFonts w:ascii="Arial Narrow" w:hAnsi="Arial Narrow" w:cs="Arial"/>
                <w:color w:val="000000" w:themeColor="text1"/>
                <w:sz w:val="22"/>
                <w:szCs w:val="22"/>
                <w:lang w:val="es-CO" w:eastAsia="es-CO"/>
              </w:rPr>
            </w:pPr>
          </w:p>
          <w:p w14:paraId="5B8EAEC3" w14:textId="77777777" w:rsidR="00795C6B" w:rsidRPr="007C2195" w:rsidRDefault="00795C6B" w:rsidP="00283D6A">
            <w:pPr>
              <w:ind w:left="494" w:hanging="283"/>
              <w:jc w:val="both"/>
              <w:rPr>
                <w:rFonts w:ascii="Arial Narrow" w:hAnsi="Arial Narrow" w:cs="Arial"/>
                <w:b/>
                <w:bCs/>
                <w:color w:val="000000" w:themeColor="text1"/>
                <w:sz w:val="22"/>
                <w:szCs w:val="22"/>
                <w:lang w:val="es-CO" w:eastAsia="es-CO"/>
              </w:rPr>
            </w:pPr>
            <w:r w:rsidRPr="007C2195">
              <w:rPr>
                <w:rFonts w:ascii="Arial Narrow" w:hAnsi="Arial Narrow" w:cs="Arial"/>
                <w:b/>
                <w:bCs/>
                <w:color w:val="000000" w:themeColor="text1"/>
                <w:sz w:val="22"/>
                <w:szCs w:val="22"/>
                <w:lang w:val="es-CO" w:eastAsia="es-CO"/>
              </w:rPr>
              <w:t>3.2 Vigencia de la ley o norma reglamentada o desarrollada</w:t>
            </w:r>
          </w:p>
          <w:p w14:paraId="471F0B68" w14:textId="77777777" w:rsidR="006F117D" w:rsidRPr="007C2195" w:rsidRDefault="006F117D" w:rsidP="00283D6A">
            <w:pPr>
              <w:jc w:val="both"/>
              <w:rPr>
                <w:rFonts w:ascii="Arial Narrow" w:hAnsi="Arial Narrow" w:cs="Arial"/>
                <w:sz w:val="22"/>
                <w:szCs w:val="22"/>
                <w:shd w:val="clear" w:color="auto" w:fill="FFFFFF"/>
                <w:lang w:eastAsia="es-CO"/>
              </w:rPr>
            </w:pPr>
          </w:p>
          <w:p w14:paraId="0C7CA70E" w14:textId="77777777" w:rsidR="009B2A61" w:rsidRPr="009B2A61" w:rsidRDefault="009B2A61" w:rsidP="009B2A61">
            <w:pPr>
              <w:jc w:val="both"/>
              <w:rPr>
                <w:rFonts w:ascii="Arial Narrow" w:hAnsi="Arial Narrow" w:cs="Arial"/>
                <w:sz w:val="22"/>
                <w:szCs w:val="22"/>
                <w:shd w:val="clear" w:color="auto" w:fill="FFFFFF"/>
                <w:lang w:val="es-CO" w:eastAsia="es-CO"/>
              </w:rPr>
            </w:pPr>
            <w:r w:rsidRPr="009B2A61">
              <w:rPr>
                <w:rFonts w:ascii="Arial Narrow" w:hAnsi="Arial Narrow" w:cs="Arial"/>
                <w:sz w:val="22"/>
                <w:szCs w:val="22"/>
                <w:shd w:val="clear" w:color="auto" w:fill="FFFFFF"/>
                <w:lang w:val="es-CO" w:eastAsia="es-CO"/>
              </w:rPr>
              <w:t>Las disposiciones legales referidas se encuentran plenamente vigentes. La Ley 2294 de 2023 sustituyó el artículo 193 de la Ley 1753 y mantiene la directriz al Gobierno para definir el procedimiento único de despliegue.</w:t>
            </w:r>
          </w:p>
          <w:p w14:paraId="0BD35917" w14:textId="77777777" w:rsidR="00795C6B" w:rsidRPr="007C2195" w:rsidRDefault="00795C6B" w:rsidP="00283D6A">
            <w:pPr>
              <w:ind w:left="494" w:hanging="283"/>
              <w:jc w:val="both"/>
              <w:rPr>
                <w:rFonts w:ascii="Arial Narrow" w:hAnsi="Arial Narrow" w:cs="Arial"/>
                <w:color w:val="000000" w:themeColor="text1"/>
                <w:sz w:val="22"/>
                <w:szCs w:val="22"/>
                <w:lang w:val="es-CO" w:eastAsia="es-CO"/>
              </w:rPr>
            </w:pPr>
          </w:p>
          <w:p w14:paraId="460D908F" w14:textId="77777777" w:rsidR="00795C6B" w:rsidRPr="007C2195" w:rsidRDefault="00795C6B" w:rsidP="00283D6A">
            <w:pPr>
              <w:ind w:left="494" w:hanging="283"/>
              <w:jc w:val="both"/>
              <w:rPr>
                <w:rFonts w:ascii="Arial Narrow" w:hAnsi="Arial Narrow" w:cs="Arial"/>
                <w:b/>
                <w:bCs/>
                <w:color w:val="000000" w:themeColor="text1"/>
                <w:sz w:val="22"/>
                <w:szCs w:val="22"/>
                <w:lang w:val="es-CO" w:eastAsia="es-CO"/>
              </w:rPr>
            </w:pPr>
            <w:r w:rsidRPr="007C2195">
              <w:rPr>
                <w:rFonts w:ascii="Arial Narrow" w:hAnsi="Arial Narrow" w:cs="Arial"/>
                <w:b/>
                <w:bCs/>
                <w:color w:val="000000" w:themeColor="text1"/>
                <w:sz w:val="22"/>
                <w:szCs w:val="22"/>
                <w:lang w:val="es-CO" w:eastAsia="es-CO"/>
              </w:rPr>
              <w:t>3.3. Disposiciones derogas, subrogadas, modificadas, adicionadas</w:t>
            </w:r>
            <w:r w:rsidR="00D05B67" w:rsidRPr="007C2195">
              <w:rPr>
                <w:rFonts w:ascii="Arial Narrow" w:hAnsi="Arial Narrow" w:cs="Arial"/>
                <w:b/>
                <w:bCs/>
                <w:color w:val="000000" w:themeColor="text1"/>
                <w:sz w:val="22"/>
                <w:szCs w:val="22"/>
                <w:lang w:val="es-CO" w:eastAsia="es-CO"/>
              </w:rPr>
              <w:t xml:space="preserve"> o sustituidas </w:t>
            </w:r>
          </w:p>
          <w:p w14:paraId="7E982C0E" w14:textId="27716CD8" w:rsidR="001D5409" w:rsidRPr="007C2195" w:rsidRDefault="001D5409" w:rsidP="00283D6A">
            <w:pPr>
              <w:jc w:val="both"/>
              <w:rPr>
                <w:rFonts w:ascii="Arial Narrow" w:hAnsi="Arial Narrow" w:cs="Arial"/>
                <w:color w:val="000000" w:themeColor="text1"/>
                <w:sz w:val="22"/>
                <w:szCs w:val="22"/>
                <w:lang w:val="es-CO" w:eastAsia="es-CO"/>
              </w:rPr>
            </w:pPr>
          </w:p>
          <w:p w14:paraId="6D047F36" w14:textId="406CD308" w:rsidR="000A7A5A" w:rsidRPr="000A7A5A" w:rsidRDefault="005B7BD1" w:rsidP="000A7A5A">
            <w:pPr>
              <w:shd w:val="clear" w:color="auto" w:fill="FFFFFF"/>
              <w:spacing w:line="276" w:lineRule="auto"/>
              <w:contextualSpacing/>
              <w:jc w:val="both"/>
              <w:rPr>
                <w:rFonts w:ascii="Arial Narrow" w:hAnsi="Arial Narrow" w:cs="Arial"/>
                <w:sz w:val="22"/>
                <w:szCs w:val="22"/>
                <w:shd w:val="clear" w:color="auto" w:fill="FFFFFF"/>
                <w:lang w:eastAsia="es-CO"/>
              </w:rPr>
            </w:pPr>
            <w:r w:rsidRPr="007C2195">
              <w:rPr>
                <w:rFonts w:ascii="Arial Narrow" w:hAnsi="Arial Narrow" w:cs="Arial"/>
                <w:sz w:val="22"/>
                <w:szCs w:val="22"/>
                <w:shd w:val="clear" w:color="auto" w:fill="FFFFFF"/>
                <w:lang w:eastAsia="es-CO"/>
              </w:rPr>
              <w:t xml:space="preserve">El presente Decreto </w:t>
            </w:r>
            <w:r w:rsidR="000A7A5A" w:rsidRPr="000A7A5A">
              <w:rPr>
                <w:rFonts w:ascii="Arial Narrow" w:hAnsi="Arial Narrow" w:cs="Arial"/>
                <w:sz w:val="22"/>
                <w:szCs w:val="22"/>
                <w:shd w:val="clear" w:color="auto" w:fill="FFFFFF"/>
                <w:lang w:eastAsia="es-CO"/>
              </w:rPr>
              <w:t>modifica el artículo 2.2.30.17 del Decreto 1078 de 2015, adicionado por el Decreto 1031 de 2024. Así mismo, se deroga el artículo 2.2.30.10 sobre el PUDIT.</w:t>
            </w:r>
          </w:p>
          <w:p w14:paraId="116FA98D" w14:textId="77777777" w:rsidR="00D05B67" w:rsidRPr="007C2195" w:rsidRDefault="00D05B67" w:rsidP="00283D6A">
            <w:pPr>
              <w:ind w:left="494" w:hanging="283"/>
              <w:jc w:val="both"/>
              <w:rPr>
                <w:rFonts w:ascii="Arial Narrow" w:hAnsi="Arial Narrow" w:cs="Arial"/>
                <w:color w:val="000000" w:themeColor="text1"/>
                <w:sz w:val="22"/>
                <w:szCs w:val="22"/>
                <w:lang w:eastAsia="es-CO"/>
              </w:rPr>
            </w:pPr>
          </w:p>
          <w:p w14:paraId="03C83369" w14:textId="77777777" w:rsidR="00D05B67" w:rsidRPr="007C2195" w:rsidRDefault="00D05B67" w:rsidP="00283D6A">
            <w:pPr>
              <w:ind w:left="494" w:hanging="283"/>
              <w:jc w:val="both"/>
              <w:rPr>
                <w:rFonts w:ascii="Arial Narrow" w:hAnsi="Arial Narrow" w:cs="Arial"/>
                <w:b/>
                <w:bCs/>
                <w:color w:val="000000" w:themeColor="text1"/>
                <w:sz w:val="22"/>
                <w:szCs w:val="22"/>
                <w:lang w:val="es-CO" w:eastAsia="es-CO"/>
              </w:rPr>
            </w:pPr>
            <w:r w:rsidRPr="007C2195">
              <w:rPr>
                <w:rFonts w:ascii="Arial Narrow" w:hAnsi="Arial Narrow" w:cs="Arial"/>
                <w:b/>
                <w:bCs/>
                <w:color w:val="000000" w:themeColor="text1"/>
                <w:sz w:val="22"/>
                <w:szCs w:val="22"/>
                <w:lang w:val="es-CO" w:eastAsia="es-CO"/>
              </w:rPr>
              <w:t>3.4 Revisión y análisis de la jurisprudencia que tenga impacto o sea relevante para la expedición del proyecto normativo (órganos de cierre de cada jurisdicción)</w:t>
            </w:r>
          </w:p>
          <w:p w14:paraId="6BC61956" w14:textId="77777777" w:rsidR="00AF32B8" w:rsidRPr="007C2195" w:rsidRDefault="00AF32B8" w:rsidP="00283D6A">
            <w:pPr>
              <w:ind w:left="494" w:hanging="283"/>
              <w:jc w:val="both"/>
              <w:rPr>
                <w:rFonts w:ascii="Arial Narrow" w:hAnsi="Arial Narrow" w:cs="Arial"/>
                <w:color w:val="000000" w:themeColor="text1"/>
                <w:sz w:val="22"/>
                <w:szCs w:val="22"/>
                <w:lang w:val="es-CO" w:eastAsia="es-CO"/>
              </w:rPr>
            </w:pPr>
          </w:p>
          <w:p w14:paraId="50656D64" w14:textId="674A1EFA" w:rsidR="002627BC" w:rsidRPr="002627BC" w:rsidRDefault="00DF2A9E" w:rsidP="002627BC">
            <w:pPr>
              <w:jc w:val="both"/>
              <w:rPr>
                <w:rFonts w:ascii="Arial Narrow" w:hAnsi="Arial Narrow" w:cs="Arial"/>
                <w:sz w:val="22"/>
                <w:szCs w:val="22"/>
                <w:shd w:val="clear" w:color="auto" w:fill="FFFFFF"/>
              </w:rPr>
            </w:pPr>
            <w:r>
              <w:rPr>
                <w:rFonts w:ascii="Arial Narrow" w:hAnsi="Arial Narrow" w:cs="Arial"/>
                <w:sz w:val="22"/>
                <w:szCs w:val="22"/>
                <w:shd w:val="clear" w:color="auto" w:fill="FFFFFF"/>
              </w:rPr>
              <w:t>E</w:t>
            </w:r>
            <w:r w:rsidRPr="00DF2A9E">
              <w:rPr>
                <w:rFonts w:ascii="Arial Narrow" w:hAnsi="Arial Narrow" w:cs="Arial"/>
                <w:sz w:val="22"/>
                <w:szCs w:val="22"/>
                <w:shd w:val="clear" w:color="auto" w:fill="FFFFFF"/>
              </w:rPr>
              <w:t>n relación con la figura del silencio administrativo positivo (SAP), la Corte ha sido clara en señalar que su aplicación debe limitarse a los casos expresamente autorizados por la ley</w:t>
            </w:r>
            <w:r w:rsidR="0057260E">
              <w:rPr>
                <w:rFonts w:ascii="Arial Narrow" w:hAnsi="Arial Narrow" w:cs="Arial"/>
                <w:sz w:val="22"/>
                <w:szCs w:val="22"/>
                <w:shd w:val="clear" w:color="auto" w:fill="FFFFFF"/>
              </w:rPr>
              <w:t xml:space="preserve"> </w:t>
            </w:r>
            <w:r w:rsidR="00DF7B19" w:rsidRPr="00DF7B19">
              <w:rPr>
                <w:rFonts w:ascii="Arial Narrow" w:hAnsi="Arial Narrow" w:cs="Arial"/>
                <w:sz w:val="22"/>
                <w:szCs w:val="22"/>
                <w:shd w:val="clear" w:color="auto" w:fill="FFFFFF"/>
              </w:rPr>
              <w:t>mediante Sentencia C-875 de 2011</w:t>
            </w:r>
            <w:r w:rsidR="0057260E">
              <w:rPr>
                <w:rFonts w:ascii="Arial Narrow" w:hAnsi="Arial Narrow" w:cs="Arial"/>
                <w:sz w:val="22"/>
                <w:szCs w:val="22"/>
                <w:shd w:val="clear" w:color="auto" w:fill="FFFFFF"/>
              </w:rPr>
              <w:t>, en la cual</w:t>
            </w:r>
            <w:r w:rsidR="00DF7B19" w:rsidRPr="00DF7B19">
              <w:rPr>
                <w:rFonts w:ascii="Arial Narrow" w:hAnsi="Arial Narrow" w:cs="Arial"/>
                <w:sz w:val="22"/>
                <w:szCs w:val="22"/>
                <w:shd w:val="clear" w:color="auto" w:fill="FFFFFF"/>
              </w:rPr>
              <w:t xml:space="preserve"> señaló que “</w:t>
            </w:r>
            <w:r w:rsidR="00DF7B19" w:rsidRPr="0057260E">
              <w:rPr>
                <w:rFonts w:ascii="Arial Narrow" w:hAnsi="Arial Narrow" w:cs="Arial"/>
                <w:i/>
                <w:iCs/>
                <w:sz w:val="22"/>
                <w:szCs w:val="22"/>
                <w:shd w:val="clear" w:color="auto" w:fill="FFFFFF"/>
              </w:rPr>
              <w:t>[e]l silencio administrativo opera de manera excepcional y su consagración legal es taxativa. Consiste en la presunción legal en virtud de la cual, transcurrido un término sin que la administración resuelva, se entienden concedidos la petición o el recurso</w:t>
            </w:r>
            <w:r w:rsidR="00DF7B19" w:rsidRPr="00DF7B19">
              <w:rPr>
                <w:rFonts w:ascii="Arial Narrow" w:hAnsi="Arial Narrow" w:cs="Arial"/>
                <w:sz w:val="22"/>
                <w:szCs w:val="22"/>
                <w:shd w:val="clear" w:color="auto" w:fill="FFFFFF"/>
              </w:rPr>
              <w:t>.”</w:t>
            </w:r>
            <w:r w:rsidR="002627BC">
              <w:rPr>
                <w:rFonts w:ascii="Arial Narrow" w:hAnsi="Arial Narrow" w:cs="Arial"/>
                <w:sz w:val="22"/>
                <w:szCs w:val="22"/>
                <w:shd w:val="clear" w:color="auto" w:fill="FFFFFF"/>
              </w:rPr>
              <w:t xml:space="preserve"> Por su parte, l</w:t>
            </w:r>
            <w:r w:rsidR="002627BC" w:rsidRPr="002627BC">
              <w:rPr>
                <w:rFonts w:ascii="Arial Narrow" w:hAnsi="Arial Narrow" w:cs="Arial"/>
                <w:sz w:val="22"/>
                <w:szCs w:val="22"/>
                <w:shd w:val="clear" w:color="auto" w:fill="FFFFFF"/>
              </w:rPr>
              <w:t>a Corte Constitucional ha destacado que el principio de autonomía territorial, consagrado en el artículo 287 de la Constitución Política, implica la competencia de las entidades territoriales para gestionar su territorio, incluyendo el uso del espacio público y el ordenamiento territorial.</w:t>
            </w:r>
          </w:p>
          <w:p w14:paraId="7240D07D" w14:textId="77777777" w:rsidR="00DF7B19" w:rsidRPr="007C2195" w:rsidRDefault="00DF7B19" w:rsidP="00283D6A">
            <w:pPr>
              <w:jc w:val="both"/>
              <w:rPr>
                <w:rFonts w:ascii="Arial Narrow" w:hAnsi="Arial Narrow" w:cs="Arial"/>
                <w:color w:val="000000" w:themeColor="text1"/>
                <w:sz w:val="22"/>
                <w:szCs w:val="22"/>
                <w:lang w:val="es-CO" w:eastAsia="es-CO"/>
              </w:rPr>
            </w:pPr>
          </w:p>
          <w:p w14:paraId="7D154299" w14:textId="58A8F990" w:rsidR="00D05B67" w:rsidRPr="007C2195" w:rsidRDefault="00B2260E" w:rsidP="00283D6A">
            <w:pPr>
              <w:ind w:left="494" w:hanging="283"/>
              <w:jc w:val="both"/>
              <w:rPr>
                <w:rFonts w:ascii="Arial Narrow" w:hAnsi="Arial Narrow" w:cs="Arial"/>
                <w:b/>
                <w:bCs/>
                <w:color w:val="000000" w:themeColor="text1"/>
                <w:sz w:val="22"/>
                <w:szCs w:val="22"/>
                <w:lang w:val="es-CO" w:eastAsia="es-CO"/>
              </w:rPr>
            </w:pPr>
            <w:r w:rsidRPr="007C2195">
              <w:rPr>
                <w:rFonts w:ascii="Arial Narrow" w:hAnsi="Arial Narrow" w:cs="Arial"/>
                <w:b/>
                <w:bCs/>
                <w:color w:val="000000" w:themeColor="text1"/>
                <w:sz w:val="22"/>
                <w:szCs w:val="22"/>
                <w:lang w:val="es-CO" w:eastAsia="es-CO"/>
              </w:rPr>
              <w:t xml:space="preserve">3.5. </w:t>
            </w:r>
            <w:r w:rsidR="00D05B67" w:rsidRPr="007C2195">
              <w:rPr>
                <w:rFonts w:ascii="Arial Narrow" w:hAnsi="Arial Narrow" w:cs="Arial"/>
                <w:b/>
                <w:bCs/>
                <w:color w:val="000000" w:themeColor="text1"/>
                <w:sz w:val="22"/>
                <w:szCs w:val="22"/>
                <w:lang w:val="es-CO" w:eastAsia="es-CO"/>
              </w:rPr>
              <w:t xml:space="preserve">Circunstancias jurídicas adicionales </w:t>
            </w:r>
          </w:p>
          <w:p w14:paraId="3016C9A8" w14:textId="77777777" w:rsidR="00847BE1" w:rsidRPr="007C2195" w:rsidRDefault="00847BE1" w:rsidP="00283D6A">
            <w:pPr>
              <w:jc w:val="both"/>
              <w:rPr>
                <w:rFonts w:ascii="Arial Narrow" w:hAnsi="Arial Narrow" w:cs="Arial"/>
                <w:sz w:val="22"/>
                <w:szCs w:val="22"/>
                <w:shd w:val="clear" w:color="auto" w:fill="FFFFFF"/>
                <w:lang w:eastAsia="es-CO"/>
              </w:rPr>
            </w:pPr>
          </w:p>
          <w:p w14:paraId="15F9835F" w14:textId="77777777" w:rsidR="00190A17" w:rsidRPr="00190A17" w:rsidRDefault="00190A17" w:rsidP="00190A17">
            <w:pPr>
              <w:jc w:val="both"/>
              <w:rPr>
                <w:rFonts w:ascii="Arial Narrow" w:hAnsi="Arial Narrow" w:cs="Arial"/>
                <w:sz w:val="22"/>
                <w:szCs w:val="22"/>
                <w:shd w:val="clear" w:color="auto" w:fill="FFFFFF"/>
                <w:lang w:val="es-CO" w:eastAsia="es-CO"/>
              </w:rPr>
            </w:pPr>
            <w:r w:rsidRPr="00190A17">
              <w:rPr>
                <w:rFonts w:ascii="Arial Narrow" w:hAnsi="Arial Narrow" w:cs="Arial"/>
                <w:sz w:val="22"/>
                <w:szCs w:val="22"/>
                <w:shd w:val="clear" w:color="auto" w:fill="FFFFFF"/>
                <w:lang w:val="es-CO" w:eastAsia="es-CO"/>
              </w:rPr>
              <w:t>El tratamiento jurídico diferenciado entre regularización e instalación nueva garantiza el principio de legalidad y evita que situaciones de hecho se validen automáticamente por el solo paso del tiempo. Esta precisión fortalece la seguridad jurídica y respeta la reserva legal en materia de procedimientos administrativos sancionatorios o correctivos.</w:t>
            </w:r>
          </w:p>
          <w:p w14:paraId="74720DE6" w14:textId="6B617CB1" w:rsidR="00795C6B" w:rsidRPr="007C2195" w:rsidRDefault="00795C6B" w:rsidP="00283D6A">
            <w:pPr>
              <w:jc w:val="both"/>
              <w:rPr>
                <w:rFonts w:ascii="Arial Narrow" w:hAnsi="Arial Narrow" w:cs="Arial"/>
                <w:color w:val="000000" w:themeColor="text1"/>
                <w:sz w:val="22"/>
                <w:szCs w:val="22"/>
                <w:lang w:val="es-CO" w:eastAsia="es-CO"/>
              </w:rPr>
            </w:pPr>
          </w:p>
        </w:tc>
      </w:tr>
      <w:tr w:rsidR="00DF60FD" w:rsidRPr="007C2195" w14:paraId="6EEDB6EA" w14:textId="77777777" w:rsidTr="0075705D">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F282E9" w14:textId="77777777" w:rsidR="00843EFF" w:rsidRPr="007C2195" w:rsidRDefault="00843EFF" w:rsidP="00283D6A">
            <w:pPr>
              <w:jc w:val="both"/>
              <w:rPr>
                <w:rFonts w:ascii="Arial Narrow" w:hAnsi="Arial Narrow" w:cs="Arial"/>
                <w:b/>
                <w:color w:val="000000" w:themeColor="text1"/>
                <w:sz w:val="22"/>
                <w:szCs w:val="22"/>
              </w:rPr>
            </w:pPr>
          </w:p>
          <w:p w14:paraId="4795114A" w14:textId="77777777" w:rsidR="00DF60FD" w:rsidRPr="007C2195" w:rsidRDefault="00DF60FD" w:rsidP="00283D6A">
            <w:pPr>
              <w:numPr>
                <w:ilvl w:val="0"/>
                <w:numId w:val="45"/>
              </w:numPr>
              <w:jc w:val="both"/>
              <w:rPr>
                <w:rFonts w:ascii="Arial Narrow" w:hAnsi="Arial Narrow" w:cs="Arial"/>
                <w:b/>
                <w:color w:val="000000" w:themeColor="text1"/>
                <w:sz w:val="22"/>
                <w:szCs w:val="22"/>
              </w:rPr>
            </w:pPr>
            <w:r w:rsidRPr="007C2195">
              <w:rPr>
                <w:rFonts w:ascii="Arial Narrow" w:hAnsi="Arial Narrow" w:cs="Arial"/>
                <w:b/>
                <w:color w:val="000000" w:themeColor="text1"/>
                <w:sz w:val="22"/>
                <w:szCs w:val="22"/>
              </w:rPr>
              <w:t xml:space="preserve">IMPACTO ECONÓMICO </w:t>
            </w:r>
            <w:r w:rsidR="00D05B67" w:rsidRPr="007C2195">
              <w:rPr>
                <w:rFonts w:ascii="Arial Narrow" w:hAnsi="Arial Narrow" w:cs="Arial"/>
                <w:color w:val="000000" w:themeColor="text1"/>
                <w:sz w:val="22"/>
                <w:szCs w:val="22"/>
              </w:rPr>
              <w:t>(Si se requiere)</w:t>
            </w:r>
          </w:p>
          <w:p w14:paraId="0ED8E521" w14:textId="77777777" w:rsidR="00BA1B3E" w:rsidRPr="007C2195" w:rsidRDefault="00BA1B3E" w:rsidP="00283D6A">
            <w:pPr>
              <w:jc w:val="both"/>
              <w:rPr>
                <w:rFonts w:ascii="Arial Narrow" w:hAnsi="Arial Narrow" w:cs="Arial"/>
                <w:sz w:val="22"/>
                <w:szCs w:val="22"/>
                <w:shd w:val="clear" w:color="auto" w:fill="FFFFFF"/>
                <w:lang w:eastAsia="es-CO"/>
              </w:rPr>
            </w:pPr>
          </w:p>
          <w:p w14:paraId="78DA7973" w14:textId="5F4BF2D2" w:rsidR="00BA1B3E" w:rsidRPr="007C2195" w:rsidRDefault="00E22018" w:rsidP="00283D6A">
            <w:pPr>
              <w:jc w:val="both"/>
              <w:rPr>
                <w:rFonts w:ascii="Arial Narrow" w:hAnsi="Arial Narrow" w:cs="Arial"/>
                <w:sz w:val="22"/>
                <w:szCs w:val="22"/>
                <w:shd w:val="clear" w:color="auto" w:fill="FFFFFF"/>
                <w:lang w:eastAsia="es-CO"/>
              </w:rPr>
            </w:pPr>
            <w:r w:rsidRPr="007C2195">
              <w:rPr>
                <w:rFonts w:ascii="Arial Narrow" w:hAnsi="Arial Narrow" w:cs="Arial"/>
                <w:sz w:val="22"/>
                <w:szCs w:val="22"/>
                <w:shd w:val="clear" w:color="auto" w:fill="FFFFFF"/>
                <w:lang w:eastAsia="es-CO"/>
              </w:rPr>
              <w:t xml:space="preserve">El proyecto de </w:t>
            </w:r>
            <w:r w:rsidR="007E64F1" w:rsidRPr="007C2195">
              <w:rPr>
                <w:rFonts w:ascii="Arial Narrow" w:hAnsi="Arial Narrow" w:cs="Arial"/>
                <w:sz w:val="22"/>
                <w:szCs w:val="22"/>
                <w:shd w:val="clear" w:color="auto" w:fill="FFFFFF"/>
                <w:lang w:eastAsia="es-CO"/>
              </w:rPr>
              <w:t>d</w:t>
            </w:r>
            <w:r w:rsidRPr="007C2195">
              <w:rPr>
                <w:rFonts w:ascii="Arial Narrow" w:hAnsi="Arial Narrow" w:cs="Arial"/>
                <w:sz w:val="22"/>
                <w:szCs w:val="22"/>
                <w:shd w:val="clear" w:color="auto" w:fill="FFFFFF"/>
                <w:lang w:eastAsia="es-CO"/>
              </w:rPr>
              <w:t>ecreto no genera impacto económico</w:t>
            </w:r>
            <w:r w:rsidR="00B2450A" w:rsidRPr="007C2195">
              <w:rPr>
                <w:rFonts w:ascii="Arial Narrow" w:hAnsi="Arial Narrow" w:cs="Arial"/>
                <w:sz w:val="22"/>
                <w:szCs w:val="22"/>
                <w:shd w:val="clear" w:color="auto" w:fill="FFFFFF"/>
                <w:lang w:eastAsia="es-CO"/>
              </w:rPr>
              <w:t>.</w:t>
            </w:r>
          </w:p>
          <w:p w14:paraId="733FBAC9" w14:textId="7072169A" w:rsidR="00E22018" w:rsidRPr="007C2195" w:rsidRDefault="00E22018" w:rsidP="00283D6A">
            <w:pPr>
              <w:jc w:val="both"/>
              <w:rPr>
                <w:rFonts w:ascii="Arial Narrow" w:hAnsi="Arial Narrow" w:cs="Arial"/>
                <w:color w:val="000000" w:themeColor="text1"/>
                <w:sz w:val="22"/>
                <w:szCs w:val="22"/>
                <w:lang w:val="es-CO"/>
              </w:rPr>
            </w:pPr>
          </w:p>
        </w:tc>
      </w:tr>
      <w:tr w:rsidR="00DF60FD" w:rsidRPr="007C2195" w14:paraId="5561A09B" w14:textId="77777777" w:rsidTr="0075705D">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8F1FA0" w14:textId="77777777" w:rsidR="00843EFF" w:rsidRPr="007C2195" w:rsidRDefault="00843EFF" w:rsidP="00283D6A">
            <w:pPr>
              <w:jc w:val="both"/>
              <w:rPr>
                <w:rFonts w:ascii="Arial Narrow" w:hAnsi="Arial Narrow" w:cs="Arial"/>
                <w:b/>
                <w:color w:val="000000"/>
                <w:sz w:val="22"/>
                <w:szCs w:val="22"/>
              </w:rPr>
            </w:pPr>
          </w:p>
          <w:p w14:paraId="7DBD1743" w14:textId="77777777" w:rsidR="00DF60FD" w:rsidRPr="007C2195" w:rsidRDefault="00795C6B" w:rsidP="00283D6A">
            <w:pPr>
              <w:numPr>
                <w:ilvl w:val="0"/>
                <w:numId w:val="45"/>
              </w:numPr>
              <w:jc w:val="both"/>
              <w:rPr>
                <w:rFonts w:ascii="Arial Narrow" w:hAnsi="Arial Narrow" w:cs="Arial"/>
                <w:b/>
                <w:color w:val="000000"/>
                <w:sz w:val="22"/>
                <w:szCs w:val="22"/>
              </w:rPr>
            </w:pPr>
            <w:r w:rsidRPr="007C2195">
              <w:rPr>
                <w:rFonts w:ascii="Arial Narrow" w:hAnsi="Arial Narrow" w:cs="Arial"/>
                <w:b/>
                <w:color w:val="000000"/>
                <w:sz w:val="22"/>
                <w:szCs w:val="22"/>
              </w:rPr>
              <w:t xml:space="preserve">VIABILIDAD O </w:t>
            </w:r>
            <w:r w:rsidR="00DF60FD" w:rsidRPr="007C2195">
              <w:rPr>
                <w:rFonts w:ascii="Arial Narrow" w:hAnsi="Arial Narrow" w:cs="Arial"/>
                <w:b/>
                <w:color w:val="000000"/>
                <w:sz w:val="22"/>
                <w:szCs w:val="22"/>
              </w:rPr>
              <w:t xml:space="preserve">DISPONIBILIDAD PRESUPUESTAL </w:t>
            </w:r>
            <w:r w:rsidR="00D05B67" w:rsidRPr="007C2195">
              <w:rPr>
                <w:rFonts w:ascii="Arial Narrow" w:hAnsi="Arial Narrow" w:cs="Arial"/>
                <w:color w:val="000000"/>
                <w:sz w:val="22"/>
                <w:szCs w:val="22"/>
              </w:rPr>
              <w:t>(Si se requiere)</w:t>
            </w:r>
          </w:p>
          <w:p w14:paraId="57A29785" w14:textId="77777777" w:rsidR="00F44A2E" w:rsidRPr="007C2195" w:rsidRDefault="00F44A2E" w:rsidP="00283D6A">
            <w:pPr>
              <w:jc w:val="both"/>
              <w:rPr>
                <w:rFonts w:ascii="Arial Narrow" w:hAnsi="Arial Narrow"/>
                <w:sz w:val="22"/>
                <w:szCs w:val="22"/>
                <w:lang w:eastAsia="es-CO"/>
              </w:rPr>
            </w:pPr>
          </w:p>
          <w:p w14:paraId="4AAA52F6" w14:textId="390A0772" w:rsidR="00696582" w:rsidRPr="007C2195" w:rsidRDefault="005B2270" w:rsidP="00283D6A">
            <w:pPr>
              <w:jc w:val="both"/>
              <w:rPr>
                <w:rFonts w:ascii="Arial Narrow" w:hAnsi="Arial Narrow" w:cs="Arial"/>
                <w:sz w:val="22"/>
                <w:szCs w:val="22"/>
                <w:shd w:val="clear" w:color="auto" w:fill="FFFFFF"/>
                <w:lang w:eastAsia="es-CO"/>
              </w:rPr>
            </w:pPr>
            <w:r w:rsidRPr="007C2195">
              <w:rPr>
                <w:rFonts w:ascii="Arial Narrow" w:hAnsi="Arial Narrow" w:cs="Arial"/>
                <w:sz w:val="22"/>
                <w:szCs w:val="22"/>
                <w:shd w:val="clear" w:color="auto" w:fill="FFFFFF"/>
                <w:lang w:eastAsia="es-CO"/>
              </w:rPr>
              <w:t>En razón a que la expedición del Decreto no genera erogación alguna de recursos por parte del Estado, no se requiere disponibilidad presupuestal.</w:t>
            </w:r>
          </w:p>
          <w:p w14:paraId="139BA6FB" w14:textId="033D75D2" w:rsidR="00F77DB8" w:rsidRPr="007C2195" w:rsidRDefault="00F77DB8" w:rsidP="00283D6A">
            <w:pPr>
              <w:jc w:val="both"/>
              <w:rPr>
                <w:rFonts w:ascii="Arial Narrow" w:hAnsi="Arial Narrow"/>
                <w:sz w:val="22"/>
                <w:szCs w:val="22"/>
                <w:lang w:eastAsia="es-CO"/>
              </w:rPr>
            </w:pPr>
          </w:p>
        </w:tc>
      </w:tr>
      <w:tr w:rsidR="00DF60FD" w:rsidRPr="007C2195" w14:paraId="3380BF08" w14:textId="77777777" w:rsidTr="00696582">
        <w:trPr>
          <w:trHeight w:val="1295"/>
        </w:trPr>
        <w:tc>
          <w:tcPr>
            <w:tcW w:w="10774" w:type="dxa"/>
            <w:gridSpan w:val="3"/>
            <w:tcBorders>
              <w:top w:val="single" w:sz="4" w:space="0" w:color="auto"/>
              <w:bottom w:val="single" w:sz="4" w:space="0" w:color="auto"/>
            </w:tcBorders>
            <w:shd w:val="clear" w:color="auto" w:fill="FFFFFF"/>
            <w:vAlign w:val="center"/>
          </w:tcPr>
          <w:p w14:paraId="6EAA690A" w14:textId="77777777" w:rsidR="00B90778" w:rsidRPr="007C2195" w:rsidRDefault="00B90778" w:rsidP="00283D6A">
            <w:pPr>
              <w:ind w:left="720"/>
              <w:jc w:val="both"/>
              <w:rPr>
                <w:rFonts w:ascii="Arial Narrow" w:hAnsi="Arial Narrow" w:cs="Arial"/>
                <w:b/>
                <w:color w:val="000000"/>
                <w:sz w:val="22"/>
                <w:szCs w:val="22"/>
              </w:rPr>
            </w:pPr>
          </w:p>
          <w:p w14:paraId="1D5B47B5" w14:textId="5F522D8D" w:rsidR="00DF60FD" w:rsidRPr="007C2195" w:rsidRDefault="00DF60FD" w:rsidP="00283D6A">
            <w:pPr>
              <w:numPr>
                <w:ilvl w:val="0"/>
                <w:numId w:val="45"/>
              </w:numPr>
              <w:jc w:val="both"/>
              <w:rPr>
                <w:rFonts w:ascii="Arial Narrow" w:hAnsi="Arial Narrow" w:cs="Arial"/>
                <w:b/>
                <w:color w:val="000000"/>
                <w:sz w:val="22"/>
                <w:szCs w:val="22"/>
              </w:rPr>
            </w:pPr>
            <w:r w:rsidRPr="007C2195">
              <w:rPr>
                <w:rFonts w:ascii="Arial Narrow" w:hAnsi="Arial Narrow" w:cs="Arial"/>
                <w:b/>
                <w:color w:val="000000"/>
                <w:sz w:val="22"/>
                <w:szCs w:val="22"/>
              </w:rPr>
              <w:t xml:space="preserve"> IMPACTO MEDIOAMBIENTAL O SOBRE EL PATRIMONIO CULTURAL DE LA NACIÓN </w:t>
            </w:r>
            <w:r w:rsidR="00D05B67" w:rsidRPr="007C2195">
              <w:rPr>
                <w:rFonts w:ascii="Arial Narrow" w:hAnsi="Arial Narrow" w:cs="Arial"/>
                <w:color w:val="000000"/>
                <w:sz w:val="22"/>
                <w:szCs w:val="22"/>
              </w:rPr>
              <w:t>(Si se requiere)</w:t>
            </w:r>
          </w:p>
          <w:p w14:paraId="163B77B2" w14:textId="77777777" w:rsidR="003E58D6" w:rsidRPr="007C2195" w:rsidRDefault="003E58D6" w:rsidP="00283D6A">
            <w:pPr>
              <w:jc w:val="both"/>
              <w:rPr>
                <w:rFonts w:ascii="Arial Narrow" w:hAnsi="Arial Narrow" w:cs="Arial"/>
                <w:sz w:val="22"/>
                <w:szCs w:val="22"/>
                <w:shd w:val="clear" w:color="auto" w:fill="FFFFFF"/>
                <w:lang w:eastAsia="es-CO"/>
              </w:rPr>
            </w:pPr>
          </w:p>
          <w:p w14:paraId="6C0851EA" w14:textId="648B6650" w:rsidR="003E58D6" w:rsidRPr="007C2195" w:rsidRDefault="003E58D6" w:rsidP="00283D6A">
            <w:pPr>
              <w:jc w:val="both"/>
              <w:rPr>
                <w:rFonts w:ascii="Arial Narrow" w:hAnsi="Arial Narrow" w:cs="Arial"/>
                <w:sz w:val="22"/>
                <w:szCs w:val="22"/>
                <w:shd w:val="clear" w:color="auto" w:fill="FFFFFF"/>
                <w:lang w:eastAsia="es-CO"/>
              </w:rPr>
            </w:pPr>
            <w:r w:rsidRPr="007C2195">
              <w:rPr>
                <w:rFonts w:ascii="Arial Narrow" w:hAnsi="Arial Narrow" w:cs="Arial"/>
                <w:sz w:val="22"/>
                <w:szCs w:val="22"/>
                <w:shd w:val="clear" w:color="auto" w:fill="FFFFFF"/>
                <w:lang w:eastAsia="es-CO"/>
              </w:rPr>
              <w:t>La norma por expedir no genera impacto ni sobre el medio ambiente ni sobre el patrimonio cultural de la Nación</w:t>
            </w:r>
            <w:r w:rsidR="004D12C3" w:rsidRPr="007C2195">
              <w:rPr>
                <w:rFonts w:ascii="Arial Narrow" w:hAnsi="Arial Narrow" w:cs="Arial"/>
                <w:sz w:val="22"/>
                <w:szCs w:val="22"/>
                <w:shd w:val="clear" w:color="auto" w:fill="FFFFFF"/>
                <w:lang w:eastAsia="es-CO"/>
              </w:rPr>
              <w:t xml:space="preserve">, toda vez que </w:t>
            </w:r>
            <w:r w:rsidR="004C5EE6" w:rsidRPr="007C2195">
              <w:rPr>
                <w:rFonts w:ascii="Arial Narrow" w:hAnsi="Arial Narrow" w:cs="Arial"/>
                <w:sz w:val="22"/>
                <w:szCs w:val="22"/>
                <w:shd w:val="clear" w:color="auto" w:fill="FFFFFF"/>
                <w:lang w:eastAsia="es-CO"/>
              </w:rPr>
              <w:t xml:space="preserve">el presente proyecto de Decreto no modifica las normas de </w:t>
            </w:r>
            <w:r w:rsidR="0026676D" w:rsidRPr="007C2195">
              <w:rPr>
                <w:rFonts w:ascii="Arial Narrow" w:hAnsi="Arial Narrow" w:cs="Arial"/>
                <w:sz w:val="22"/>
                <w:szCs w:val="22"/>
                <w:shd w:val="clear" w:color="auto" w:fill="FFFFFF"/>
                <w:lang w:eastAsia="es-CO"/>
              </w:rPr>
              <w:t>carácter ambiental y cultural qu</w:t>
            </w:r>
            <w:r w:rsidR="005639AA" w:rsidRPr="007C2195">
              <w:rPr>
                <w:rFonts w:ascii="Arial Narrow" w:hAnsi="Arial Narrow" w:cs="Arial"/>
                <w:sz w:val="22"/>
                <w:szCs w:val="22"/>
                <w:shd w:val="clear" w:color="auto" w:fill="FFFFFF"/>
                <w:lang w:eastAsia="es-CO"/>
              </w:rPr>
              <w:t xml:space="preserve">e deben cumplirse para el despliegue de infraestructura de telecomunicaciones. </w:t>
            </w:r>
          </w:p>
          <w:p w14:paraId="49D2B544" w14:textId="77777777" w:rsidR="00696582" w:rsidRPr="007C2195" w:rsidRDefault="00696582" w:rsidP="00283D6A">
            <w:pPr>
              <w:jc w:val="both"/>
              <w:rPr>
                <w:rFonts w:ascii="Arial Narrow" w:hAnsi="Arial Narrow" w:cs="Arial"/>
                <w:b/>
                <w:color w:val="000000"/>
                <w:sz w:val="22"/>
                <w:szCs w:val="22"/>
              </w:rPr>
            </w:pPr>
          </w:p>
        </w:tc>
      </w:tr>
      <w:tr w:rsidR="00DF60FD" w:rsidRPr="007C2195" w14:paraId="7FFFE844"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4A2B254C" w14:textId="77777777" w:rsidR="00B90778" w:rsidRPr="007C2195" w:rsidRDefault="00B90778" w:rsidP="00283D6A">
            <w:pPr>
              <w:ind w:left="720"/>
              <w:jc w:val="both"/>
              <w:rPr>
                <w:rFonts w:ascii="Arial Narrow" w:hAnsi="Arial Narrow" w:cs="Arial"/>
                <w:sz w:val="22"/>
                <w:szCs w:val="22"/>
              </w:rPr>
            </w:pPr>
          </w:p>
          <w:p w14:paraId="2ED3B35C" w14:textId="56D5264C" w:rsidR="00D05B67" w:rsidRPr="007C2195" w:rsidRDefault="00D05B67" w:rsidP="00283D6A">
            <w:pPr>
              <w:numPr>
                <w:ilvl w:val="0"/>
                <w:numId w:val="45"/>
              </w:numPr>
              <w:jc w:val="both"/>
              <w:rPr>
                <w:rFonts w:ascii="Arial Narrow" w:hAnsi="Arial Narrow" w:cs="Arial"/>
                <w:sz w:val="22"/>
                <w:szCs w:val="22"/>
              </w:rPr>
            </w:pPr>
            <w:r w:rsidRPr="007C2195">
              <w:rPr>
                <w:rFonts w:ascii="Arial Narrow" w:hAnsi="Arial Narrow" w:cs="Arial"/>
                <w:b/>
                <w:sz w:val="22"/>
                <w:szCs w:val="22"/>
              </w:rPr>
              <w:t>ESTUDIOS TÉCNICOS QUE SUSTENTEN EL PROYECTO NORMATIVO</w:t>
            </w:r>
            <w:r w:rsidRPr="007C2195">
              <w:rPr>
                <w:rFonts w:ascii="Arial Narrow" w:hAnsi="Arial Narrow" w:cs="Arial"/>
                <w:sz w:val="22"/>
                <w:szCs w:val="22"/>
              </w:rPr>
              <w:t xml:space="preserve"> (Si cuenta con ellos)</w:t>
            </w:r>
            <w:r w:rsidR="00696582" w:rsidRPr="007C2195">
              <w:rPr>
                <w:rFonts w:ascii="Arial Narrow" w:hAnsi="Arial Narrow" w:cs="Arial"/>
                <w:sz w:val="22"/>
                <w:szCs w:val="22"/>
              </w:rPr>
              <w:t xml:space="preserve"> </w:t>
            </w:r>
          </w:p>
          <w:p w14:paraId="01F8F92D" w14:textId="77777777" w:rsidR="00B90778" w:rsidRPr="007C2195" w:rsidRDefault="00B90778" w:rsidP="00283D6A">
            <w:pPr>
              <w:jc w:val="both"/>
              <w:rPr>
                <w:rFonts w:ascii="Arial Narrow" w:hAnsi="Arial Narrow" w:cs="Arial"/>
                <w:sz w:val="22"/>
                <w:szCs w:val="22"/>
              </w:rPr>
            </w:pPr>
          </w:p>
          <w:p w14:paraId="28522861" w14:textId="77777777" w:rsidR="00B90778" w:rsidRPr="007C2195" w:rsidRDefault="00B90778" w:rsidP="00283D6A">
            <w:pPr>
              <w:jc w:val="both"/>
              <w:rPr>
                <w:rFonts w:ascii="Arial Narrow" w:hAnsi="Arial Narrow" w:cs="Arial"/>
                <w:sz w:val="22"/>
                <w:szCs w:val="22"/>
                <w:shd w:val="clear" w:color="auto" w:fill="FFFFFF"/>
                <w:lang w:eastAsia="es-CO"/>
              </w:rPr>
            </w:pPr>
            <w:r w:rsidRPr="007C2195">
              <w:rPr>
                <w:rFonts w:ascii="Arial Narrow" w:hAnsi="Arial Narrow" w:cs="Arial"/>
                <w:sz w:val="22"/>
                <w:szCs w:val="22"/>
                <w:shd w:val="clear" w:color="auto" w:fill="FFFFFF"/>
                <w:lang w:eastAsia="es-CO"/>
              </w:rPr>
              <w:t>No aplica en el caso particular.</w:t>
            </w:r>
          </w:p>
          <w:p w14:paraId="6D2D5AC3" w14:textId="32205EFA" w:rsidR="00B90778" w:rsidRPr="007C2195" w:rsidRDefault="00B90778" w:rsidP="00283D6A">
            <w:pPr>
              <w:jc w:val="both"/>
              <w:rPr>
                <w:rFonts w:ascii="Arial Narrow" w:hAnsi="Arial Narrow" w:cs="Arial"/>
                <w:sz w:val="22"/>
                <w:szCs w:val="22"/>
              </w:rPr>
            </w:pPr>
          </w:p>
        </w:tc>
      </w:tr>
      <w:tr w:rsidR="00DF60FD" w:rsidRPr="007C2195" w14:paraId="05769870" w14:textId="77777777" w:rsidTr="00112EF1">
        <w:trPr>
          <w:trHeight w:val="416"/>
        </w:trPr>
        <w:tc>
          <w:tcPr>
            <w:tcW w:w="10774" w:type="dxa"/>
            <w:gridSpan w:val="3"/>
            <w:tcBorders>
              <w:top w:val="single" w:sz="4" w:space="0" w:color="auto"/>
              <w:bottom w:val="single" w:sz="4" w:space="0" w:color="auto"/>
            </w:tcBorders>
            <w:shd w:val="clear" w:color="auto" w:fill="D9D9D9"/>
            <w:vAlign w:val="center"/>
          </w:tcPr>
          <w:p w14:paraId="6D984406" w14:textId="77777777" w:rsidR="00F55DC4" w:rsidRPr="007C2195" w:rsidRDefault="00DF60FD" w:rsidP="00283D6A">
            <w:pPr>
              <w:jc w:val="both"/>
              <w:rPr>
                <w:rFonts w:ascii="Arial Narrow" w:hAnsi="Arial Narrow" w:cs="Arial"/>
                <w:sz w:val="22"/>
                <w:szCs w:val="22"/>
              </w:rPr>
            </w:pPr>
            <w:r w:rsidRPr="007C2195">
              <w:rPr>
                <w:rFonts w:ascii="Arial Narrow" w:hAnsi="Arial Narrow" w:cs="Arial"/>
                <w:b/>
                <w:sz w:val="22"/>
                <w:szCs w:val="22"/>
              </w:rPr>
              <w:t>ANEXOS</w:t>
            </w:r>
            <w:r w:rsidR="00D05B67" w:rsidRPr="007C2195">
              <w:rPr>
                <w:rFonts w:ascii="Arial Narrow" w:hAnsi="Arial Narrow" w:cs="Arial"/>
                <w:b/>
                <w:sz w:val="22"/>
                <w:szCs w:val="22"/>
              </w:rPr>
              <w:t>:</w:t>
            </w:r>
            <w:r w:rsidR="00696582" w:rsidRPr="007C2195">
              <w:rPr>
                <w:rFonts w:ascii="Arial Narrow" w:hAnsi="Arial Narrow" w:cs="Arial"/>
                <w:sz w:val="22"/>
                <w:szCs w:val="22"/>
              </w:rPr>
              <w:t xml:space="preserve"> </w:t>
            </w:r>
          </w:p>
        </w:tc>
      </w:tr>
      <w:tr w:rsidR="00D05B67" w:rsidRPr="007C2195" w14:paraId="527C3750"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1C2B6B6" w14:textId="77777777" w:rsidR="00D05B67" w:rsidRPr="007C2195" w:rsidRDefault="00D05B67" w:rsidP="00283D6A">
            <w:pPr>
              <w:jc w:val="both"/>
              <w:rPr>
                <w:rFonts w:ascii="Arial Narrow" w:hAnsi="Arial Narrow" w:cs="Arial"/>
                <w:sz w:val="22"/>
                <w:szCs w:val="22"/>
              </w:rPr>
            </w:pPr>
            <w:r w:rsidRPr="007C2195">
              <w:rPr>
                <w:rFonts w:ascii="Arial Narrow" w:hAnsi="Arial Narrow" w:cs="Arial"/>
                <w:sz w:val="22"/>
                <w:szCs w:val="22"/>
              </w:rPr>
              <w:t xml:space="preserve">Certificación de cumplimiento de requisitos de consulta, publicidad y de incorporación en la agenda regulatoria </w:t>
            </w:r>
          </w:p>
          <w:p w14:paraId="15E83C89" w14:textId="77777777" w:rsidR="00D05B67" w:rsidRPr="007C2195" w:rsidRDefault="00D05B67" w:rsidP="00283D6A">
            <w:pPr>
              <w:jc w:val="both"/>
              <w:rPr>
                <w:rFonts w:ascii="Arial Narrow" w:hAnsi="Arial Narrow" w:cs="Arial"/>
                <w:i/>
                <w:color w:val="808080"/>
                <w:sz w:val="22"/>
                <w:szCs w:val="22"/>
              </w:rPr>
            </w:pPr>
            <w:r w:rsidRPr="007C2195">
              <w:rPr>
                <w:rFonts w:ascii="Arial Narrow" w:hAnsi="Arial Narrow" w:cs="Arial"/>
                <w:i/>
                <w:color w:val="808080"/>
                <w:sz w:val="22"/>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09671423" w14:textId="2DE21596" w:rsidR="00D05B67" w:rsidRPr="007C2195" w:rsidRDefault="00D05B67" w:rsidP="00283D6A">
            <w:pPr>
              <w:jc w:val="both"/>
              <w:rPr>
                <w:rFonts w:ascii="Arial Narrow" w:hAnsi="Arial Narrow" w:cs="Arial"/>
                <w:iCs/>
                <w:color w:val="808080"/>
                <w:sz w:val="22"/>
                <w:szCs w:val="22"/>
              </w:rPr>
            </w:pPr>
          </w:p>
        </w:tc>
      </w:tr>
      <w:tr w:rsidR="00D05B67" w:rsidRPr="007C2195" w14:paraId="4B96F93D"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0262E589" w14:textId="77777777" w:rsidR="00D05B67" w:rsidRPr="007C2195" w:rsidRDefault="00D05B67" w:rsidP="00283D6A">
            <w:pPr>
              <w:jc w:val="both"/>
              <w:rPr>
                <w:rFonts w:ascii="Arial Narrow" w:hAnsi="Arial Narrow" w:cs="Arial"/>
                <w:sz w:val="22"/>
                <w:szCs w:val="22"/>
              </w:rPr>
            </w:pPr>
            <w:r w:rsidRPr="007C2195">
              <w:rPr>
                <w:rFonts w:ascii="Arial Narrow" w:hAnsi="Arial Narrow" w:cs="Arial"/>
                <w:sz w:val="22"/>
                <w:szCs w:val="22"/>
              </w:rPr>
              <w:t>Concepto</w:t>
            </w:r>
            <w:r w:rsidR="005F30C3" w:rsidRPr="007C2195">
              <w:rPr>
                <w:rFonts w:ascii="Arial Narrow" w:hAnsi="Arial Narrow" w:cs="Arial"/>
                <w:sz w:val="22"/>
                <w:szCs w:val="22"/>
              </w:rPr>
              <w:t>(s)</w:t>
            </w:r>
            <w:r w:rsidRPr="007C2195">
              <w:rPr>
                <w:rFonts w:ascii="Arial Narrow" w:hAnsi="Arial Narrow" w:cs="Arial"/>
                <w:sz w:val="22"/>
                <w:szCs w:val="22"/>
              </w:rPr>
              <w:t xml:space="preserve"> de Min</w:t>
            </w:r>
            <w:r w:rsidR="005F30C3" w:rsidRPr="007C2195">
              <w:rPr>
                <w:rFonts w:ascii="Arial Narrow" w:hAnsi="Arial Narrow" w:cs="Arial"/>
                <w:sz w:val="22"/>
                <w:szCs w:val="22"/>
              </w:rPr>
              <w:t>isterio de</w:t>
            </w:r>
            <w:r w:rsidRPr="007C2195">
              <w:rPr>
                <w:rFonts w:ascii="Arial Narrow" w:hAnsi="Arial Narrow" w:cs="Arial"/>
                <w:sz w:val="22"/>
                <w:szCs w:val="22"/>
              </w:rPr>
              <w:t xml:space="preserve"> Comercio</w:t>
            </w:r>
            <w:r w:rsidR="005F30C3" w:rsidRPr="007C2195">
              <w:rPr>
                <w:rFonts w:ascii="Arial Narrow" w:hAnsi="Arial Narrow" w:cs="Arial"/>
                <w:sz w:val="22"/>
                <w:szCs w:val="22"/>
              </w:rPr>
              <w:t>, Industria y Turismo</w:t>
            </w:r>
          </w:p>
          <w:p w14:paraId="270C7AB5" w14:textId="4C91B98E" w:rsidR="00D05B67" w:rsidRPr="007C2195" w:rsidRDefault="00D05B67" w:rsidP="00283D6A">
            <w:pPr>
              <w:jc w:val="both"/>
              <w:rPr>
                <w:rFonts w:ascii="Arial Narrow" w:hAnsi="Arial Narrow" w:cs="Arial"/>
                <w:i/>
                <w:color w:val="808080"/>
                <w:sz w:val="22"/>
                <w:szCs w:val="22"/>
              </w:rPr>
            </w:pPr>
          </w:p>
        </w:tc>
        <w:tc>
          <w:tcPr>
            <w:tcW w:w="3119" w:type="dxa"/>
            <w:tcBorders>
              <w:top w:val="single" w:sz="4" w:space="0" w:color="auto"/>
              <w:left w:val="single" w:sz="4" w:space="0" w:color="auto"/>
              <w:bottom w:val="single" w:sz="4" w:space="0" w:color="auto"/>
            </w:tcBorders>
            <w:shd w:val="clear" w:color="auto" w:fill="FFFFFF"/>
            <w:vAlign w:val="center"/>
          </w:tcPr>
          <w:p w14:paraId="24CC459A" w14:textId="7015268E" w:rsidR="00D05B67" w:rsidRPr="007C2195" w:rsidRDefault="0035768A" w:rsidP="00283D6A">
            <w:pPr>
              <w:jc w:val="both"/>
              <w:rPr>
                <w:rFonts w:ascii="Arial Narrow" w:hAnsi="Arial Narrow" w:cs="Arial"/>
                <w:sz w:val="22"/>
                <w:szCs w:val="22"/>
              </w:rPr>
            </w:pPr>
            <w:r w:rsidRPr="007C2195">
              <w:rPr>
                <w:rFonts w:ascii="Arial Narrow" w:hAnsi="Arial Narrow" w:cs="Arial"/>
                <w:sz w:val="22"/>
                <w:szCs w:val="22"/>
              </w:rPr>
              <w:t>N.A.</w:t>
            </w:r>
          </w:p>
        </w:tc>
      </w:tr>
      <w:tr w:rsidR="005F30C3" w:rsidRPr="007C2195" w14:paraId="4241CE5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9E48042" w14:textId="77777777" w:rsidR="005F30C3" w:rsidRPr="007C2195" w:rsidRDefault="005F30C3" w:rsidP="00283D6A">
            <w:pPr>
              <w:jc w:val="both"/>
              <w:rPr>
                <w:rFonts w:ascii="Arial Narrow" w:hAnsi="Arial Narrow" w:cs="Arial"/>
                <w:sz w:val="22"/>
                <w:szCs w:val="22"/>
              </w:rPr>
            </w:pPr>
            <w:r w:rsidRPr="007C2195">
              <w:rPr>
                <w:rFonts w:ascii="Arial Narrow" w:hAnsi="Arial Narrow" w:cs="Arial"/>
                <w:sz w:val="22"/>
                <w:szCs w:val="22"/>
              </w:rPr>
              <w:t xml:space="preserve">Informe de observaciones y respuestas </w:t>
            </w:r>
          </w:p>
          <w:p w14:paraId="4E1961C8" w14:textId="7FAF5740" w:rsidR="005F30C3" w:rsidRPr="007C2195" w:rsidRDefault="005F30C3" w:rsidP="00283D6A">
            <w:pPr>
              <w:jc w:val="both"/>
              <w:rPr>
                <w:rFonts w:ascii="Arial Narrow" w:hAnsi="Arial Narrow" w:cs="Arial"/>
                <w:i/>
                <w:color w:val="808080"/>
                <w:sz w:val="22"/>
                <w:szCs w:val="22"/>
              </w:rPr>
            </w:pPr>
          </w:p>
        </w:tc>
        <w:tc>
          <w:tcPr>
            <w:tcW w:w="3119" w:type="dxa"/>
            <w:tcBorders>
              <w:top w:val="single" w:sz="4" w:space="0" w:color="auto"/>
              <w:left w:val="single" w:sz="4" w:space="0" w:color="auto"/>
              <w:bottom w:val="single" w:sz="4" w:space="0" w:color="auto"/>
            </w:tcBorders>
            <w:shd w:val="clear" w:color="auto" w:fill="FFFFFF"/>
            <w:vAlign w:val="center"/>
          </w:tcPr>
          <w:p w14:paraId="3EC90E99" w14:textId="1FFC53B6" w:rsidR="005F30C3" w:rsidRPr="007C2195" w:rsidRDefault="0048399B" w:rsidP="00283D6A">
            <w:pPr>
              <w:jc w:val="both"/>
              <w:rPr>
                <w:rFonts w:ascii="Arial Narrow" w:hAnsi="Arial Narrow" w:cs="Arial"/>
                <w:sz w:val="22"/>
                <w:szCs w:val="22"/>
              </w:rPr>
            </w:pPr>
            <w:r w:rsidRPr="007C2195">
              <w:rPr>
                <w:rFonts w:ascii="Arial Narrow" w:hAnsi="Arial Narrow" w:cs="Arial"/>
                <w:sz w:val="22"/>
                <w:szCs w:val="22"/>
              </w:rPr>
              <w:t>x</w:t>
            </w:r>
          </w:p>
        </w:tc>
      </w:tr>
      <w:tr w:rsidR="005F30C3" w:rsidRPr="007C2195" w14:paraId="07676EB5"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19683E6" w14:textId="77777777" w:rsidR="005F30C3" w:rsidRPr="007C2195" w:rsidRDefault="005F30C3" w:rsidP="00283D6A">
            <w:pPr>
              <w:jc w:val="both"/>
              <w:rPr>
                <w:rFonts w:ascii="Arial Narrow" w:hAnsi="Arial Narrow" w:cs="Arial"/>
                <w:sz w:val="22"/>
                <w:szCs w:val="22"/>
              </w:rPr>
            </w:pPr>
            <w:r w:rsidRPr="007C2195">
              <w:rPr>
                <w:rFonts w:ascii="Arial Narrow" w:hAnsi="Arial Narrow" w:cs="Arial"/>
                <w:sz w:val="22"/>
                <w:szCs w:val="22"/>
              </w:rPr>
              <w:t>Concepto de Abogacía de la Competencia de la Superintendencia de Industria y Comercio</w:t>
            </w:r>
          </w:p>
          <w:p w14:paraId="364EFEA6" w14:textId="411254A9" w:rsidR="005F30C3" w:rsidRPr="007C2195" w:rsidRDefault="005F30C3" w:rsidP="00283D6A">
            <w:pPr>
              <w:jc w:val="both"/>
              <w:rPr>
                <w:rFonts w:ascii="Arial Narrow" w:hAnsi="Arial Narrow" w:cs="Arial"/>
                <w:i/>
                <w:color w:val="808080"/>
                <w:sz w:val="22"/>
                <w:szCs w:val="22"/>
              </w:rPr>
            </w:pPr>
          </w:p>
        </w:tc>
        <w:tc>
          <w:tcPr>
            <w:tcW w:w="3119" w:type="dxa"/>
            <w:tcBorders>
              <w:top w:val="single" w:sz="4" w:space="0" w:color="auto"/>
              <w:left w:val="single" w:sz="4" w:space="0" w:color="auto"/>
              <w:bottom w:val="single" w:sz="4" w:space="0" w:color="auto"/>
            </w:tcBorders>
            <w:shd w:val="clear" w:color="auto" w:fill="FFFFFF"/>
            <w:vAlign w:val="center"/>
          </w:tcPr>
          <w:p w14:paraId="0F8BF5F5" w14:textId="29F8B91D" w:rsidR="005F30C3" w:rsidRPr="007C2195" w:rsidRDefault="0035768A" w:rsidP="00283D6A">
            <w:pPr>
              <w:jc w:val="both"/>
              <w:rPr>
                <w:rFonts w:ascii="Arial Narrow" w:hAnsi="Arial Narrow" w:cs="Arial"/>
                <w:sz w:val="22"/>
                <w:szCs w:val="22"/>
              </w:rPr>
            </w:pPr>
            <w:r w:rsidRPr="007C2195">
              <w:rPr>
                <w:rFonts w:ascii="Arial Narrow" w:hAnsi="Arial Narrow" w:cs="Arial"/>
                <w:sz w:val="22"/>
                <w:szCs w:val="22"/>
              </w:rPr>
              <w:t>N.A.</w:t>
            </w:r>
          </w:p>
        </w:tc>
      </w:tr>
      <w:tr w:rsidR="005F30C3" w:rsidRPr="007C2195" w14:paraId="19E5B7F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60EB9CC" w14:textId="77777777" w:rsidR="005F30C3" w:rsidRPr="007C2195" w:rsidRDefault="005F30C3" w:rsidP="00283D6A">
            <w:pPr>
              <w:jc w:val="both"/>
              <w:rPr>
                <w:rFonts w:ascii="Arial Narrow" w:hAnsi="Arial Narrow" w:cs="Arial"/>
                <w:sz w:val="22"/>
                <w:szCs w:val="22"/>
              </w:rPr>
            </w:pPr>
            <w:r w:rsidRPr="007C2195">
              <w:rPr>
                <w:rFonts w:ascii="Arial Narrow" w:hAnsi="Arial Narrow" w:cs="Arial"/>
                <w:sz w:val="22"/>
                <w:szCs w:val="22"/>
              </w:rPr>
              <w:t>Concepto de aprobación nuevos trámites del Departamento Administrativo de la Función Pública</w:t>
            </w:r>
          </w:p>
          <w:p w14:paraId="1DFA88C0" w14:textId="7746A877" w:rsidR="005F30C3" w:rsidRPr="007C2195" w:rsidRDefault="005F30C3" w:rsidP="00283D6A">
            <w:pPr>
              <w:jc w:val="both"/>
              <w:rPr>
                <w:rFonts w:ascii="Arial Narrow" w:hAnsi="Arial Narrow" w:cs="Arial"/>
                <w:sz w:val="22"/>
                <w:szCs w:val="22"/>
              </w:rPr>
            </w:pPr>
          </w:p>
        </w:tc>
        <w:tc>
          <w:tcPr>
            <w:tcW w:w="3119" w:type="dxa"/>
            <w:tcBorders>
              <w:top w:val="single" w:sz="4" w:space="0" w:color="auto"/>
              <w:left w:val="single" w:sz="4" w:space="0" w:color="auto"/>
              <w:bottom w:val="single" w:sz="4" w:space="0" w:color="auto"/>
            </w:tcBorders>
            <w:shd w:val="clear" w:color="auto" w:fill="FFFFFF"/>
            <w:vAlign w:val="center"/>
          </w:tcPr>
          <w:p w14:paraId="2F5CE5B9" w14:textId="6F2A116B" w:rsidR="005F30C3" w:rsidRPr="007C2195" w:rsidRDefault="0035768A" w:rsidP="00283D6A">
            <w:pPr>
              <w:jc w:val="both"/>
              <w:rPr>
                <w:rFonts w:ascii="Arial Narrow" w:hAnsi="Arial Narrow" w:cs="Arial"/>
                <w:sz w:val="22"/>
                <w:szCs w:val="22"/>
              </w:rPr>
            </w:pPr>
            <w:r w:rsidRPr="007C2195">
              <w:rPr>
                <w:rFonts w:ascii="Arial Narrow" w:hAnsi="Arial Narrow" w:cs="Arial"/>
                <w:sz w:val="22"/>
                <w:szCs w:val="22"/>
              </w:rPr>
              <w:t>x</w:t>
            </w:r>
          </w:p>
        </w:tc>
      </w:tr>
      <w:tr w:rsidR="005F30C3" w:rsidRPr="007C2195" w14:paraId="3322BE2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CD006DB" w14:textId="77777777" w:rsidR="005F30C3" w:rsidRPr="007C2195" w:rsidRDefault="005F30C3" w:rsidP="00283D6A">
            <w:pPr>
              <w:jc w:val="both"/>
              <w:rPr>
                <w:rFonts w:ascii="Arial Narrow" w:hAnsi="Arial Narrow" w:cs="Arial"/>
                <w:sz w:val="22"/>
                <w:szCs w:val="22"/>
              </w:rPr>
            </w:pPr>
            <w:r w:rsidRPr="007C2195">
              <w:rPr>
                <w:rFonts w:ascii="Arial Narrow" w:hAnsi="Arial Narrow" w:cs="Arial"/>
                <w:sz w:val="22"/>
                <w:szCs w:val="22"/>
              </w:rPr>
              <w:t xml:space="preserve">Otro </w:t>
            </w:r>
          </w:p>
          <w:p w14:paraId="73A3BDE5" w14:textId="6CB9CB99" w:rsidR="005F30C3" w:rsidRPr="007C2195" w:rsidRDefault="005F30C3" w:rsidP="00283D6A">
            <w:pPr>
              <w:jc w:val="both"/>
              <w:rPr>
                <w:rFonts w:ascii="Arial Narrow" w:hAnsi="Arial Narrow" w:cs="Arial"/>
                <w:sz w:val="22"/>
                <w:szCs w:val="22"/>
              </w:rPr>
            </w:pPr>
          </w:p>
        </w:tc>
        <w:tc>
          <w:tcPr>
            <w:tcW w:w="3119" w:type="dxa"/>
            <w:tcBorders>
              <w:top w:val="single" w:sz="4" w:space="0" w:color="auto"/>
              <w:left w:val="single" w:sz="4" w:space="0" w:color="auto"/>
              <w:bottom w:val="single" w:sz="4" w:space="0" w:color="auto"/>
            </w:tcBorders>
            <w:shd w:val="clear" w:color="auto" w:fill="FFFFFF"/>
            <w:vAlign w:val="center"/>
          </w:tcPr>
          <w:p w14:paraId="6BB8FF30" w14:textId="49BFC610" w:rsidR="005F30C3" w:rsidRPr="007C2195" w:rsidRDefault="005F30C3" w:rsidP="00283D6A">
            <w:pPr>
              <w:jc w:val="both"/>
              <w:rPr>
                <w:rFonts w:ascii="Arial Narrow" w:hAnsi="Arial Narrow" w:cs="Arial"/>
                <w:sz w:val="22"/>
                <w:szCs w:val="22"/>
              </w:rPr>
            </w:pPr>
          </w:p>
        </w:tc>
      </w:tr>
    </w:tbl>
    <w:p w14:paraId="6EF7F94B" w14:textId="5D1E2E79" w:rsidR="00B2260E" w:rsidRPr="007C2195" w:rsidRDefault="00B2260E" w:rsidP="00283D6A">
      <w:pPr>
        <w:pStyle w:val="Listavistosa-nfasis11"/>
        <w:ind w:left="0"/>
        <w:jc w:val="both"/>
        <w:rPr>
          <w:rFonts w:ascii="Arial Narrow" w:hAnsi="Arial Narrow" w:cs="Arial"/>
          <w:bCs/>
          <w:color w:val="FF0000"/>
        </w:rPr>
      </w:pPr>
    </w:p>
    <w:p w14:paraId="2A81F553" w14:textId="77777777" w:rsidR="00131DC8" w:rsidRPr="007C2195" w:rsidRDefault="00131DC8" w:rsidP="00283D6A">
      <w:pPr>
        <w:pStyle w:val="Listavistosa-nfasis11"/>
        <w:ind w:left="0"/>
        <w:jc w:val="both"/>
        <w:rPr>
          <w:rFonts w:ascii="Arial Narrow" w:hAnsi="Arial Narrow" w:cs="Arial"/>
          <w:bCs/>
        </w:rPr>
      </w:pPr>
      <w:r w:rsidRPr="007C2195">
        <w:rPr>
          <w:rFonts w:ascii="Arial Narrow" w:hAnsi="Arial Narrow" w:cs="Arial"/>
          <w:bCs/>
        </w:rPr>
        <w:t xml:space="preserve">Aprobó: </w:t>
      </w:r>
    </w:p>
    <w:p w14:paraId="4ED57E75" w14:textId="77777777" w:rsidR="00131DC8" w:rsidRPr="007C2195" w:rsidRDefault="00131DC8" w:rsidP="00283D6A">
      <w:pPr>
        <w:pStyle w:val="Listavistosa-nfasis11"/>
        <w:ind w:left="0"/>
        <w:jc w:val="both"/>
        <w:rPr>
          <w:rFonts w:ascii="Arial Narrow" w:hAnsi="Arial Narrow" w:cs="Arial"/>
          <w:bCs/>
        </w:rPr>
      </w:pPr>
    </w:p>
    <w:p w14:paraId="1D98E920" w14:textId="77777777" w:rsidR="00FB0976" w:rsidRPr="007C2195" w:rsidRDefault="00FB0976" w:rsidP="00283D6A">
      <w:pPr>
        <w:pStyle w:val="Listavistosa-nfasis11"/>
        <w:ind w:left="0"/>
        <w:jc w:val="both"/>
        <w:rPr>
          <w:rFonts w:ascii="Arial Narrow" w:hAnsi="Arial Narrow" w:cs="Arial"/>
          <w:bCs/>
        </w:rPr>
      </w:pPr>
    </w:p>
    <w:p w14:paraId="05A6B997" w14:textId="77777777" w:rsidR="00FB0976" w:rsidRPr="007C2195" w:rsidRDefault="00FB0976" w:rsidP="00283D6A">
      <w:pPr>
        <w:pStyle w:val="Listavistosa-nfasis11"/>
        <w:ind w:left="0"/>
        <w:jc w:val="both"/>
        <w:rPr>
          <w:rFonts w:ascii="Arial Narrow" w:hAnsi="Arial Narrow" w:cs="Arial"/>
          <w:bCs/>
        </w:rPr>
      </w:pPr>
    </w:p>
    <w:p w14:paraId="1262537A" w14:textId="6893F202" w:rsidR="00131DC8" w:rsidRPr="007C2195" w:rsidRDefault="00ED3620" w:rsidP="00283D6A">
      <w:pPr>
        <w:pStyle w:val="Listavistosa-nfasis11"/>
        <w:ind w:left="0"/>
        <w:jc w:val="both"/>
        <w:rPr>
          <w:rFonts w:ascii="Arial Narrow" w:hAnsi="Arial Narrow" w:cs="Arial"/>
          <w:b/>
        </w:rPr>
      </w:pPr>
      <w:r>
        <w:rPr>
          <w:rFonts w:ascii="Arial Narrow" w:hAnsi="Arial Narrow" w:cs="Arial"/>
          <w:b/>
        </w:rPr>
        <w:t>RAÚL FERNANDO NÚÑEZ MARÍN</w:t>
      </w:r>
    </w:p>
    <w:p w14:paraId="77E37A23" w14:textId="064B71E9" w:rsidR="005D453F" w:rsidRDefault="00131DC8" w:rsidP="00283D6A">
      <w:pPr>
        <w:pStyle w:val="Listavistosa-nfasis11"/>
        <w:ind w:left="0"/>
        <w:jc w:val="both"/>
        <w:rPr>
          <w:rFonts w:ascii="Arial Narrow" w:hAnsi="Arial Narrow" w:cs="Arial"/>
          <w:bCs/>
        </w:rPr>
      </w:pPr>
      <w:r w:rsidRPr="007C2195">
        <w:rPr>
          <w:rFonts w:ascii="Arial Narrow" w:hAnsi="Arial Narrow" w:cs="Arial"/>
          <w:bCs/>
        </w:rPr>
        <w:t>Director Jurídico</w:t>
      </w:r>
    </w:p>
    <w:sectPr w:rsidR="005D453F" w:rsidSect="00B51608">
      <w:headerReference w:type="default" r:id="rId11"/>
      <w:footerReference w:type="default" r:id="rId12"/>
      <w:headerReference w:type="first" r:id="rId13"/>
      <w:footerReference w:type="first" r:id="rId14"/>
      <w:type w:val="continuous"/>
      <w:pgSz w:w="12240" w:h="15840" w:code="1"/>
      <w:pgMar w:top="1616" w:right="616" w:bottom="1560"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1AA1" w14:textId="77777777" w:rsidR="00D80522" w:rsidRDefault="00D80522">
      <w:r>
        <w:separator/>
      </w:r>
    </w:p>
  </w:endnote>
  <w:endnote w:type="continuationSeparator" w:id="0">
    <w:p w14:paraId="45CD99D7" w14:textId="77777777" w:rsidR="00D80522" w:rsidRDefault="00D80522">
      <w:r>
        <w:continuationSeparator/>
      </w:r>
    </w:p>
  </w:endnote>
  <w:endnote w:type="continuationNotice" w:id="1">
    <w:p w14:paraId="6CBD0976" w14:textId="77777777" w:rsidR="00D80522" w:rsidRDefault="00D80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A484" w14:textId="33B79ABF" w:rsidR="00F77DB8" w:rsidRDefault="00F77DB8" w:rsidP="00F77DB8">
    <w:pPr>
      <w:pStyle w:val="Piedepgina"/>
      <w:tabs>
        <w:tab w:val="clear" w:pos="8504"/>
      </w:tabs>
      <w:ind w:left="-709"/>
      <w:rPr>
        <w:rFonts w:ascii="Calibri" w:hAnsi="Calibri" w:cs="Calibri"/>
        <w:color w:val="000000"/>
      </w:rPr>
    </w:pPr>
    <w:r>
      <w:rPr>
        <w:noProof/>
        <w:sz w:val="18"/>
        <w:szCs w:val="18"/>
        <w:lang w:val="es-CO"/>
      </w:rPr>
      <w:drawing>
        <wp:anchor distT="0" distB="0" distL="114300" distR="114300" simplePos="0" relativeHeight="251658240" behindDoc="1" locked="0" layoutInCell="1" allowOverlap="1" wp14:anchorId="2BCF06CF" wp14:editId="3F388C26">
          <wp:simplePos x="0" y="0"/>
          <wp:positionH relativeFrom="column">
            <wp:posOffset>-775335</wp:posOffset>
          </wp:positionH>
          <wp:positionV relativeFrom="paragraph">
            <wp:posOffset>-182880</wp:posOffset>
          </wp:positionV>
          <wp:extent cx="638175" cy="609600"/>
          <wp:effectExtent l="0" t="0" r="9525" b="0"/>
          <wp:wrapNone/>
          <wp:docPr id="1187616975" name="Imagen 1187616975" descr="S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14:paraId="25B85007" w14:textId="6E3FE63E" w:rsidR="00F77DB8" w:rsidRDefault="00F77DB8" w:rsidP="00F77DB8">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rFonts w:ascii="Calibri" w:hAnsi="Calibri" w:cs="Calibri"/>
        <w:color w:val="000000"/>
      </w:rPr>
      <w:tab/>
    </w:r>
  </w:p>
  <w:p w14:paraId="7B62638E" w14:textId="643DD8EB" w:rsidR="00836C6A" w:rsidRDefault="00F77DB8" w:rsidP="00F77DB8">
    <w:pPr>
      <w:pStyle w:val="Piedepgina"/>
      <w:jc w:val="right"/>
    </w:pP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noProof/>
      </w:rPr>
      <w:tab/>
    </w:r>
    <w:r w:rsidR="00B237AC">
      <w:rPr>
        <w:noProof/>
      </w:rPr>
      <mc:AlternateContent>
        <mc:Choice Requires="wps">
          <w:drawing>
            <wp:anchor distT="0" distB="0" distL="114300" distR="114300" simplePos="0" relativeHeight="251654144"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BE78E" id="_x0000_t202" coordsize="21600,21600" o:spt="202" path="m,l,21600r21600,l21600,xe">
              <v:stroke joinstyle="miter"/>
              <v:path gradientshapeok="t" o:connecttype="rect"/>
            </v:shapetype>
            <v:shape id="MSIPCM6e1c4ae9bb68bcc40527ef41" o:spid="_x0000_s1026" type="#_x0000_t202" alt="{&quot;HashCode&quot;:-324040364,&quot;Height&quot;:792.0,&quot;Width&quot;:612.0,&quot;Placement&quot;:&quot;Footer&quot;,&quot;Index&quot;:&quot;Primary&quot;,&quot;Section&quot;:1,&quot;Top&quot;:0.0,&quot;Left&quot;:0.0}" style="position:absolute;left:0;text-align:left;margin-left:0;margin-top:755.45pt;width:612pt;height:2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14:paraId="089230A1" w14:textId="4395C5FA" w:rsidR="00F07A7D" w:rsidRPr="0084294E" w:rsidRDefault="00F07A7D" w:rsidP="008C703D">
    <w:pPr>
      <w:pStyle w:val="Piedepgina"/>
      <w:ind w:left="-851"/>
      <w:rPr>
        <w:sz w:val="18"/>
        <w:szCs w:val="18"/>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E956" w14:textId="5999C073" w:rsidR="00AF569A" w:rsidRDefault="00F77DB8" w:rsidP="003650D5">
    <w:pPr>
      <w:pStyle w:val="Piedepgina"/>
      <w:ind w:left="-709"/>
      <w:rPr>
        <w:rFonts w:ascii="Calibri" w:hAnsi="Calibri" w:cs="Calibri"/>
        <w:color w:val="000000"/>
      </w:rPr>
    </w:pPr>
    <w:r>
      <w:rPr>
        <w:noProof/>
      </w:rPr>
      <mc:AlternateContent>
        <mc:Choice Requires="wps">
          <w:drawing>
            <wp:anchor distT="0" distB="0" distL="114300" distR="114300" simplePos="0" relativeHeight="251660288" behindDoc="0" locked="0" layoutInCell="0" allowOverlap="1" wp14:anchorId="7A78EAAB" wp14:editId="25D5AA04">
              <wp:simplePos x="0" y="0"/>
              <wp:positionH relativeFrom="page">
                <wp:posOffset>0</wp:posOffset>
              </wp:positionH>
              <wp:positionV relativeFrom="page">
                <wp:posOffset>9594215</wp:posOffset>
              </wp:positionV>
              <wp:extent cx="7772400" cy="273050"/>
              <wp:effectExtent l="0" t="0" r="0" b="12700"/>
              <wp:wrapNone/>
              <wp:docPr id="87" name="MSIPCM8b8d41ce961ae24d985b4e5e" descr="{&quot;HashCode&quot;:-3240403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962748" w14:textId="73919169" w:rsidR="00F77DB8" w:rsidRPr="00F77DB8" w:rsidRDefault="00F77DB8" w:rsidP="00F77DB8">
                          <w:pPr>
                            <w:rPr>
                              <w:rFonts w:ascii="Calibri" w:hAnsi="Calibri" w:cs="Calibri"/>
                              <w:color w:val="000000"/>
                            </w:rPr>
                          </w:pPr>
                          <w:r w:rsidRPr="00F77DB8">
                            <w:rPr>
                              <w:rFonts w:ascii="Calibri" w:hAnsi="Calibri" w:cs="Calibri"/>
                              <w:color w:val="00000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78EAAB" id="_x0000_t202" coordsize="21600,21600" o:spt="202" path="m,l,21600r21600,l21600,xe">
              <v:stroke joinstyle="miter"/>
              <v:path gradientshapeok="t" o:connecttype="rect"/>
            </v:shapetype>
            <v:shape id="MSIPCM8b8d41ce961ae24d985b4e5e" o:spid="_x0000_s1027" type="#_x0000_t202" alt="{&quot;HashCode&quot;:-324040364,&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36962748" w14:textId="73919169" w:rsidR="00F77DB8" w:rsidRPr="00F77DB8" w:rsidRDefault="00F77DB8" w:rsidP="00F77DB8">
                    <w:pPr>
                      <w:rPr>
                        <w:rFonts w:ascii="Calibri" w:hAnsi="Calibri" w:cs="Calibri"/>
                        <w:color w:val="000000"/>
                      </w:rPr>
                    </w:pPr>
                    <w:r w:rsidRPr="00F77DB8">
                      <w:rPr>
                        <w:rFonts w:ascii="Calibri" w:hAnsi="Calibri" w:cs="Calibri"/>
                        <w:color w:val="000000"/>
                      </w:rPr>
                      <w:t>Pública</w:t>
                    </w:r>
                  </w:p>
                </w:txbxContent>
              </v:textbox>
              <w10:wrap anchorx="page" anchory="page"/>
            </v:shape>
          </w:pict>
        </mc:Fallback>
      </mc:AlternateContent>
    </w:r>
    <w:r>
      <w:rPr>
        <w:noProof/>
      </w:rPr>
      <w:drawing>
        <wp:anchor distT="0" distB="0" distL="114300" distR="114300" simplePos="0" relativeHeight="251656192" behindDoc="1" locked="0" layoutInCell="1" allowOverlap="1" wp14:anchorId="66EE7874" wp14:editId="6021A482">
          <wp:simplePos x="0" y="0"/>
          <wp:positionH relativeFrom="column">
            <wp:posOffset>-451485</wp:posOffset>
          </wp:positionH>
          <wp:positionV relativeFrom="paragraph">
            <wp:posOffset>-267335</wp:posOffset>
          </wp:positionV>
          <wp:extent cx="542925" cy="514350"/>
          <wp:effectExtent l="0" t="0" r="9525" b="0"/>
          <wp:wrapNone/>
          <wp:docPr id="466431232" name="Imagen 466431232" descr="S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r>
      <w:rPr>
        <w:noProof/>
      </w:rPr>
      <w:tab/>
    </w:r>
  </w:p>
  <w:p w14:paraId="7E9BB38D" w14:textId="6A6E08F1" w:rsidR="00F77DB8" w:rsidRDefault="00F77DB8" w:rsidP="00F77DB8">
    <w:pPr>
      <w:pStyle w:val="Piedepgina"/>
      <w:tabs>
        <w:tab w:val="clear" w:pos="8504"/>
      </w:tabs>
      <w:ind w:left="-709"/>
      <w:rPr>
        <w:rFonts w:ascii="Calibri" w:hAnsi="Calibri" w:cs="Calibri"/>
        <w:color w:val="000000"/>
      </w:rPr>
    </w:pPr>
    <w:r>
      <w:rPr>
        <w:noProof/>
      </w:rPr>
      <w:tab/>
    </w:r>
    <w:r>
      <w:rPr>
        <w:noProof/>
      </w:rPr>
      <w:tab/>
    </w:r>
    <w:r>
      <w:rPr>
        <w:noProof/>
      </w:rPr>
      <w:tab/>
    </w:r>
    <w:r>
      <w:rPr>
        <w:noProof/>
      </w:rPr>
      <w:tab/>
      <w:t xml:space="preserve">    </w:t>
    </w:r>
    <w:r>
      <w:rPr>
        <w:noProof/>
      </w:rPr>
      <w:tab/>
      <w:t xml:space="preserve">                       </w:t>
    </w:r>
    <w:r>
      <w:rPr>
        <w:rFonts w:ascii="Calibri" w:hAnsi="Calibri" w:cs="Calibri"/>
        <w:color w:val="000000"/>
      </w:rPr>
      <w:t>GJU-TIC-FM-010</w:t>
    </w:r>
  </w:p>
  <w:p w14:paraId="0D0AAF29" w14:textId="3D3F049B" w:rsidR="00F77DB8" w:rsidRDefault="00F77DB8" w:rsidP="00F77DB8">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B109" w14:textId="77777777" w:rsidR="00D80522" w:rsidRDefault="00D80522">
      <w:r>
        <w:separator/>
      </w:r>
    </w:p>
  </w:footnote>
  <w:footnote w:type="continuationSeparator" w:id="0">
    <w:p w14:paraId="18BD8E14" w14:textId="77777777" w:rsidR="00D80522" w:rsidRDefault="00D80522">
      <w:r>
        <w:continuationSeparator/>
      </w:r>
    </w:p>
  </w:footnote>
  <w:footnote w:type="continuationNotice" w:id="1">
    <w:p w14:paraId="18ADC7C3" w14:textId="77777777" w:rsidR="00D80522" w:rsidRDefault="00D80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3BF"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5"/>
      <w:gridCol w:w="1449"/>
    </w:tblGrid>
    <w:tr w:rsidR="008C703D" w14:paraId="190BE4D9" w14:textId="77777777" w:rsidTr="008C703D">
      <w:tc>
        <w:tcPr>
          <w:tcW w:w="3574" w:type="dxa"/>
          <w:shd w:val="clear" w:color="auto" w:fill="auto"/>
        </w:tcPr>
        <w:p w14:paraId="09BB7B8D" w14:textId="74D00299" w:rsidR="008C703D" w:rsidRPr="00366F75" w:rsidRDefault="00B237AC" w:rsidP="00366F75">
          <w:pPr>
            <w:rPr>
              <w:rFonts w:ascii="Times New Roman" w:hAnsi="Times New Roman"/>
              <w:sz w:val="24"/>
              <w:szCs w:val="24"/>
              <w:lang w:val="es-CO" w:eastAsia="es-CO"/>
            </w:rPr>
          </w:pPr>
          <w:r>
            <w:rPr>
              <w:noProof/>
            </w:rPr>
            <w:drawing>
              <wp:inline distT="0" distB="0" distL="0" distR="0" wp14:anchorId="075A7932" wp14:editId="6A19A4B1">
                <wp:extent cx="2095500" cy="571500"/>
                <wp:effectExtent l="0" t="0" r="0" b="0"/>
                <wp:docPr id="317551550" name="Imagen 317551550" descr="71B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B3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c>
      <w:tc>
        <w:tcPr>
          <w:tcW w:w="5775" w:type="dxa"/>
          <w:shd w:val="clear" w:color="auto" w:fill="auto"/>
          <w:vAlign w:val="center"/>
        </w:tcPr>
        <w:p w14:paraId="787F766F" w14:textId="77777777" w:rsidR="008C703D" w:rsidRDefault="008C703D" w:rsidP="001447C1">
          <w:pPr>
            <w:pStyle w:val="Ttulo2"/>
            <w:ind w:left="72" w:right="72"/>
          </w:pPr>
          <w:r w:rsidRPr="00FD3D04">
            <w:rPr>
              <w:rFonts w:cs="Arial"/>
              <w:bCs/>
              <w:color w:val="000000"/>
              <w:sz w:val="24"/>
              <w:szCs w:val="24"/>
            </w:rPr>
            <w:t>FORMATO MEMORIA JUSTIFICATIVA</w:t>
          </w:r>
        </w:p>
      </w:tc>
      <w:tc>
        <w:tcPr>
          <w:tcW w:w="1449" w:type="dxa"/>
          <w:shd w:val="clear" w:color="auto" w:fill="auto"/>
          <w:vAlign w:val="center"/>
        </w:tcPr>
        <w:p w14:paraId="4CEF7297" w14:textId="7E6064B0" w:rsidR="008C703D" w:rsidRDefault="00B237AC" w:rsidP="008C703D">
          <w:pPr>
            <w:pStyle w:val="Ttulo2"/>
            <w:ind w:right="72"/>
          </w:pPr>
          <w:r>
            <w:rPr>
              <w:noProof/>
            </w:rPr>
            <w:drawing>
              <wp:inline distT="0" distB="0" distL="0" distR="0" wp14:anchorId="34E81AE1" wp14:editId="47C57D30">
                <wp:extent cx="647700" cy="609600"/>
                <wp:effectExtent l="0" t="0" r="0" b="0"/>
                <wp:docPr id="232011647" name="Imagen 232011647"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78571213" w14:textId="77777777" w:rsidR="00F07A7D" w:rsidRDefault="00F07A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752"/>
      <w:gridCol w:w="1979"/>
    </w:tblGrid>
    <w:tr w:rsidR="008C703D" w14:paraId="20778B37" w14:textId="77777777" w:rsidTr="00D97F1C">
      <w:trPr>
        <w:trHeight w:val="1408"/>
      </w:trPr>
      <w:tc>
        <w:tcPr>
          <w:tcW w:w="3067" w:type="dxa"/>
          <w:shd w:val="clear" w:color="auto" w:fill="auto"/>
        </w:tcPr>
        <w:p w14:paraId="69C28DE1" w14:textId="315DEE32" w:rsidR="008C703D" w:rsidRPr="00366F75" w:rsidRDefault="00D97F1C" w:rsidP="00D97F1C">
          <w:pPr>
            <w:jc w:val="center"/>
            <w:rPr>
              <w:rFonts w:ascii="Times New Roman" w:hAnsi="Times New Roman"/>
              <w:sz w:val="24"/>
              <w:szCs w:val="24"/>
              <w:lang w:val="es-CO" w:eastAsia="es-CO"/>
            </w:rPr>
          </w:pPr>
          <w:r>
            <w:rPr>
              <w:rFonts w:ascii="Times New Roman" w:hAnsi="Times New Roman"/>
              <w:noProof/>
              <w:sz w:val="24"/>
              <w:szCs w:val="24"/>
              <w:lang w:val="es-CO" w:eastAsia="es-CO"/>
            </w:rPr>
            <w:drawing>
              <wp:anchor distT="0" distB="0" distL="114300" distR="114300" simplePos="0" relativeHeight="251662336" behindDoc="1" locked="0" layoutInCell="1" allowOverlap="1" wp14:anchorId="7B87C4A2" wp14:editId="786CA629">
                <wp:simplePos x="0" y="0"/>
                <wp:positionH relativeFrom="column">
                  <wp:posOffset>508000</wp:posOffset>
                </wp:positionH>
                <wp:positionV relativeFrom="paragraph">
                  <wp:posOffset>209550</wp:posOffset>
                </wp:positionV>
                <wp:extent cx="776266" cy="463550"/>
                <wp:effectExtent l="0" t="0" r="5080" b="0"/>
                <wp:wrapNone/>
                <wp:docPr id="184691437" name="Imagen 18469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TIC WORD (002).png"/>
                        <pic:cNvPicPr/>
                      </pic:nvPicPr>
                      <pic:blipFill>
                        <a:blip r:embed="rId1">
                          <a:extLst>
                            <a:ext uri="{28A0092B-C50C-407E-A947-70E740481C1C}">
                              <a14:useLocalDpi xmlns:a14="http://schemas.microsoft.com/office/drawing/2010/main" val="0"/>
                            </a:ext>
                          </a:extLst>
                        </a:blip>
                        <a:stretch>
                          <a:fillRect/>
                        </a:stretch>
                      </pic:blipFill>
                      <pic:spPr>
                        <a:xfrm>
                          <a:off x="0" y="0"/>
                          <a:ext cx="776266" cy="463550"/>
                        </a:xfrm>
                        <a:prstGeom prst="rect">
                          <a:avLst/>
                        </a:prstGeom>
                      </pic:spPr>
                    </pic:pic>
                  </a:graphicData>
                </a:graphic>
                <wp14:sizeRelH relativeFrom="page">
                  <wp14:pctWidth>0</wp14:pctWidth>
                </wp14:sizeRelH>
                <wp14:sizeRelV relativeFrom="page">
                  <wp14:pctHeight>0</wp14:pctHeight>
                </wp14:sizeRelV>
              </wp:anchor>
            </w:drawing>
          </w:r>
        </w:p>
      </w:tc>
      <w:tc>
        <w:tcPr>
          <w:tcW w:w="5752" w:type="dxa"/>
          <w:shd w:val="clear" w:color="auto" w:fill="auto"/>
          <w:vAlign w:val="center"/>
        </w:tcPr>
        <w:p w14:paraId="67C9E327" w14:textId="77777777" w:rsidR="008C703D" w:rsidRDefault="008C703D" w:rsidP="00FD3D04">
          <w:pPr>
            <w:pStyle w:val="Ttulo2"/>
            <w:ind w:left="72" w:right="72"/>
          </w:pPr>
          <w:r w:rsidRPr="00FD3D04">
            <w:rPr>
              <w:rFonts w:cs="Arial"/>
              <w:bCs/>
              <w:color w:val="000000"/>
              <w:sz w:val="24"/>
              <w:szCs w:val="24"/>
            </w:rPr>
            <w:t>FORMATO MEMORIA JUSTIFICATIVA</w:t>
          </w:r>
        </w:p>
      </w:tc>
      <w:tc>
        <w:tcPr>
          <w:tcW w:w="1979" w:type="dxa"/>
          <w:shd w:val="clear" w:color="auto" w:fill="auto"/>
          <w:vAlign w:val="center"/>
        </w:tcPr>
        <w:p w14:paraId="471C3705" w14:textId="1AC9FB15" w:rsidR="008C703D" w:rsidRDefault="00B237AC" w:rsidP="008C703D">
          <w:pPr>
            <w:pStyle w:val="Ttulo2"/>
            <w:ind w:right="72"/>
          </w:pPr>
          <w:r>
            <w:rPr>
              <w:noProof/>
            </w:rPr>
            <w:drawing>
              <wp:inline distT="0" distB="0" distL="0" distR="0" wp14:anchorId="2F43C1A8" wp14:editId="4D56ECDF">
                <wp:extent cx="647700" cy="609600"/>
                <wp:effectExtent l="0" t="0" r="0" b="0"/>
                <wp:docPr id="1029678228" name="Imagen 1029678228"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25249300" w14:textId="77777777"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ADB211C"/>
    <w:multiLevelType w:val="multilevel"/>
    <w:tmpl w:val="A8D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53563F"/>
    <w:multiLevelType w:val="multilevel"/>
    <w:tmpl w:val="FE1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7" w15:restartNumberingAfterBreak="0">
    <w:nsid w:val="53215B51"/>
    <w:multiLevelType w:val="hybridMultilevel"/>
    <w:tmpl w:val="E15289EC"/>
    <w:lvl w:ilvl="0" w:tplc="5352FFC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7" w15:restartNumberingAfterBreak="0">
    <w:nsid w:val="61FA7B9E"/>
    <w:multiLevelType w:val="multilevel"/>
    <w:tmpl w:val="CE5E84C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9" w15:restartNumberingAfterBreak="0">
    <w:nsid w:val="64A604B5"/>
    <w:multiLevelType w:val="hybridMultilevel"/>
    <w:tmpl w:val="1FD802E2"/>
    <w:lvl w:ilvl="0" w:tplc="5DE8268C">
      <w:start w:val="3"/>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2"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6"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06291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313638">
    <w:abstractNumId w:val="8"/>
  </w:num>
  <w:num w:numId="3" w16cid:durableId="1980761468">
    <w:abstractNumId w:val="42"/>
  </w:num>
  <w:num w:numId="4" w16cid:durableId="1765683669">
    <w:abstractNumId w:val="9"/>
  </w:num>
  <w:num w:numId="5" w16cid:durableId="1181628684">
    <w:abstractNumId w:val="18"/>
  </w:num>
  <w:num w:numId="6" w16cid:durableId="1757358022">
    <w:abstractNumId w:val="34"/>
  </w:num>
  <w:num w:numId="7" w16cid:durableId="1196962140">
    <w:abstractNumId w:val="10"/>
  </w:num>
  <w:num w:numId="8" w16cid:durableId="1600794299">
    <w:abstractNumId w:val="19"/>
  </w:num>
  <w:num w:numId="9" w16cid:durableId="1618559498">
    <w:abstractNumId w:val="7"/>
  </w:num>
  <w:num w:numId="10" w16cid:durableId="769275808">
    <w:abstractNumId w:val="23"/>
  </w:num>
  <w:num w:numId="11" w16cid:durableId="1118372035">
    <w:abstractNumId w:val="14"/>
  </w:num>
  <w:num w:numId="12" w16cid:durableId="1781610923">
    <w:abstractNumId w:val="35"/>
  </w:num>
  <w:num w:numId="13" w16cid:durableId="1333608681">
    <w:abstractNumId w:val="43"/>
  </w:num>
  <w:num w:numId="14" w16cid:durableId="1713117857">
    <w:abstractNumId w:val="44"/>
  </w:num>
  <w:num w:numId="15" w16cid:durableId="251202140">
    <w:abstractNumId w:val="1"/>
  </w:num>
  <w:num w:numId="16" w16cid:durableId="1132747296">
    <w:abstractNumId w:val="24"/>
  </w:num>
  <w:num w:numId="17" w16cid:durableId="863903343">
    <w:abstractNumId w:val="5"/>
  </w:num>
  <w:num w:numId="18" w16cid:durableId="1832141096">
    <w:abstractNumId w:val="26"/>
  </w:num>
  <w:num w:numId="19" w16cid:durableId="1041130712">
    <w:abstractNumId w:val="30"/>
  </w:num>
  <w:num w:numId="20" w16cid:durableId="1920097460">
    <w:abstractNumId w:val="0"/>
  </w:num>
  <w:num w:numId="21" w16cid:durableId="1049494900">
    <w:abstractNumId w:val="11"/>
  </w:num>
  <w:num w:numId="22" w16cid:durableId="508256844">
    <w:abstractNumId w:val="21"/>
  </w:num>
  <w:num w:numId="23" w16cid:durableId="13526041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1649941">
    <w:abstractNumId w:val="41"/>
  </w:num>
  <w:num w:numId="25" w16cid:durableId="1445491221">
    <w:abstractNumId w:val="12"/>
  </w:num>
  <w:num w:numId="26" w16cid:durableId="1573276068">
    <w:abstractNumId w:val="32"/>
  </w:num>
  <w:num w:numId="27" w16cid:durableId="797458387">
    <w:abstractNumId w:val="29"/>
  </w:num>
  <w:num w:numId="28" w16cid:durableId="110362901">
    <w:abstractNumId w:val="45"/>
  </w:num>
  <w:num w:numId="29" w16cid:durableId="209734408">
    <w:abstractNumId w:val="1"/>
  </w:num>
  <w:num w:numId="30" w16cid:durableId="834107601">
    <w:abstractNumId w:val="47"/>
  </w:num>
  <w:num w:numId="31" w16cid:durableId="423385110">
    <w:abstractNumId w:val="25"/>
  </w:num>
  <w:num w:numId="32" w16cid:durableId="389154710">
    <w:abstractNumId w:val="40"/>
  </w:num>
  <w:num w:numId="33" w16cid:durableId="1939747402">
    <w:abstractNumId w:val="28"/>
  </w:num>
  <w:num w:numId="34" w16cid:durableId="162166224">
    <w:abstractNumId w:val="38"/>
  </w:num>
  <w:num w:numId="35" w16cid:durableId="1831211079">
    <w:abstractNumId w:val="15"/>
  </w:num>
  <w:num w:numId="36" w16cid:durableId="1832286553">
    <w:abstractNumId w:val="6"/>
  </w:num>
  <w:num w:numId="37" w16cid:durableId="940911501">
    <w:abstractNumId w:val="3"/>
  </w:num>
  <w:num w:numId="38" w16cid:durableId="1669868818">
    <w:abstractNumId w:val="31"/>
  </w:num>
  <w:num w:numId="39" w16cid:durableId="6639075">
    <w:abstractNumId w:val="36"/>
  </w:num>
  <w:num w:numId="40" w16cid:durableId="590820338">
    <w:abstractNumId w:val="16"/>
  </w:num>
  <w:num w:numId="41" w16cid:durableId="130370394">
    <w:abstractNumId w:val="46"/>
  </w:num>
  <w:num w:numId="42" w16cid:durableId="624971839">
    <w:abstractNumId w:val="20"/>
  </w:num>
  <w:num w:numId="43" w16cid:durableId="2051489827">
    <w:abstractNumId w:val="4"/>
  </w:num>
  <w:num w:numId="44" w16cid:durableId="1532306083">
    <w:abstractNumId w:val="13"/>
  </w:num>
  <w:num w:numId="45" w16cid:durableId="1019963625">
    <w:abstractNumId w:val="22"/>
  </w:num>
  <w:num w:numId="46" w16cid:durableId="1807428896">
    <w:abstractNumId w:val="37"/>
  </w:num>
  <w:num w:numId="47" w16cid:durableId="950866151">
    <w:abstractNumId w:val="39"/>
  </w:num>
  <w:num w:numId="48" w16cid:durableId="168909687">
    <w:abstractNumId w:val="27"/>
  </w:num>
  <w:num w:numId="49" w16cid:durableId="228462994">
    <w:abstractNumId w:val="2"/>
  </w:num>
  <w:num w:numId="50" w16cid:durableId="8080887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1C62"/>
    <w:rsid w:val="00002CC9"/>
    <w:rsid w:val="00003D24"/>
    <w:rsid w:val="00006F83"/>
    <w:rsid w:val="00007F07"/>
    <w:rsid w:val="00013C42"/>
    <w:rsid w:val="00014D67"/>
    <w:rsid w:val="00016A94"/>
    <w:rsid w:val="00021FCC"/>
    <w:rsid w:val="000246B9"/>
    <w:rsid w:val="00024F34"/>
    <w:rsid w:val="0002546A"/>
    <w:rsid w:val="00032AB9"/>
    <w:rsid w:val="00032CBF"/>
    <w:rsid w:val="00036CCE"/>
    <w:rsid w:val="0004205E"/>
    <w:rsid w:val="00047495"/>
    <w:rsid w:val="00047A6E"/>
    <w:rsid w:val="00050524"/>
    <w:rsid w:val="000548EB"/>
    <w:rsid w:val="00062548"/>
    <w:rsid w:val="00062745"/>
    <w:rsid w:val="00064155"/>
    <w:rsid w:val="00066463"/>
    <w:rsid w:val="0007351A"/>
    <w:rsid w:val="00075631"/>
    <w:rsid w:val="0007636F"/>
    <w:rsid w:val="00081CEE"/>
    <w:rsid w:val="00083F4A"/>
    <w:rsid w:val="00084B49"/>
    <w:rsid w:val="00086B16"/>
    <w:rsid w:val="000908C2"/>
    <w:rsid w:val="00092C0A"/>
    <w:rsid w:val="00094D9F"/>
    <w:rsid w:val="00097DDF"/>
    <w:rsid w:val="000A07DF"/>
    <w:rsid w:val="000A35DA"/>
    <w:rsid w:val="000A3E34"/>
    <w:rsid w:val="000A76D0"/>
    <w:rsid w:val="000A7A5A"/>
    <w:rsid w:val="000B30A6"/>
    <w:rsid w:val="000B39C5"/>
    <w:rsid w:val="000B50F1"/>
    <w:rsid w:val="000B7168"/>
    <w:rsid w:val="000C41BE"/>
    <w:rsid w:val="000C614C"/>
    <w:rsid w:val="000C6C52"/>
    <w:rsid w:val="000D1904"/>
    <w:rsid w:val="000D1D62"/>
    <w:rsid w:val="000D278B"/>
    <w:rsid w:val="000D2DA8"/>
    <w:rsid w:val="000D512E"/>
    <w:rsid w:val="000E0152"/>
    <w:rsid w:val="000E02A2"/>
    <w:rsid w:val="000E370D"/>
    <w:rsid w:val="000E65A4"/>
    <w:rsid w:val="000F22D6"/>
    <w:rsid w:val="000F33BC"/>
    <w:rsid w:val="000F620E"/>
    <w:rsid w:val="000F6663"/>
    <w:rsid w:val="001042E1"/>
    <w:rsid w:val="0010454E"/>
    <w:rsid w:val="00105533"/>
    <w:rsid w:val="001072FB"/>
    <w:rsid w:val="001107F3"/>
    <w:rsid w:val="0011154D"/>
    <w:rsid w:val="00112519"/>
    <w:rsid w:val="00112EF1"/>
    <w:rsid w:val="001131E7"/>
    <w:rsid w:val="00116659"/>
    <w:rsid w:val="001175AA"/>
    <w:rsid w:val="00125A3A"/>
    <w:rsid w:val="00126916"/>
    <w:rsid w:val="00126980"/>
    <w:rsid w:val="00127BFA"/>
    <w:rsid w:val="001303DD"/>
    <w:rsid w:val="00131DC8"/>
    <w:rsid w:val="0013431D"/>
    <w:rsid w:val="001348DA"/>
    <w:rsid w:val="001365B5"/>
    <w:rsid w:val="00136CD0"/>
    <w:rsid w:val="001372FA"/>
    <w:rsid w:val="0013737F"/>
    <w:rsid w:val="00142BF2"/>
    <w:rsid w:val="00143679"/>
    <w:rsid w:val="001447C1"/>
    <w:rsid w:val="00145BCA"/>
    <w:rsid w:val="0015216F"/>
    <w:rsid w:val="00153523"/>
    <w:rsid w:val="00155DBE"/>
    <w:rsid w:val="0015661E"/>
    <w:rsid w:val="00157729"/>
    <w:rsid w:val="00157F29"/>
    <w:rsid w:val="00161716"/>
    <w:rsid w:val="00164587"/>
    <w:rsid w:val="001665A3"/>
    <w:rsid w:val="00173095"/>
    <w:rsid w:val="001743EF"/>
    <w:rsid w:val="00174A31"/>
    <w:rsid w:val="0017529E"/>
    <w:rsid w:val="001753B7"/>
    <w:rsid w:val="001762A3"/>
    <w:rsid w:val="00177232"/>
    <w:rsid w:val="00180C13"/>
    <w:rsid w:val="001857B9"/>
    <w:rsid w:val="00187186"/>
    <w:rsid w:val="00190A17"/>
    <w:rsid w:val="00190B16"/>
    <w:rsid w:val="001978EB"/>
    <w:rsid w:val="001A14E8"/>
    <w:rsid w:val="001A2AF1"/>
    <w:rsid w:val="001A2C36"/>
    <w:rsid w:val="001A300B"/>
    <w:rsid w:val="001A56FC"/>
    <w:rsid w:val="001A7261"/>
    <w:rsid w:val="001B5904"/>
    <w:rsid w:val="001C013E"/>
    <w:rsid w:val="001C19DA"/>
    <w:rsid w:val="001C22C3"/>
    <w:rsid w:val="001C5C66"/>
    <w:rsid w:val="001C7269"/>
    <w:rsid w:val="001D1743"/>
    <w:rsid w:val="001D17CF"/>
    <w:rsid w:val="001D5409"/>
    <w:rsid w:val="001D7FA2"/>
    <w:rsid w:val="001E2543"/>
    <w:rsid w:val="001E3108"/>
    <w:rsid w:val="001E5789"/>
    <w:rsid w:val="001E6C60"/>
    <w:rsid w:val="001F0D0D"/>
    <w:rsid w:val="001F238A"/>
    <w:rsid w:val="00201836"/>
    <w:rsid w:val="002116A6"/>
    <w:rsid w:val="002171A2"/>
    <w:rsid w:val="002176AF"/>
    <w:rsid w:val="002217D1"/>
    <w:rsid w:val="002249EC"/>
    <w:rsid w:val="002264B8"/>
    <w:rsid w:val="002306D2"/>
    <w:rsid w:val="00232DD6"/>
    <w:rsid w:val="002342CC"/>
    <w:rsid w:val="00235361"/>
    <w:rsid w:val="00236F62"/>
    <w:rsid w:val="00237D76"/>
    <w:rsid w:val="002424C0"/>
    <w:rsid w:val="00245799"/>
    <w:rsid w:val="00247032"/>
    <w:rsid w:val="00251FCE"/>
    <w:rsid w:val="00252F13"/>
    <w:rsid w:val="00254313"/>
    <w:rsid w:val="00256D17"/>
    <w:rsid w:val="00262251"/>
    <w:rsid w:val="002627BC"/>
    <w:rsid w:val="0026513E"/>
    <w:rsid w:val="00265395"/>
    <w:rsid w:val="0026676D"/>
    <w:rsid w:val="0027042F"/>
    <w:rsid w:val="002729A5"/>
    <w:rsid w:val="002744EF"/>
    <w:rsid w:val="00277142"/>
    <w:rsid w:val="00280757"/>
    <w:rsid w:val="00283D6A"/>
    <w:rsid w:val="002862C1"/>
    <w:rsid w:val="00286349"/>
    <w:rsid w:val="00286449"/>
    <w:rsid w:val="00287EC3"/>
    <w:rsid w:val="002911C8"/>
    <w:rsid w:val="00291656"/>
    <w:rsid w:val="00293F29"/>
    <w:rsid w:val="00294169"/>
    <w:rsid w:val="002941D1"/>
    <w:rsid w:val="002955FA"/>
    <w:rsid w:val="002A18A5"/>
    <w:rsid w:val="002A2A12"/>
    <w:rsid w:val="002B7F58"/>
    <w:rsid w:val="002C05D0"/>
    <w:rsid w:val="002C6429"/>
    <w:rsid w:val="002D096D"/>
    <w:rsid w:val="002D11FE"/>
    <w:rsid w:val="002D2CB2"/>
    <w:rsid w:val="002D35EC"/>
    <w:rsid w:val="002D3FE3"/>
    <w:rsid w:val="002D5E55"/>
    <w:rsid w:val="002D5E8B"/>
    <w:rsid w:val="002D6583"/>
    <w:rsid w:val="002E4A97"/>
    <w:rsid w:val="002E5E14"/>
    <w:rsid w:val="002E71C4"/>
    <w:rsid w:val="002F226A"/>
    <w:rsid w:val="002F64A2"/>
    <w:rsid w:val="00300758"/>
    <w:rsid w:val="00301DC2"/>
    <w:rsid w:val="00304DBB"/>
    <w:rsid w:val="003072AD"/>
    <w:rsid w:val="003227FD"/>
    <w:rsid w:val="00325A55"/>
    <w:rsid w:val="00326021"/>
    <w:rsid w:val="00332270"/>
    <w:rsid w:val="0033371F"/>
    <w:rsid w:val="003341F9"/>
    <w:rsid w:val="003343DB"/>
    <w:rsid w:val="00336655"/>
    <w:rsid w:val="00342B3C"/>
    <w:rsid w:val="0034509F"/>
    <w:rsid w:val="00346554"/>
    <w:rsid w:val="003465C7"/>
    <w:rsid w:val="003503EB"/>
    <w:rsid w:val="00350702"/>
    <w:rsid w:val="00350767"/>
    <w:rsid w:val="00350E4B"/>
    <w:rsid w:val="003533A1"/>
    <w:rsid w:val="0035768A"/>
    <w:rsid w:val="003650D5"/>
    <w:rsid w:val="003651DE"/>
    <w:rsid w:val="003659DD"/>
    <w:rsid w:val="00366280"/>
    <w:rsid w:val="00366F75"/>
    <w:rsid w:val="00367CB8"/>
    <w:rsid w:val="003711C0"/>
    <w:rsid w:val="00373197"/>
    <w:rsid w:val="00375BFA"/>
    <w:rsid w:val="0038390A"/>
    <w:rsid w:val="003A0BBF"/>
    <w:rsid w:val="003A3321"/>
    <w:rsid w:val="003A3C08"/>
    <w:rsid w:val="003A4A9C"/>
    <w:rsid w:val="003A6449"/>
    <w:rsid w:val="003A70C6"/>
    <w:rsid w:val="003A73D2"/>
    <w:rsid w:val="003B3F46"/>
    <w:rsid w:val="003B45F9"/>
    <w:rsid w:val="003B4DDE"/>
    <w:rsid w:val="003B625C"/>
    <w:rsid w:val="003C0C28"/>
    <w:rsid w:val="003C0F32"/>
    <w:rsid w:val="003C2A8D"/>
    <w:rsid w:val="003C6CAC"/>
    <w:rsid w:val="003D3516"/>
    <w:rsid w:val="003E1394"/>
    <w:rsid w:val="003E33A6"/>
    <w:rsid w:val="003E582F"/>
    <w:rsid w:val="003E58D6"/>
    <w:rsid w:val="003E6751"/>
    <w:rsid w:val="00401B59"/>
    <w:rsid w:val="00403274"/>
    <w:rsid w:val="00405CE5"/>
    <w:rsid w:val="0041604F"/>
    <w:rsid w:val="00425048"/>
    <w:rsid w:val="00427DD9"/>
    <w:rsid w:val="004317DB"/>
    <w:rsid w:val="00432C5C"/>
    <w:rsid w:val="00437C19"/>
    <w:rsid w:val="00441283"/>
    <w:rsid w:val="004500F3"/>
    <w:rsid w:val="00461D1F"/>
    <w:rsid w:val="0046422D"/>
    <w:rsid w:val="00470148"/>
    <w:rsid w:val="00470526"/>
    <w:rsid w:val="0047577F"/>
    <w:rsid w:val="0048399B"/>
    <w:rsid w:val="004848A4"/>
    <w:rsid w:val="00491C0B"/>
    <w:rsid w:val="00496354"/>
    <w:rsid w:val="004965F6"/>
    <w:rsid w:val="004A0755"/>
    <w:rsid w:val="004A6BE3"/>
    <w:rsid w:val="004B078F"/>
    <w:rsid w:val="004B1601"/>
    <w:rsid w:val="004C15EC"/>
    <w:rsid w:val="004C4371"/>
    <w:rsid w:val="004C5EE6"/>
    <w:rsid w:val="004C7D38"/>
    <w:rsid w:val="004D0D86"/>
    <w:rsid w:val="004D10C6"/>
    <w:rsid w:val="004D12C3"/>
    <w:rsid w:val="004D2643"/>
    <w:rsid w:val="004D294E"/>
    <w:rsid w:val="004D3D03"/>
    <w:rsid w:val="004D455D"/>
    <w:rsid w:val="004D4586"/>
    <w:rsid w:val="004D4B1F"/>
    <w:rsid w:val="004D6329"/>
    <w:rsid w:val="004E034B"/>
    <w:rsid w:val="004E0EA4"/>
    <w:rsid w:val="004E114D"/>
    <w:rsid w:val="004E17FC"/>
    <w:rsid w:val="004E274E"/>
    <w:rsid w:val="004E517F"/>
    <w:rsid w:val="004F002B"/>
    <w:rsid w:val="004F7544"/>
    <w:rsid w:val="004F778E"/>
    <w:rsid w:val="004F7A38"/>
    <w:rsid w:val="0050148F"/>
    <w:rsid w:val="00502F91"/>
    <w:rsid w:val="00503CA2"/>
    <w:rsid w:val="00504F40"/>
    <w:rsid w:val="00505FC4"/>
    <w:rsid w:val="00520AAA"/>
    <w:rsid w:val="00520B2A"/>
    <w:rsid w:val="005232F0"/>
    <w:rsid w:val="005338E4"/>
    <w:rsid w:val="00541F5D"/>
    <w:rsid w:val="0054286C"/>
    <w:rsid w:val="00543E5A"/>
    <w:rsid w:val="00545A32"/>
    <w:rsid w:val="0054645F"/>
    <w:rsid w:val="005616ED"/>
    <w:rsid w:val="005629D0"/>
    <w:rsid w:val="005639AA"/>
    <w:rsid w:val="00564A4E"/>
    <w:rsid w:val="00564C80"/>
    <w:rsid w:val="005679F9"/>
    <w:rsid w:val="0057260E"/>
    <w:rsid w:val="00572D1C"/>
    <w:rsid w:val="0057655D"/>
    <w:rsid w:val="0057794F"/>
    <w:rsid w:val="005815B6"/>
    <w:rsid w:val="00584E85"/>
    <w:rsid w:val="005871DA"/>
    <w:rsid w:val="00587695"/>
    <w:rsid w:val="0059014C"/>
    <w:rsid w:val="0059054D"/>
    <w:rsid w:val="0059253C"/>
    <w:rsid w:val="0059316B"/>
    <w:rsid w:val="005949A8"/>
    <w:rsid w:val="005A077D"/>
    <w:rsid w:val="005A4320"/>
    <w:rsid w:val="005A498D"/>
    <w:rsid w:val="005B1699"/>
    <w:rsid w:val="005B2270"/>
    <w:rsid w:val="005B41F4"/>
    <w:rsid w:val="005B7BD1"/>
    <w:rsid w:val="005C09D4"/>
    <w:rsid w:val="005C0A0A"/>
    <w:rsid w:val="005C19CA"/>
    <w:rsid w:val="005C4522"/>
    <w:rsid w:val="005D453F"/>
    <w:rsid w:val="005D49BF"/>
    <w:rsid w:val="005D4D6C"/>
    <w:rsid w:val="005E6F7C"/>
    <w:rsid w:val="005F30C3"/>
    <w:rsid w:val="005F7863"/>
    <w:rsid w:val="0060353B"/>
    <w:rsid w:val="00604CCD"/>
    <w:rsid w:val="00610575"/>
    <w:rsid w:val="00611155"/>
    <w:rsid w:val="00611AA6"/>
    <w:rsid w:val="00620876"/>
    <w:rsid w:val="00624FD0"/>
    <w:rsid w:val="0062620D"/>
    <w:rsid w:val="00630C5E"/>
    <w:rsid w:val="006315B4"/>
    <w:rsid w:val="00631C34"/>
    <w:rsid w:val="00635AC3"/>
    <w:rsid w:val="00636FFB"/>
    <w:rsid w:val="00653F2C"/>
    <w:rsid w:val="00654CCF"/>
    <w:rsid w:val="006558C1"/>
    <w:rsid w:val="00655D1B"/>
    <w:rsid w:val="00657FFA"/>
    <w:rsid w:val="00665F82"/>
    <w:rsid w:val="0067186C"/>
    <w:rsid w:val="00671E11"/>
    <w:rsid w:val="006721A8"/>
    <w:rsid w:val="0067617E"/>
    <w:rsid w:val="006779DA"/>
    <w:rsid w:val="006831AB"/>
    <w:rsid w:val="00683BD7"/>
    <w:rsid w:val="00687EB3"/>
    <w:rsid w:val="00692980"/>
    <w:rsid w:val="00692F01"/>
    <w:rsid w:val="00693246"/>
    <w:rsid w:val="0069506F"/>
    <w:rsid w:val="00696582"/>
    <w:rsid w:val="006A1DBB"/>
    <w:rsid w:val="006A2F17"/>
    <w:rsid w:val="006B4E40"/>
    <w:rsid w:val="006B52AF"/>
    <w:rsid w:val="006B5EE3"/>
    <w:rsid w:val="006C103A"/>
    <w:rsid w:val="006C4E6A"/>
    <w:rsid w:val="006C50E8"/>
    <w:rsid w:val="006C5BF2"/>
    <w:rsid w:val="006D464D"/>
    <w:rsid w:val="006D5663"/>
    <w:rsid w:val="006D7E5B"/>
    <w:rsid w:val="006E6F11"/>
    <w:rsid w:val="006F0B6B"/>
    <w:rsid w:val="006F117D"/>
    <w:rsid w:val="006F144D"/>
    <w:rsid w:val="006F461B"/>
    <w:rsid w:val="006F622C"/>
    <w:rsid w:val="00700FF6"/>
    <w:rsid w:val="007018D8"/>
    <w:rsid w:val="00704D44"/>
    <w:rsid w:val="00705DAA"/>
    <w:rsid w:val="007140C1"/>
    <w:rsid w:val="00715A68"/>
    <w:rsid w:val="00715DD5"/>
    <w:rsid w:val="00715ECF"/>
    <w:rsid w:val="00716282"/>
    <w:rsid w:val="00717A04"/>
    <w:rsid w:val="00717BFE"/>
    <w:rsid w:val="007208C5"/>
    <w:rsid w:val="0072261E"/>
    <w:rsid w:val="00722676"/>
    <w:rsid w:val="00725BB4"/>
    <w:rsid w:val="00730134"/>
    <w:rsid w:val="0073126F"/>
    <w:rsid w:val="0073180A"/>
    <w:rsid w:val="0073294A"/>
    <w:rsid w:val="00732997"/>
    <w:rsid w:val="007336C3"/>
    <w:rsid w:val="00735033"/>
    <w:rsid w:val="0074090F"/>
    <w:rsid w:val="0074298B"/>
    <w:rsid w:val="00751B50"/>
    <w:rsid w:val="00756485"/>
    <w:rsid w:val="0075705D"/>
    <w:rsid w:val="007626E1"/>
    <w:rsid w:val="007629AA"/>
    <w:rsid w:val="00765ACC"/>
    <w:rsid w:val="00767F65"/>
    <w:rsid w:val="00770D6C"/>
    <w:rsid w:val="00770EC1"/>
    <w:rsid w:val="00774535"/>
    <w:rsid w:val="00781754"/>
    <w:rsid w:val="00782554"/>
    <w:rsid w:val="00783515"/>
    <w:rsid w:val="00784DB3"/>
    <w:rsid w:val="00787C94"/>
    <w:rsid w:val="00791BCB"/>
    <w:rsid w:val="007921BD"/>
    <w:rsid w:val="00793A02"/>
    <w:rsid w:val="00794E38"/>
    <w:rsid w:val="00795C6B"/>
    <w:rsid w:val="007A1566"/>
    <w:rsid w:val="007A2BA9"/>
    <w:rsid w:val="007A3995"/>
    <w:rsid w:val="007A4490"/>
    <w:rsid w:val="007A5AC5"/>
    <w:rsid w:val="007A5F6C"/>
    <w:rsid w:val="007B622D"/>
    <w:rsid w:val="007C2195"/>
    <w:rsid w:val="007C4288"/>
    <w:rsid w:val="007C484E"/>
    <w:rsid w:val="007C73E2"/>
    <w:rsid w:val="007D4853"/>
    <w:rsid w:val="007D57C4"/>
    <w:rsid w:val="007E0429"/>
    <w:rsid w:val="007E2C90"/>
    <w:rsid w:val="007E41DE"/>
    <w:rsid w:val="007E4CE3"/>
    <w:rsid w:val="007E64F1"/>
    <w:rsid w:val="007F2B1F"/>
    <w:rsid w:val="00802F7A"/>
    <w:rsid w:val="0080402B"/>
    <w:rsid w:val="00804C6D"/>
    <w:rsid w:val="00806A1C"/>
    <w:rsid w:val="0080773A"/>
    <w:rsid w:val="008173F3"/>
    <w:rsid w:val="0082092A"/>
    <w:rsid w:val="0082117C"/>
    <w:rsid w:val="008227E9"/>
    <w:rsid w:val="008252C5"/>
    <w:rsid w:val="00831860"/>
    <w:rsid w:val="00832F2D"/>
    <w:rsid w:val="008368A1"/>
    <w:rsid w:val="00836C6A"/>
    <w:rsid w:val="00841C9F"/>
    <w:rsid w:val="0084294E"/>
    <w:rsid w:val="00843EFF"/>
    <w:rsid w:val="008442A5"/>
    <w:rsid w:val="00844B00"/>
    <w:rsid w:val="008477A9"/>
    <w:rsid w:val="00847BE1"/>
    <w:rsid w:val="0085416A"/>
    <w:rsid w:val="00856B0F"/>
    <w:rsid w:val="00857C9E"/>
    <w:rsid w:val="00862AC9"/>
    <w:rsid w:val="00864F40"/>
    <w:rsid w:val="008654AB"/>
    <w:rsid w:val="0087186A"/>
    <w:rsid w:val="00872C56"/>
    <w:rsid w:val="00874F67"/>
    <w:rsid w:val="00876AC2"/>
    <w:rsid w:val="00883F43"/>
    <w:rsid w:val="00884C98"/>
    <w:rsid w:val="00884CE2"/>
    <w:rsid w:val="00884E03"/>
    <w:rsid w:val="00885E7D"/>
    <w:rsid w:val="008877AD"/>
    <w:rsid w:val="0089363F"/>
    <w:rsid w:val="00894D05"/>
    <w:rsid w:val="00896ED8"/>
    <w:rsid w:val="008A1A33"/>
    <w:rsid w:val="008A209D"/>
    <w:rsid w:val="008A2436"/>
    <w:rsid w:val="008A4E8C"/>
    <w:rsid w:val="008A563D"/>
    <w:rsid w:val="008A5F8D"/>
    <w:rsid w:val="008B1443"/>
    <w:rsid w:val="008B3141"/>
    <w:rsid w:val="008B3B0A"/>
    <w:rsid w:val="008C2BA0"/>
    <w:rsid w:val="008C69F2"/>
    <w:rsid w:val="008C703D"/>
    <w:rsid w:val="008D1D44"/>
    <w:rsid w:val="008D3E6C"/>
    <w:rsid w:val="008E04EC"/>
    <w:rsid w:val="008E43F4"/>
    <w:rsid w:val="008E52C6"/>
    <w:rsid w:val="008F38BA"/>
    <w:rsid w:val="008F42F6"/>
    <w:rsid w:val="008F5282"/>
    <w:rsid w:val="008F5365"/>
    <w:rsid w:val="008F56F4"/>
    <w:rsid w:val="009008EB"/>
    <w:rsid w:val="00904158"/>
    <w:rsid w:val="0090569B"/>
    <w:rsid w:val="00912BAC"/>
    <w:rsid w:val="009236A9"/>
    <w:rsid w:val="00925058"/>
    <w:rsid w:val="00926CDB"/>
    <w:rsid w:val="00930113"/>
    <w:rsid w:val="009303CA"/>
    <w:rsid w:val="009343D9"/>
    <w:rsid w:val="00934876"/>
    <w:rsid w:val="009356EC"/>
    <w:rsid w:val="00937FB2"/>
    <w:rsid w:val="0094114F"/>
    <w:rsid w:val="00941514"/>
    <w:rsid w:val="0095690D"/>
    <w:rsid w:val="0096086E"/>
    <w:rsid w:val="009609C5"/>
    <w:rsid w:val="00962205"/>
    <w:rsid w:val="00965B1A"/>
    <w:rsid w:val="009673A5"/>
    <w:rsid w:val="00971B57"/>
    <w:rsid w:val="0097616C"/>
    <w:rsid w:val="00976933"/>
    <w:rsid w:val="00981893"/>
    <w:rsid w:val="00983A67"/>
    <w:rsid w:val="00984974"/>
    <w:rsid w:val="00984A56"/>
    <w:rsid w:val="00986438"/>
    <w:rsid w:val="00987DBF"/>
    <w:rsid w:val="00991C7E"/>
    <w:rsid w:val="009970F9"/>
    <w:rsid w:val="009A012E"/>
    <w:rsid w:val="009A15FE"/>
    <w:rsid w:val="009A1601"/>
    <w:rsid w:val="009A5590"/>
    <w:rsid w:val="009A61B5"/>
    <w:rsid w:val="009B2A61"/>
    <w:rsid w:val="009B4312"/>
    <w:rsid w:val="009C3837"/>
    <w:rsid w:val="009C44BD"/>
    <w:rsid w:val="009C537F"/>
    <w:rsid w:val="009D0585"/>
    <w:rsid w:val="009D2BB3"/>
    <w:rsid w:val="009D7272"/>
    <w:rsid w:val="009E0846"/>
    <w:rsid w:val="009E1EF4"/>
    <w:rsid w:val="009E1F32"/>
    <w:rsid w:val="009E4BD5"/>
    <w:rsid w:val="009E50A4"/>
    <w:rsid w:val="009F1BE0"/>
    <w:rsid w:val="009F7CED"/>
    <w:rsid w:val="00A04569"/>
    <w:rsid w:val="00A0736A"/>
    <w:rsid w:val="00A07DE7"/>
    <w:rsid w:val="00A120D6"/>
    <w:rsid w:val="00A12279"/>
    <w:rsid w:val="00A1301A"/>
    <w:rsid w:val="00A14C37"/>
    <w:rsid w:val="00A161B9"/>
    <w:rsid w:val="00A1725B"/>
    <w:rsid w:val="00A17FFB"/>
    <w:rsid w:val="00A219D7"/>
    <w:rsid w:val="00A2785C"/>
    <w:rsid w:val="00A30127"/>
    <w:rsid w:val="00A3104A"/>
    <w:rsid w:val="00A31AC8"/>
    <w:rsid w:val="00A33DCF"/>
    <w:rsid w:val="00A36F71"/>
    <w:rsid w:val="00A377FE"/>
    <w:rsid w:val="00A4128C"/>
    <w:rsid w:val="00A41AEF"/>
    <w:rsid w:val="00A447B3"/>
    <w:rsid w:val="00A4577D"/>
    <w:rsid w:val="00A500DD"/>
    <w:rsid w:val="00A52C3F"/>
    <w:rsid w:val="00A55DB6"/>
    <w:rsid w:val="00A60275"/>
    <w:rsid w:val="00A61784"/>
    <w:rsid w:val="00A64120"/>
    <w:rsid w:val="00A65D14"/>
    <w:rsid w:val="00A664DA"/>
    <w:rsid w:val="00A709A7"/>
    <w:rsid w:val="00A72973"/>
    <w:rsid w:val="00A74AFD"/>
    <w:rsid w:val="00A80613"/>
    <w:rsid w:val="00A83542"/>
    <w:rsid w:val="00A83A98"/>
    <w:rsid w:val="00A85AEA"/>
    <w:rsid w:val="00A9184D"/>
    <w:rsid w:val="00A94019"/>
    <w:rsid w:val="00AA0030"/>
    <w:rsid w:val="00AA1291"/>
    <w:rsid w:val="00AA28E8"/>
    <w:rsid w:val="00AA53C2"/>
    <w:rsid w:val="00AA63EF"/>
    <w:rsid w:val="00AB0708"/>
    <w:rsid w:val="00AB0C45"/>
    <w:rsid w:val="00AB5198"/>
    <w:rsid w:val="00AB6652"/>
    <w:rsid w:val="00AC1AF8"/>
    <w:rsid w:val="00AC447D"/>
    <w:rsid w:val="00AD06DA"/>
    <w:rsid w:val="00AD356C"/>
    <w:rsid w:val="00AD5446"/>
    <w:rsid w:val="00AD623F"/>
    <w:rsid w:val="00AD6AD6"/>
    <w:rsid w:val="00AE03F3"/>
    <w:rsid w:val="00AF32B8"/>
    <w:rsid w:val="00AF569A"/>
    <w:rsid w:val="00AF5E71"/>
    <w:rsid w:val="00B03E69"/>
    <w:rsid w:val="00B11CBE"/>
    <w:rsid w:val="00B12A97"/>
    <w:rsid w:val="00B13AE3"/>
    <w:rsid w:val="00B16454"/>
    <w:rsid w:val="00B2260E"/>
    <w:rsid w:val="00B237AC"/>
    <w:rsid w:val="00B2450A"/>
    <w:rsid w:val="00B24762"/>
    <w:rsid w:val="00B25550"/>
    <w:rsid w:val="00B30DCD"/>
    <w:rsid w:val="00B377D3"/>
    <w:rsid w:val="00B4178F"/>
    <w:rsid w:val="00B4216E"/>
    <w:rsid w:val="00B44223"/>
    <w:rsid w:val="00B448DC"/>
    <w:rsid w:val="00B44ED5"/>
    <w:rsid w:val="00B463AC"/>
    <w:rsid w:val="00B50EF6"/>
    <w:rsid w:val="00B51095"/>
    <w:rsid w:val="00B51608"/>
    <w:rsid w:val="00B52650"/>
    <w:rsid w:val="00B55DD4"/>
    <w:rsid w:val="00B56DB5"/>
    <w:rsid w:val="00B6123C"/>
    <w:rsid w:val="00B61266"/>
    <w:rsid w:val="00B61CA6"/>
    <w:rsid w:val="00B639C6"/>
    <w:rsid w:val="00B65F1B"/>
    <w:rsid w:val="00B66D03"/>
    <w:rsid w:val="00B7000F"/>
    <w:rsid w:val="00B729FC"/>
    <w:rsid w:val="00B73EC6"/>
    <w:rsid w:val="00B762D1"/>
    <w:rsid w:val="00B766E4"/>
    <w:rsid w:val="00B76CE5"/>
    <w:rsid w:val="00B76EED"/>
    <w:rsid w:val="00B8326D"/>
    <w:rsid w:val="00B84AF8"/>
    <w:rsid w:val="00B90778"/>
    <w:rsid w:val="00B937B6"/>
    <w:rsid w:val="00BA1B3E"/>
    <w:rsid w:val="00BA1E18"/>
    <w:rsid w:val="00BA450F"/>
    <w:rsid w:val="00BB5392"/>
    <w:rsid w:val="00BB545F"/>
    <w:rsid w:val="00BB6711"/>
    <w:rsid w:val="00BC7B08"/>
    <w:rsid w:val="00BD4B65"/>
    <w:rsid w:val="00BD53F3"/>
    <w:rsid w:val="00BD5618"/>
    <w:rsid w:val="00BE0977"/>
    <w:rsid w:val="00BE1B52"/>
    <w:rsid w:val="00BE1F94"/>
    <w:rsid w:val="00BE280C"/>
    <w:rsid w:val="00BE3DF8"/>
    <w:rsid w:val="00BF054E"/>
    <w:rsid w:val="00BF0DB9"/>
    <w:rsid w:val="00BF5B1F"/>
    <w:rsid w:val="00C016EF"/>
    <w:rsid w:val="00C12B93"/>
    <w:rsid w:val="00C134C3"/>
    <w:rsid w:val="00C16CEB"/>
    <w:rsid w:val="00C21A64"/>
    <w:rsid w:val="00C26C14"/>
    <w:rsid w:val="00C27D76"/>
    <w:rsid w:val="00C30968"/>
    <w:rsid w:val="00C31D59"/>
    <w:rsid w:val="00C36892"/>
    <w:rsid w:val="00C4009A"/>
    <w:rsid w:val="00C401C2"/>
    <w:rsid w:val="00C4360B"/>
    <w:rsid w:val="00C43BD2"/>
    <w:rsid w:val="00C46330"/>
    <w:rsid w:val="00C47F73"/>
    <w:rsid w:val="00C52E86"/>
    <w:rsid w:val="00C579D7"/>
    <w:rsid w:val="00C6077B"/>
    <w:rsid w:val="00C61441"/>
    <w:rsid w:val="00C64224"/>
    <w:rsid w:val="00C67775"/>
    <w:rsid w:val="00C7294E"/>
    <w:rsid w:val="00C74161"/>
    <w:rsid w:val="00C80342"/>
    <w:rsid w:val="00C91F90"/>
    <w:rsid w:val="00C94746"/>
    <w:rsid w:val="00C97D0B"/>
    <w:rsid w:val="00CA31E6"/>
    <w:rsid w:val="00CA57DF"/>
    <w:rsid w:val="00CA75F2"/>
    <w:rsid w:val="00CB0063"/>
    <w:rsid w:val="00CB4D37"/>
    <w:rsid w:val="00CB66F7"/>
    <w:rsid w:val="00CC0C62"/>
    <w:rsid w:val="00CC259C"/>
    <w:rsid w:val="00CC42D1"/>
    <w:rsid w:val="00CC5B3E"/>
    <w:rsid w:val="00CD56A2"/>
    <w:rsid w:val="00CE05D9"/>
    <w:rsid w:val="00CE0E9B"/>
    <w:rsid w:val="00CE1A87"/>
    <w:rsid w:val="00CF259E"/>
    <w:rsid w:val="00CF25EF"/>
    <w:rsid w:val="00D04A96"/>
    <w:rsid w:val="00D05B67"/>
    <w:rsid w:val="00D05D52"/>
    <w:rsid w:val="00D07148"/>
    <w:rsid w:val="00D07EA1"/>
    <w:rsid w:val="00D16DDE"/>
    <w:rsid w:val="00D24980"/>
    <w:rsid w:val="00D26D53"/>
    <w:rsid w:val="00D26DCC"/>
    <w:rsid w:val="00D31F43"/>
    <w:rsid w:val="00D33125"/>
    <w:rsid w:val="00D40137"/>
    <w:rsid w:val="00D40E59"/>
    <w:rsid w:val="00D415E6"/>
    <w:rsid w:val="00D4302A"/>
    <w:rsid w:val="00D444C5"/>
    <w:rsid w:val="00D50857"/>
    <w:rsid w:val="00D50EA2"/>
    <w:rsid w:val="00D530DC"/>
    <w:rsid w:val="00D62023"/>
    <w:rsid w:val="00D676E9"/>
    <w:rsid w:val="00D7070F"/>
    <w:rsid w:val="00D709DD"/>
    <w:rsid w:val="00D731B6"/>
    <w:rsid w:val="00D73B38"/>
    <w:rsid w:val="00D80522"/>
    <w:rsid w:val="00D8294A"/>
    <w:rsid w:val="00D83F98"/>
    <w:rsid w:val="00D84A75"/>
    <w:rsid w:val="00D85F90"/>
    <w:rsid w:val="00D90649"/>
    <w:rsid w:val="00D91E89"/>
    <w:rsid w:val="00D9213D"/>
    <w:rsid w:val="00D965B1"/>
    <w:rsid w:val="00D97A52"/>
    <w:rsid w:val="00D97DF9"/>
    <w:rsid w:val="00D97F1C"/>
    <w:rsid w:val="00DA1AC2"/>
    <w:rsid w:val="00DA52A0"/>
    <w:rsid w:val="00DA5395"/>
    <w:rsid w:val="00DA6526"/>
    <w:rsid w:val="00DA6C54"/>
    <w:rsid w:val="00DB1297"/>
    <w:rsid w:val="00DB72D6"/>
    <w:rsid w:val="00DC54A3"/>
    <w:rsid w:val="00DD181C"/>
    <w:rsid w:val="00DD2F2C"/>
    <w:rsid w:val="00DD48D9"/>
    <w:rsid w:val="00DD51C7"/>
    <w:rsid w:val="00DE1540"/>
    <w:rsid w:val="00DE520C"/>
    <w:rsid w:val="00DF1E66"/>
    <w:rsid w:val="00DF2A9E"/>
    <w:rsid w:val="00DF60FD"/>
    <w:rsid w:val="00DF6410"/>
    <w:rsid w:val="00DF7B19"/>
    <w:rsid w:val="00E007F7"/>
    <w:rsid w:val="00E0174F"/>
    <w:rsid w:val="00E05F18"/>
    <w:rsid w:val="00E06A27"/>
    <w:rsid w:val="00E12202"/>
    <w:rsid w:val="00E1434B"/>
    <w:rsid w:val="00E1456D"/>
    <w:rsid w:val="00E20331"/>
    <w:rsid w:val="00E2076D"/>
    <w:rsid w:val="00E22018"/>
    <w:rsid w:val="00E242C5"/>
    <w:rsid w:val="00E24673"/>
    <w:rsid w:val="00E24F26"/>
    <w:rsid w:val="00E261B4"/>
    <w:rsid w:val="00E27204"/>
    <w:rsid w:val="00E27C0C"/>
    <w:rsid w:val="00E31E85"/>
    <w:rsid w:val="00E35096"/>
    <w:rsid w:val="00E35E96"/>
    <w:rsid w:val="00E407FF"/>
    <w:rsid w:val="00E40C34"/>
    <w:rsid w:val="00E41E2C"/>
    <w:rsid w:val="00E42CB5"/>
    <w:rsid w:val="00E44207"/>
    <w:rsid w:val="00E46B3C"/>
    <w:rsid w:val="00E46CAB"/>
    <w:rsid w:val="00E50116"/>
    <w:rsid w:val="00E54876"/>
    <w:rsid w:val="00E64442"/>
    <w:rsid w:val="00E66C57"/>
    <w:rsid w:val="00E66D00"/>
    <w:rsid w:val="00E7076D"/>
    <w:rsid w:val="00E71643"/>
    <w:rsid w:val="00E7224C"/>
    <w:rsid w:val="00E72693"/>
    <w:rsid w:val="00E729F2"/>
    <w:rsid w:val="00E75DBD"/>
    <w:rsid w:val="00E805D3"/>
    <w:rsid w:val="00E80826"/>
    <w:rsid w:val="00E83EF2"/>
    <w:rsid w:val="00E84DA1"/>
    <w:rsid w:val="00E91332"/>
    <w:rsid w:val="00E91F0F"/>
    <w:rsid w:val="00E92EF3"/>
    <w:rsid w:val="00E94426"/>
    <w:rsid w:val="00EA1E20"/>
    <w:rsid w:val="00EA2B12"/>
    <w:rsid w:val="00EA3045"/>
    <w:rsid w:val="00EB5F1B"/>
    <w:rsid w:val="00EB706E"/>
    <w:rsid w:val="00EC0C83"/>
    <w:rsid w:val="00EC1DE8"/>
    <w:rsid w:val="00EC35AE"/>
    <w:rsid w:val="00ED04A0"/>
    <w:rsid w:val="00ED3620"/>
    <w:rsid w:val="00ED4708"/>
    <w:rsid w:val="00EE0D69"/>
    <w:rsid w:val="00EE0F26"/>
    <w:rsid w:val="00EE2ABB"/>
    <w:rsid w:val="00EE6323"/>
    <w:rsid w:val="00EE7E13"/>
    <w:rsid w:val="00EF192B"/>
    <w:rsid w:val="00EF21DA"/>
    <w:rsid w:val="00F003BC"/>
    <w:rsid w:val="00F01EF5"/>
    <w:rsid w:val="00F03181"/>
    <w:rsid w:val="00F06B8A"/>
    <w:rsid w:val="00F07A7D"/>
    <w:rsid w:val="00F112DA"/>
    <w:rsid w:val="00F13504"/>
    <w:rsid w:val="00F153C1"/>
    <w:rsid w:val="00F16839"/>
    <w:rsid w:val="00F20863"/>
    <w:rsid w:val="00F211E7"/>
    <w:rsid w:val="00F21D37"/>
    <w:rsid w:val="00F221F0"/>
    <w:rsid w:val="00F224BB"/>
    <w:rsid w:val="00F26136"/>
    <w:rsid w:val="00F2713B"/>
    <w:rsid w:val="00F305D8"/>
    <w:rsid w:val="00F32F79"/>
    <w:rsid w:val="00F37106"/>
    <w:rsid w:val="00F40383"/>
    <w:rsid w:val="00F44A2E"/>
    <w:rsid w:val="00F47D57"/>
    <w:rsid w:val="00F55DC4"/>
    <w:rsid w:val="00F576B3"/>
    <w:rsid w:val="00F60199"/>
    <w:rsid w:val="00F741AF"/>
    <w:rsid w:val="00F745E1"/>
    <w:rsid w:val="00F75A79"/>
    <w:rsid w:val="00F7620E"/>
    <w:rsid w:val="00F766FF"/>
    <w:rsid w:val="00F7723D"/>
    <w:rsid w:val="00F775AD"/>
    <w:rsid w:val="00F77DB8"/>
    <w:rsid w:val="00F80E07"/>
    <w:rsid w:val="00F815CD"/>
    <w:rsid w:val="00F87311"/>
    <w:rsid w:val="00F90326"/>
    <w:rsid w:val="00F90F86"/>
    <w:rsid w:val="00F92DF0"/>
    <w:rsid w:val="00FA0454"/>
    <w:rsid w:val="00FA325E"/>
    <w:rsid w:val="00FA4A9E"/>
    <w:rsid w:val="00FA7D61"/>
    <w:rsid w:val="00FB0976"/>
    <w:rsid w:val="00FB1248"/>
    <w:rsid w:val="00FB1453"/>
    <w:rsid w:val="00FB217D"/>
    <w:rsid w:val="00FB29CC"/>
    <w:rsid w:val="00FB353A"/>
    <w:rsid w:val="00FB6099"/>
    <w:rsid w:val="00FC0522"/>
    <w:rsid w:val="00FC2A7E"/>
    <w:rsid w:val="00FC2DE3"/>
    <w:rsid w:val="00FC5F35"/>
    <w:rsid w:val="00FD2A01"/>
    <w:rsid w:val="00FD3D04"/>
    <w:rsid w:val="00FD49A0"/>
    <w:rsid w:val="00FD5D64"/>
    <w:rsid w:val="00FE27DE"/>
    <w:rsid w:val="00FE2D84"/>
    <w:rsid w:val="00FF1DCC"/>
    <w:rsid w:val="00FF30E2"/>
    <w:rsid w:val="00FF66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D384484D-7BE7-4959-BF57-4807764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rsid w:val="00885E7D"/>
    <w:rPr>
      <w:sz w:val="16"/>
      <w:szCs w:val="16"/>
    </w:rPr>
  </w:style>
  <w:style w:type="paragraph" w:styleId="Textocomentario">
    <w:name w:val="annotation text"/>
    <w:basedOn w:val="Normal"/>
    <w:link w:val="TextocomentarioCar"/>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3650D5"/>
  </w:style>
  <w:style w:type="paragraph" w:styleId="Revisin">
    <w:name w:val="Revision"/>
    <w:hidden/>
    <w:uiPriority w:val="71"/>
    <w:rsid w:val="00705DAA"/>
    <w:rPr>
      <w:rFonts w:ascii="Arial" w:hAnsi="Arial"/>
      <w:lang w:val="es-ES" w:eastAsia="es-ES"/>
    </w:rPr>
  </w:style>
  <w:style w:type="character" w:styleId="Mencinsinresolver">
    <w:name w:val="Unresolved Mention"/>
    <w:basedOn w:val="Fuentedeprrafopredeter"/>
    <w:uiPriority w:val="99"/>
    <w:semiHidden/>
    <w:unhideWhenUsed/>
    <w:rsid w:val="00D97A52"/>
    <w:rPr>
      <w:color w:val="605E5C"/>
      <w:shd w:val="clear" w:color="auto" w:fill="E1DFDD"/>
    </w:rPr>
  </w:style>
  <w:style w:type="character" w:styleId="Hipervnculovisitado">
    <w:name w:val="FollowedHyperlink"/>
    <w:basedOn w:val="Fuentedeprrafopredeter"/>
    <w:rsid w:val="00E27C0C"/>
    <w:rPr>
      <w:color w:val="954F72" w:themeColor="followedHyperlink"/>
      <w:u w:val="single"/>
    </w:rPr>
  </w:style>
  <w:style w:type="paragraph" w:customStyle="1" w:styleId="text-justify">
    <w:name w:val="text-justify"/>
    <w:basedOn w:val="Normal"/>
    <w:rsid w:val="009A012E"/>
    <w:pPr>
      <w:spacing w:before="100" w:beforeAutospacing="1" w:after="100" w:afterAutospacing="1"/>
    </w:pPr>
    <w:rPr>
      <w:rFonts w:ascii="Times New Roman" w:hAnsi="Times New Roman"/>
      <w:sz w:val="24"/>
      <w:szCs w:val="24"/>
      <w:lang w:val="es-CO" w:eastAsia="es-CO"/>
    </w:rPr>
  </w:style>
  <w:style w:type="paragraph" w:styleId="Prrafodelista">
    <w:name w:val="List Paragraph"/>
    <w:basedOn w:val="Normal"/>
    <w:uiPriority w:val="34"/>
    <w:qFormat/>
    <w:rsid w:val="002306D2"/>
    <w:pPr>
      <w:widowControl w:val="0"/>
      <w:ind w:left="720"/>
      <w:jc w:val="both"/>
    </w:pPr>
    <w:rPr>
      <w:rFonts w:ascii="Tahoma" w:hAnsi="Tahoma"/>
      <w:lang w:val="es-CO"/>
    </w:rPr>
  </w:style>
  <w:style w:type="table" w:customStyle="1" w:styleId="Tabladelista4-nfasis11">
    <w:name w:val="Tabla de lista 4 - Énfasis 11"/>
    <w:basedOn w:val="Tablanormal"/>
    <w:next w:val="Tabladelista4-nfasis1"/>
    <w:uiPriority w:val="49"/>
    <w:rsid w:val="002306D2"/>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4-nfasis1">
    <w:name w:val="List Table 4 Accent 1"/>
    <w:basedOn w:val="Tablanormal"/>
    <w:uiPriority w:val="47"/>
    <w:rsid w:val="002306D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5E6F7C"/>
    <w:pPr>
      <w:spacing w:before="100" w:beforeAutospacing="1" w:after="100" w:afterAutospacing="1"/>
    </w:pPr>
    <w:rPr>
      <w:rFonts w:ascii="Times New Roman" w:hAnsi="Times New Roman"/>
      <w:sz w:val="24"/>
      <w:szCs w:val="24"/>
      <w:lang w:val="es-CO" w:eastAsia="es-CO"/>
    </w:rPr>
  </w:style>
  <w:style w:type="character" w:customStyle="1" w:styleId="TextocomentarioCar">
    <w:name w:val="Texto comentario Car"/>
    <w:basedOn w:val="Fuentedeprrafopredeter"/>
    <w:link w:val="Textocomentario"/>
    <w:rsid w:val="005D4D6C"/>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7464">
      <w:bodyDiv w:val="1"/>
      <w:marLeft w:val="0"/>
      <w:marRight w:val="0"/>
      <w:marTop w:val="0"/>
      <w:marBottom w:val="0"/>
      <w:divBdr>
        <w:top w:val="none" w:sz="0" w:space="0" w:color="auto"/>
        <w:left w:val="none" w:sz="0" w:space="0" w:color="auto"/>
        <w:bottom w:val="none" w:sz="0" w:space="0" w:color="auto"/>
        <w:right w:val="none" w:sz="0" w:space="0" w:color="auto"/>
      </w:divBdr>
    </w:div>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274290688">
      <w:bodyDiv w:val="1"/>
      <w:marLeft w:val="0"/>
      <w:marRight w:val="0"/>
      <w:marTop w:val="0"/>
      <w:marBottom w:val="0"/>
      <w:divBdr>
        <w:top w:val="none" w:sz="0" w:space="0" w:color="auto"/>
        <w:left w:val="none" w:sz="0" w:space="0" w:color="auto"/>
        <w:bottom w:val="none" w:sz="0" w:space="0" w:color="auto"/>
        <w:right w:val="none" w:sz="0" w:space="0" w:color="auto"/>
      </w:divBdr>
    </w:div>
    <w:div w:id="309137458">
      <w:bodyDiv w:val="1"/>
      <w:marLeft w:val="0"/>
      <w:marRight w:val="0"/>
      <w:marTop w:val="0"/>
      <w:marBottom w:val="0"/>
      <w:divBdr>
        <w:top w:val="none" w:sz="0" w:space="0" w:color="auto"/>
        <w:left w:val="none" w:sz="0" w:space="0" w:color="auto"/>
        <w:bottom w:val="none" w:sz="0" w:space="0" w:color="auto"/>
        <w:right w:val="none" w:sz="0" w:space="0" w:color="auto"/>
      </w:divBdr>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41713078">
      <w:bodyDiv w:val="1"/>
      <w:marLeft w:val="0"/>
      <w:marRight w:val="0"/>
      <w:marTop w:val="0"/>
      <w:marBottom w:val="0"/>
      <w:divBdr>
        <w:top w:val="none" w:sz="0" w:space="0" w:color="auto"/>
        <w:left w:val="none" w:sz="0" w:space="0" w:color="auto"/>
        <w:bottom w:val="none" w:sz="0" w:space="0" w:color="auto"/>
        <w:right w:val="none" w:sz="0" w:space="0" w:color="auto"/>
      </w:divBdr>
      <w:divsChild>
        <w:div w:id="1861970785">
          <w:marLeft w:val="0"/>
          <w:marRight w:val="0"/>
          <w:marTop w:val="0"/>
          <w:marBottom w:val="0"/>
          <w:divBdr>
            <w:top w:val="none" w:sz="0" w:space="0" w:color="auto"/>
            <w:left w:val="none" w:sz="0" w:space="0" w:color="auto"/>
            <w:bottom w:val="none" w:sz="0" w:space="0" w:color="auto"/>
            <w:right w:val="none" w:sz="0" w:space="0" w:color="auto"/>
          </w:divBdr>
          <w:divsChild>
            <w:div w:id="1358510624">
              <w:marLeft w:val="0"/>
              <w:marRight w:val="0"/>
              <w:marTop w:val="0"/>
              <w:marBottom w:val="0"/>
              <w:divBdr>
                <w:top w:val="none" w:sz="0" w:space="0" w:color="auto"/>
                <w:left w:val="none" w:sz="0" w:space="0" w:color="auto"/>
                <w:bottom w:val="none" w:sz="0" w:space="0" w:color="auto"/>
                <w:right w:val="none" w:sz="0" w:space="0" w:color="auto"/>
              </w:divBdr>
            </w:div>
          </w:divsChild>
        </w:div>
        <w:div w:id="478152638">
          <w:marLeft w:val="0"/>
          <w:marRight w:val="0"/>
          <w:marTop w:val="0"/>
          <w:marBottom w:val="0"/>
          <w:divBdr>
            <w:top w:val="single" w:sz="6" w:space="11" w:color="E5E5E5"/>
            <w:left w:val="none" w:sz="0" w:space="0" w:color="auto"/>
            <w:bottom w:val="none" w:sz="0" w:space="0" w:color="auto"/>
            <w:right w:val="none" w:sz="0" w:space="0" w:color="auto"/>
          </w:divBdr>
        </w:div>
      </w:divsChild>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858929435">
      <w:bodyDiv w:val="1"/>
      <w:marLeft w:val="0"/>
      <w:marRight w:val="0"/>
      <w:marTop w:val="0"/>
      <w:marBottom w:val="0"/>
      <w:divBdr>
        <w:top w:val="none" w:sz="0" w:space="0" w:color="auto"/>
        <w:left w:val="none" w:sz="0" w:space="0" w:color="auto"/>
        <w:bottom w:val="none" w:sz="0" w:space="0" w:color="auto"/>
        <w:right w:val="none" w:sz="0" w:space="0" w:color="auto"/>
      </w:divBdr>
      <w:divsChild>
        <w:div w:id="1403526909">
          <w:marLeft w:val="0"/>
          <w:marRight w:val="0"/>
          <w:marTop w:val="0"/>
          <w:marBottom w:val="0"/>
          <w:divBdr>
            <w:top w:val="none" w:sz="0" w:space="0" w:color="auto"/>
            <w:left w:val="none" w:sz="0" w:space="0" w:color="auto"/>
            <w:bottom w:val="none" w:sz="0" w:space="0" w:color="auto"/>
            <w:right w:val="none" w:sz="0" w:space="0" w:color="auto"/>
          </w:divBdr>
          <w:divsChild>
            <w:div w:id="814759465">
              <w:marLeft w:val="0"/>
              <w:marRight w:val="0"/>
              <w:marTop w:val="0"/>
              <w:marBottom w:val="0"/>
              <w:divBdr>
                <w:top w:val="none" w:sz="0" w:space="0" w:color="auto"/>
                <w:left w:val="none" w:sz="0" w:space="0" w:color="auto"/>
                <w:bottom w:val="none" w:sz="0" w:space="0" w:color="auto"/>
                <w:right w:val="none" w:sz="0" w:space="0" w:color="auto"/>
              </w:divBdr>
            </w:div>
          </w:divsChild>
        </w:div>
        <w:div w:id="1690832738">
          <w:marLeft w:val="0"/>
          <w:marRight w:val="0"/>
          <w:marTop w:val="0"/>
          <w:marBottom w:val="0"/>
          <w:divBdr>
            <w:top w:val="single" w:sz="6" w:space="11" w:color="E5E5E5"/>
            <w:left w:val="none" w:sz="0" w:space="0" w:color="auto"/>
            <w:bottom w:val="none" w:sz="0" w:space="0" w:color="auto"/>
            <w:right w:val="none" w:sz="0" w:space="0" w:color="auto"/>
          </w:divBdr>
        </w:div>
      </w:divsChild>
    </w:div>
    <w:div w:id="877275559">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83453646">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289625623">
      <w:bodyDiv w:val="1"/>
      <w:marLeft w:val="0"/>
      <w:marRight w:val="0"/>
      <w:marTop w:val="0"/>
      <w:marBottom w:val="0"/>
      <w:divBdr>
        <w:top w:val="none" w:sz="0" w:space="0" w:color="auto"/>
        <w:left w:val="none" w:sz="0" w:space="0" w:color="auto"/>
        <w:bottom w:val="none" w:sz="0" w:space="0" w:color="auto"/>
        <w:right w:val="none" w:sz="0" w:space="0" w:color="auto"/>
      </w:divBdr>
    </w:div>
    <w:div w:id="1373529601">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650089059">
      <w:bodyDiv w:val="1"/>
      <w:marLeft w:val="0"/>
      <w:marRight w:val="0"/>
      <w:marTop w:val="0"/>
      <w:marBottom w:val="0"/>
      <w:divBdr>
        <w:top w:val="none" w:sz="0" w:space="0" w:color="auto"/>
        <w:left w:val="none" w:sz="0" w:space="0" w:color="auto"/>
        <w:bottom w:val="none" w:sz="0" w:space="0" w:color="auto"/>
        <w:right w:val="none" w:sz="0" w:space="0" w:color="auto"/>
      </w:divBdr>
    </w:div>
    <w:div w:id="1669216245">
      <w:bodyDiv w:val="1"/>
      <w:marLeft w:val="0"/>
      <w:marRight w:val="0"/>
      <w:marTop w:val="0"/>
      <w:marBottom w:val="0"/>
      <w:divBdr>
        <w:top w:val="none" w:sz="0" w:space="0" w:color="auto"/>
        <w:left w:val="none" w:sz="0" w:space="0" w:color="auto"/>
        <w:bottom w:val="none" w:sz="0" w:space="0" w:color="auto"/>
        <w:right w:val="none" w:sz="0" w:space="0" w:color="auto"/>
      </w:divBdr>
    </w:div>
    <w:div w:id="1678845375">
      <w:bodyDiv w:val="1"/>
      <w:marLeft w:val="0"/>
      <w:marRight w:val="0"/>
      <w:marTop w:val="0"/>
      <w:marBottom w:val="0"/>
      <w:divBdr>
        <w:top w:val="none" w:sz="0" w:space="0" w:color="auto"/>
        <w:left w:val="none" w:sz="0" w:space="0" w:color="auto"/>
        <w:bottom w:val="none" w:sz="0" w:space="0" w:color="auto"/>
        <w:right w:val="none" w:sz="0" w:space="0" w:color="auto"/>
      </w:divBdr>
    </w:div>
    <w:div w:id="1990089069">
      <w:bodyDiv w:val="1"/>
      <w:marLeft w:val="0"/>
      <w:marRight w:val="0"/>
      <w:marTop w:val="0"/>
      <w:marBottom w:val="0"/>
      <w:divBdr>
        <w:top w:val="none" w:sz="0" w:space="0" w:color="auto"/>
        <w:left w:val="none" w:sz="0" w:space="0" w:color="auto"/>
        <w:bottom w:val="none" w:sz="0" w:space="0" w:color="auto"/>
        <w:right w:val="none" w:sz="0" w:space="0" w:color="auto"/>
      </w:divBdr>
    </w:div>
    <w:div w:id="2053848000">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 w:id="213517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customXml/itemProps2.xml><?xml version="1.0" encoding="utf-8"?>
<ds:datastoreItem xmlns:ds="http://schemas.openxmlformats.org/officeDocument/2006/customXml" ds:itemID="{91144820-3BC2-4C6E-A2BA-EB9826C2936D}">
  <ds:schemaRefs>
    <ds:schemaRef ds:uri="http://schemas.openxmlformats.org/officeDocument/2006/bibliography"/>
  </ds:schemaRefs>
</ds:datastoreItem>
</file>

<file path=customXml/itemProps3.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A2C0C-43A8-4E0A-B224-1B702EFA9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2029</Words>
  <Characters>11162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Andres Perez Orduz</cp:lastModifiedBy>
  <cp:revision>23</cp:revision>
  <cp:lastPrinted>2019-07-08T22:30:00Z</cp:lastPrinted>
  <dcterms:created xsi:type="dcterms:W3CDTF">2025-06-05T14:11:00Z</dcterms:created>
  <dcterms:modified xsi:type="dcterms:W3CDTF">2025-06-06T01:10:00Z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2023-09-28T21:53:07Z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