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4" w:type="dxa"/>
        <w:tblInd w:w="-922" w:type="dxa"/>
        <w:tblBorders>
          <w:top w:val="single" w:sz="4" w:space="0" w:color="auto"/>
          <w:left w:val="single" w:sz="4" w:space="0" w:color="auto"/>
          <w:bottom w:val="single" w:sz="4" w:space="0" w:color="auto"/>
          <w:right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3434"/>
        <w:gridCol w:w="4221"/>
        <w:gridCol w:w="3119"/>
      </w:tblGrid>
      <w:tr w:rsidR="005C4522" w:rsidRPr="009F7CED" w14:paraId="37976A32" w14:textId="77777777" w:rsidTr="00112EF1">
        <w:trPr>
          <w:trHeight w:val="97"/>
        </w:trPr>
        <w:tc>
          <w:tcPr>
            <w:tcW w:w="3434" w:type="dxa"/>
            <w:tcBorders>
              <w:top w:val="single" w:sz="4" w:space="0" w:color="auto"/>
              <w:bottom w:val="single" w:sz="4" w:space="0" w:color="auto"/>
              <w:right w:val="single" w:sz="4" w:space="0" w:color="auto"/>
            </w:tcBorders>
            <w:shd w:val="clear" w:color="auto" w:fill="D9D9D9"/>
            <w:vAlign w:val="center"/>
          </w:tcPr>
          <w:p w14:paraId="2221798A" w14:textId="77777777" w:rsidR="0026513E" w:rsidRPr="008C703D" w:rsidRDefault="00795C6B" w:rsidP="002264B8">
            <w:pPr>
              <w:pStyle w:val="Ttulo2"/>
              <w:ind w:right="72"/>
              <w:jc w:val="left"/>
              <w:rPr>
                <w:rFonts w:cs="Arial"/>
                <w:bCs/>
                <w:sz w:val="22"/>
                <w:szCs w:val="22"/>
              </w:rPr>
            </w:pPr>
            <w:r w:rsidRPr="008C703D">
              <w:rPr>
                <w:rFonts w:cs="Arial"/>
                <w:sz w:val="22"/>
                <w:szCs w:val="22"/>
                <w:lang w:val="es-CO"/>
              </w:rPr>
              <w:t>Entidad</w:t>
            </w:r>
            <w:r w:rsidR="00086B16" w:rsidRPr="008C703D">
              <w:rPr>
                <w:rFonts w:cs="Arial"/>
                <w:sz w:val="22"/>
                <w:szCs w:val="22"/>
                <w:lang w:val="es-CO"/>
              </w:rPr>
              <w:t xml:space="preserve"> </w:t>
            </w:r>
            <w:r w:rsidRPr="008C703D">
              <w:rPr>
                <w:rFonts w:cs="Arial"/>
                <w:sz w:val="22"/>
                <w:szCs w:val="22"/>
                <w:lang w:val="es-CO"/>
              </w:rPr>
              <w:t>originadora</w:t>
            </w:r>
            <w:r w:rsidR="00293F29" w:rsidRPr="008C703D">
              <w:rPr>
                <w:rFonts w:cs="Arial"/>
                <w:sz w:val="22"/>
                <w:szCs w:val="22"/>
                <w:lang w:val="es-CO"/>
              </w:rPr>
              <w:t>:</w:t>
            </w:r>
          </w:p>
        </w:tc>
        <w:tc>
          <w:tcPr>
            <w:tcW w:w="7340" w:type="dxa"/>
            <w:gridSpan w:val="2"/>
            <w:tcBorders>
              <w:top w:val="single" w:sz="4" w:space="0" w:color="auto"/>
              <w:left w:val="single" w:sz="4" w:space="0" w:color="auto"/>
              <w:bottom w:val="single" w:sz="4" w:space="0" w:color="auto"/>
            </w:tcBorders>
            <w:shd w:val="clear" w:color="auto" w:fill="FFFFFF"/>
            <w:vAlign w:val="center"/>
          </w:tcPr>
          <w:p w14:paraId="79406CB6" w14:textId="661F36D3" w:rsidR="0026513E" w:rsidRPr="00084B49" w:rsidRDefault="00012600" w:rsidP="00795C6B">
            <w:pPr>
              <w:pStyle w:val="Ttulo2"/>
              <w:ind w:left="72" w:right="72"/>
              <w:jc w:val="left"/>
              <w:rPr>
                <w:rFonts w:cs="Arial"/>
                <w:b w:val="0"/>
                <w:i/>
                <w:color w:val="808080"/>
                <w:sz w:val="22"/>
                <w:szCs w:val="22"/>
              </w:rPr>
            </w:pPr>
            <w:r>
              <w:rPr>
                <w:rFonts w:cs="Arial"/>
                <w:b w:val="0"/>
                <w:i/>
                <w:color w:val="808080"/>
                <w:sz w:val="22"/>
                <w:szCs w:val="22"/>
              </w:rPr>
              <w:t xml:space="preserve">Ministerio de </w:t>
            </w:r>
            <w:r w:rsidR="003761E4">
              <w:rPr>
                <w:rFonts w:cs="Arial"/>
                <w:b w:val="0"/>
                <w:i/>
                <w:color w:val="808080"/>
                <w:sz w:val="22"/>
                <w:szCs w:val="22"/>
              </w:rPr>
              <w:t>Tecnologías de la Información y las Comunicaciones</w:t>
            </w:r>
          </w:p>
        </w:tc>
      </w:tr>
      <w:tr w:rsidR="005C4522" w:rsidRPr="009F7CED" w14:paraId="53D25FCD" w14:textId="77777777" w:rsidTr="00112EF1">
        <w:trPr>
          <w:trHeight w:val="97"/>
        </w:trPr>
        <w:tc>
          <w:tcPr>
            <w:tcW w:w="3434" w:type="dxa"/>
            <w:tcBorders>
              <w:top w:val="single" w:sz="4" w:space="0" w:color="auto"/>
              <w:bottom w:val="single" w:sz="4" w:space="0" w:color="auto"/>
              <w:right w:val="single" w:sz="4" w:space="0" w:color="auto"/>
            </w:tcBorders>
            <w:shd w:val="clear" w:color="auto" w:fill="D9D9D9"/>
            <w:vAlign w:val="center"/>
          </w:tcPr>
          <w:p w14:paraId="46D1BF2E" w14:textId="77777777" w:rsidR="00C47F73" w:rsidRPr="008C703D" w:rsidRDefault="0026513E" w:rsidP="002264B8">
            <w:pPr>
              <w:pStyle w:val="Ttulo2"/>
              <w:ind w:right="72"/>
              <w:jc w:val="left"/>
              <w:rPr>
                <w:rFonts w:cs="Arial"/>
                <w:bCs/>
                <w:sz w:val="22"/>
                <w:szCs w:val="22"/>
              </w:rPr>
            </w:pPr>
            <w:r w:rsidRPr="008C703D">
              <w:rPr>
                <w:rFonts w:cs="Arial"/>
                <w:bCs/>
                <w:sz w:val="22"/>
                <w:szCs w:val="22"/>
              </w:rPr>
              <w:t>Fecha</w:t>
            </w:r>
            <w:r w:rsidR="00BB545F" w:rsidRPr="008C703D">
              <w:rPr>
                <w:rFonts w:cs="Arial"/>
                <w:bCs/>
                <w:sz w:val="22"/>
                <w:szCs w:val="22"/>
              </w:rPr>
              <w:t xml:space="preserve"> (</w:t>
            </w:r>
            <w:proofErr w:type="spellStart"/>
            <w:r w:rsidR="00BB545F" w:rsidRPr="008C703D">
              <w:rPr>
                <w:rFonts w:cs="Arial"/>
                <w:bCs/>
                <w:sz w:val="22"/>
                <w:szCs w:val="22"/>
              </w:rPr>
              <w:t>dd</w:t>
            </w:r>
            <w:proofErr w:type="spellEnd"/>
            <w:r w:rsidR="00BB545F" w:rsidRPr="008C703D">
              <w:rPr>
                <w:rFonts w:cs="Arial"/>
                <w:bCs/>
                <w:sz w:val="22"/>
                <w:szCs w:val="22"/>
              </w:rPr>
              <w:t>/mm/</w:t>
            </w:r>
            <w:proofErr w:type="spellStart"/>
            <w:r w:rsidR="00BB545F" w:rsidRPr="008C703D">
              <w:rPr>
                <w:rFonts w:cs="Arial"/>
                <w:bCs/>
                <w:sz w:val="22"/>
                <w:szCs w:val="22"/>
              </w:rPr>
              <w:t>aa</w:t>
            </w:r>
            <w:proofErr w:type="spellEnd"/>
            <w:r w:rsidR="00BB545F" w:rsidRPr="008C703D">
              <w:rPr>
                <w:rFonts w:cs="Arial"/>
                <w:bCs/>
                <w:sz w:val="22"/>
                <w:szCs w:val="22"/>
              </w:rPr>
              <w:t>)</w:t>
            </w:r>
            <w:r w:rsidR="00293F29" w:rsidRPr="008C703D">
              <w:rPr>
                <w:rFonts w:cs="Arial"/>
                <w:bCs/>
                <w:sz w:val="22"/>
                <w:szCs w:val="22"/>
              </w:rPr>
              <w:t>:</w:t>
            </w:r>
          </w:p>
        </w:tc>
        <w:tc>
          <w:tcPr>
            <w:tcW w:w="7340" w:type="dxa"/>
            <w:gridSpan w:val="2"/>
            <w:tcBorders>
              <w:top w:val="single" w:sz="4" w:space="0" w:color="auto"/>
              <w:left w:val="single" w:sz="4" w:space="0" w:color="auto"/>
              <w:bottom w:val="single" w:sz="4" w:space="0" w:color="auto"/>
            </w:tcBorders>
            <w:shd w:val="clear" w:color="auto" w:fill="FFFFFF"/>
            <w:vAlign w:val="center"/>
          </w:tcPr>
          <w:p w14:paraId="77A01855" w14:textId="198B59DC" w:rsidR="00C47F73" w:rsidRPr="009F7CED" w:rsidRDefault="003F7C19" w:rsidP="005F30C3">
            <w:pPr>
              <w:pStyle w:val="Ttulo2"/>
              <w:ind w:left="72" w:right="72"/>
              <w:jc w:val="left"/>
              <w:rPr>
                <w:rFonts w:cs="Arial"/>
                <w:b w:val="0"/>
                <w:sz w:val="22"/>
                <w:szCs w:val="22"/>
              </w:rPr>
            </w:pPr>
            <w:r>
              <w:rPr>
                <w:rFonts w:cs="Arial"/>
                <w:b w:val="0"/>
                <w:i/>
                <w:color w:val="808080"/>
                <w:sz w:val="22"/>
                <w:szCs w:val="22"/>
              </w:rPr>
              <w:t>29/12/2025</w:t>
            </w:r>
          </w:p>
        </w:tc>
      </w:tr>
      <w:tr w:rsidR="005C4522" w:rsidRPr="009F7CED" w14:paraId="26AE5D51" w14:textId="77777777" w:rsidTr="00112EF1">
        <w:trPr>
          <w:trHeight w:val="97"/>
        </w:trPr>
        <w:tc>
          <w:tcPr>
            <w:tcW w:w="3434" w:type="dxa"/>
            <w:tcBorders>
              <w:top w:val="single" w:sz="4" w:space="0" w:color="auto"/>
              <w:bottom w:val="single" w:sz="4" w:space="0" w:color="auto"/>
              <w:right w:val="single" w:sz="4" w:space="0" w:color="auto"/>
            </w:tcBorders>
            <w:shd w:val="clear" w:color="auto" w:fill="D9D9D9"/>
            <w:vAlign w:val="center"/>
          </w:tcPr>
          <w:p w14:paraId="48B21D1B" w14:textId="77777777" w:rsidR="0059316B" w:rsidRPr="008C703D" w:rsidRDefault="00A55DB6" w:rsidP="002264B8">
            <w:pPr>
              <w:pStyle w:val="Ttulo2"/>
              <w:ind w:right="72"/>
              <w:jc w:val="left"/>
              <w:rPr>
                <w:rFonts w:cs="Arial"/>
                <w:bCs/>
                <w:sz w:val="22"/>
                <w:szCs w:val="22"/>
              </w:rPr>
            </w:pPr>
            <w:r w:rsidRPr="008C703D">
              <w:rPr>
                <w:rFonts w:cs="Arial"/>
                <w:bCs/>
                <w:sz w:val="22"/>
                <w:szCs w:val="22"/>
              </w:rPr>
              <w:t xml:space="preserve">Proyecto de </w:t>
            </w:r>
            <w:r w:rsidR="00587695" w:rsidRPr="008C703D">
              <w:rPr>
                <w:rFonts w:cs="Arial"/>
                <w:bCs/>
                <w:sz w:val="22"/>
                <w:szCs w:val="22"/>
              </w:rPr>
              <w:t>D</w:t>
            </w:r>
            <w:r w:rsidRPr="008C703D">
              <w:rPr>
                <w:rFonts w:cs="Arial"/>
                <w:bCs/>
                <w:sz w:val="22"/>
                <w:szCs w:val="22"/>
              </w:rPr>
              <w:t>ecreto</w:t>
            </w:r>
            <w:r w:rsidR="00795C6B" w:rsidRPr="008C703D">
              <w:rPr>
                <w:rFonts w:cs="Arial"/>
                <w:bCs/>
                <w:sz w:val="22"/>
                <w:szCs w:val="22"/>
              </w:rPr>
              <w:t>/Resolución</w:t>
            </w:r>
            <w:r w:rsidR="00293F29" w:rsidRPr="008C703D">
              <w:rPr>
                <w:rFonts w:cs="Arial"/>
                <w:bCs/>
                <w:sz w:val="22"/>
                <w:szCs w:val="22"/>
              </w:rPr>
              <w:t>:</w:t>
            </w:r>
          </w:p>
        </w:tc>
        <w:tc>
          <w:tcPr>
            <w:tcW w:w="7340" w:type="dxa"/>
            <w:gridSpan w:val="2"/>
            <w:tcBorders>
              <w:top w:val="single" w:sz="4" w:space="0" w:color="auto"/>
              <w:left w:val="single" w:sz="4" w:space="0" w:color="auto"/>
              <w:bottom w:val="single" w:sz="4" w:space="0" w:color="auto"/>
            </w:tcBorders>
            <w:shd w:val="clear" w:color="auto" w:fill="FFFFFF"/>
            <w:vAlign w:val="center"/>
          </w:tcPr>
          <w:p w14:paraId="28099BF7" w14:textId="77777777" w:rsidR="002F582D" w:rsidRPr="009E2BBF" w:rsidRDefault="002F582D" w:rsidP="002F582D">
            <w:pPr>
              <w:jc w:val="center"/>
              <w:rPr>
                <w:rFonts w:cs="Arial"/>
                <w:sz w:val="22"/>
                <w:szCs w:val="22"/>
              </w:rPr>
            </w:pPr>
            <w:bookmarkStart w:id="0" w:name="_Hlk40511133"/>
            <w:r w:rsidRPr="009E2BBF">
              <w:rPr>
                <w:rFonts w:cs="Arial"/>
                <w:sz w:val="22"/>
                <w:szCs w:val="22"/>
              </w:rPr>
              <w:t>“Por el cual se adiciona el Título --- a la Parte 2 del Libro 2 del Decreto 1078 de 2015, Decreto Único Reglamentario del Sector de Tecnologías de la Información y las Comunicaciones, para reglamentar la Ley 2489 de 2025”</w:t>
            </w:r>
          </w:p>
          <w:bookmarkEnd w:id="0"/>
          <w:p w14:paraId="74136248" w14:textId="06D2751D" w:rsidR="001F238A" w:rsidRPr="009F7CED" w:rsidRDefault="001F238A" w:rsidP="005F30C3">
            <w:pPr>
              <w:pStyle w:val="Ttulo2"/>
              <w:ind w:left="72" w:right="72"/>
              <w:jc w:val="left"/>
              <w:rPr>
                <w:rFonts w:cs="Arial"/>
                <w:spacing w:val="-3"/>
                <w:sz w:val="22"/>
                <w:szCs w:val="22"/>
              </w:rPr>
            </w:pPr>
          </w:p>
        </w:tc>
      </w:tr>
      <w:tr w:rsidR="00DF60FD" w:rsidRPr="009F7CED" w14:paraId="421EB457" w14:textId="77777777" w:rsidTr="0075705D">
        <w:trPr>
          <w:trHeight w:val="674"/>
        </w:trPr>
        <w:tc>
          <w:tcPr>
            <w:tcW w:w="10774" w:type="dxa"/>
            <w:gridSpan w:val="3"/>
            <w:tcBorders>
              <w:top w:val="single" w:sz="4" w:space="0" w:color="auto"/>
            </w:tcBorders>
            <w:shd w:val="clear" w:color="auto" w:fill="FFFFFF"/>
            <w:vAlign w:val="center"/>
          </w:tcPr>
          <w:p w14:paraId="0A3EBB54" w14:textId="77777777" w:rsidR="006315B4" w:rsidRPr="009F7CED" w:rsidRDefault="006315B4" w:rsidP="0075705D">
            <w:pPr>
              <w:autoSpaceDE w:val="0"/>
              <w:autoSpaceDN w:val="0"/>
              <w:adjustRightInd w:val="0"/>
              <w:jc w:val="both"/>
              <w:rPr>
                <w:rFonts w:eastAsia="Calibri" w:cs="Arial"/>
                <w:sz w:val="22"/>
                <w:szCs w:val="22"/>
                <w:lang w:val="es-CO" w:eastAsia="en-US"/>
              </w:rPr>
            </w:pPr>
          </w:p>
          <w:p w14:paraId="23A54342" w14:textId="77777777" w:rsidR="0095690D" w:rsidRPr="005F30C3" w:rsidRDefault="0095690D" w:rsidP="0075705D">
            <w:pPr>
              <w:numPr>
                <w:ilvl w:val="0"/>
                <w:numId w:val="44"/>
              </w:numPr>
              <w:ind w:left="494"/>
              <w:rPr>
                <w:rFonts w:cs="Arial"/>
                <w:b/>
                <w:color w:val="000000"/>
                <w:sz w:val="22"/>
                <w:szCs w:val="22"/>
                <w:lang w:val="es-CO"/>
              </w:rPr>
            </w:pPr>
            <w:r w:rsidRPr="005F30C3">
              <w:rPr>
                <w:rFonts w:cs="Arial"/>
                <w:b/>
                <w:color w:val="000000"/>
                <w:sz w:val="22"/>
                <w:szCs w:val="22"/>
                <w:lang w:val="es-CO"/>
              </w:rPr>
              <w:t>ANTECEDENTES Y RAZONES DE OPORTUNIDAD Y CONVENIENCIA QUE JUSTIFICAN SU EXPEDICIÓN.</w:t>
            </w:r>
          </w:p>
          <w:p w14:paraId="670FDDEB" w14:textId="77777777" w:rsidR="00063BE3" w:rsidRDefault="00063BE3" w:rsidP="0075705D">
            <w:pPr>
              <w:pStyle w:val="Listavistosa-nfasis11"/>
              <w:spacing w:line="240" w:lineRule="auto"/>
              <w:ind w:left="494"/>
              <w:jc w:val="both"/>
              <w:rPr>
                <w:rFonts w:ascii="Arial" w:hAnsi="Arial" w:cs="Arial"/>
                <w:iCs/>
                <w:color w:val="808080"/>
                <w:sz w:val="18"/>
              </w:rPr>
            </w:pPr>
          </w:p>
          <w:p w14:paraId="5FF5FC57" w14:textId="50FF663E" w:rsidR="00C01AAE" w:rsidRPr="003B69ED" w:rsidRDefault="00A818E5" w:rsidP="003B69ED">
            <w:pPr>
              <w:ind w:left="143"/>
              <w:jc w:val="both"/>
              <w:rPr>
                <w:rFonts w:cs="Arial"/>
              </w:rPr>
            </w:pPr>
            <w:r w:rsidRPr="003B69ED">
              <w:rPr>
                <w:rFonts w:cs="Arial"/>
              </w:rPr>
              <w:t>A raíz de la expedición de la</w:t>
            </w:r>
            <w:r w:rsidR="00C01AAE" w:rsidRPr="003B69ED">
              <w:rPr>
                <w:rFonts w:cs="Arial"/>
              </w:rPr>
              <w:t xml:space="preserve"> Ley 2489 de 2025, el Gobierno Nacional deberá adoptar medidas para que los niños, niñas y adolescentes no enfrenten tratos injustos, </w:t>
            </w:r>
            <w:proofErr w:type="spellStart"/>
            <w:r w:rsidR="00C01AAE" w:rsidRPr="003B69ED">
              <w:rPr>
                <w:rFonts w:cs="Arial"/>
              </w:rPr>
              <w:t>ciberagresión</w:t>
            </w:r>
            <w:proofErr w:type="spellEnd"/>
            <w:r w:rsidR="00C01AAE" w:rsidRPr="003B69ED">
              <w:rPr>
                <w:rFonts w:cs="Arial"/>
              </w:rPr>
              <w:t>, ciberacoso, explotación y abusos sexuales, comercio ilegal, violencia de todo tipo o tratos inadecuados en línea o en cualquier entorno digital.</w:t>
            </w:r>
          </w:p>
          <w:p w14:paraId="7ADE81A6" w14:textId="77777777" w:rsidR="00C01AAE" w:rsidRPr="003B69ED" w:rsidRDefault="00C01AAE" w:rsidP="003B69ED">
            <w:pPr>
              <w:ind w:left="143"/>
              <w:jc w:val="both"/>
              <w:rPr>
                <w:rFonts w:cs="Arial"/>
              </w:rPr>
            </w:pPr>
          </w:p>
          <w:p w14:paraId="51633ADC" w14:textId="77777777" w:rsidR="00932391" w:rsidRDefault="00C01AAE" w:rsidP="00932391">
            <w:pPr>
              <w:ind w:left="143"/>
              <w:jc w:val="both"/>
              <w:rPr>
                <w:rFonts w:cs="Arial"/>
              </w:rPr>
            </w:pPr>
            <w:r w:rsidRPr="003B69ED">
              <w:rPr>
                <w:rFonts w:cs="Arial"/>
              </w:rPr>
              <w:t xml:space="preserve">Para ello deberá reglamentar la ley, </w:t>
            </w:r>
            <w:r w:rsidR="000762A9">
              <w:rPr>
                <w:rFonts w:cs="Arial"/>
              </w:rPr>
              <w:t xml:space="preserve">con la expedición de una </w:t>
            </w:r>
            <w:r w:rsidRPr="003B69ED">
              <w:rPr>
                <w:rFonts w:cs="Arial"/>
              </w:rPr>
              <w:t>política pública</w:t>
            </w:r>
            <w:r w:rsidR="003B69ED" w:rsidRPr="003B69ED">
              <w:rPr>
                <w:rFonts w:cs="Arial"/>
              </w:rPr>
              <w:t xml:space="preserve">, </w:t>
            </w:r>
            <w:r w:rsidR="00063BE3" w:rsidRPr="003B69ED">
              <w:rPr>
                <w:rFonts w:cs="Arial"/>
              </w:rPr>
              <w:t>que adopte una estrategia integral que articule acciones entre entidades públicas, sector privado y sociedad civil</w:t>
            </w:r>
            <w:r w:rsidR="00D06342">
              <w:rPr>
                <w:rFonts w:cs="Arial"/>
              </w:rPr>
              <w:t xml:space="preserve">, desarrollando </w:t>
            </w:r>
            <w:r w:rsidR="00D06342" w:rsidRPr="003B69ED">
              <w:rPr>
                <w:rFonts w:cs="Arial"/>
              </w:rPr>
              <w:t xml:space="preserve">instrumentos </w:t>
            </w:r>
            <w:r w:rsidR="00D06342">
              <w:rPr>
                <w:rFonts w:cs="Arial"/>
              </w:rPr>
              <w:t xml:space="preserve">y </w:t>
            </w:r>
            <w:r w:rsidR="00D06342" w:rsidRPr="003B69ED">
              <w:rPr>
                <w:rFonts w:cs="Arial"/>
              </w:rPr>
              <w:t xml:space="preserve">herramientas que permitan </w:t>
            </w:r>
            <w:r w:rsidR="00D06342">
              <w:rPr>
                <w:rFonts w:cs="Arial"/>
              </w:rPr>
              <w:t>garantizar los derechos de los NNA en el entorno digital.</w:t>
            </w:r>
          </w:p>
          <w:p w14:paraId="3B4FEA62" w14:textId="5EADECD3" w:rsidR="00BA5416" w:rsidRPr="003B69ED" w:rsidRDefault="007F3F76" w:rsidP="00932391">
            <w:pPr>
              <w:ind w:left="143"/>
              <w:jc w:val="both"/>
              <w:rPr>
                <w:rFonts w:cs="Arial"/>
              </w:rPr>
            </w:pPr>
            <w:r w:rsidRPr="003B69ED">
              <w:rPr>
                <w:rFonts w:cs="Arial"/>
              </w:rPr>
              <w:t>También, deberá tomar medidas tendientes a cerrar la brecha digital</w:t>
            </w:r>
            <w:r w:rsidR="00AE4153" w:rsidRPr="003B69ED">
              <w:rPr>
                <w:rFonts w:cs="Arial"/>
              </w:rPr>
              <w:t xml:space="preserve"> de género, garantizar un acceso equitativo, alfabetización digital, privacidad y seguridad en línea para todos los niños.</w:t>
            </w:r>
          </w:p>
          <w:p w14:paraId="3518F830" w14:textId="77777777" w:rsidR="00C81BED" w:rsidRPr="003B69ED" w:rsidRDefault="00C81BED" w:rsidP="003B69ED">
            <w:pPr>
              <w:pStyle w:val="Listavistosa-nfasis11"/>
              <w:spacing w:line="240" w:lineRule="auto"/>
              <w:ind w:left="143"/>
              <w:jc w:val="both"/>
              <w:rPr>
                <w:rFonts w:ascii="Arial" w:hAnsi="Arial" w:cs="Arial"/>
                <w:sz w:val="20"/>
                <w:szCs w:val="20"/>
              </w:rPr>
            </w:pPr>
          </w:p>
          <w:p w14:paraId="128ECE26" w14:textId="69FC7FFD" w:rsidR="00C81BED" w:rsidRPr="003B69ED" w:rsidRDefault="00E20B76" w:rsidP="003B69ED">
            <w:pPr>
              <w:pStyle w:val="Listavistosa-nfasis11"/>
              <w:spacing w:line="240" w:lineRule="auto"/>
              <w:ind w:left="143"/>
              <w:jc w:val="both"/>
              <w:rPr>
                <w:rFonts w:ascii="Arial" w:hAnsi="Arial" w:cs="Arial"/>
                <w:sz w:val="20"/>
                <w:szCs w:val="20"/>
              </w:rPr>
            </w:pPr>
            <w:r w:rsidRPr="003B69ED">
              <w:rPr>
                <w:rFonts w:ascii="Arial" w:hAnsi="Arial" w:cs="Arial"/>
                <w:sz w:val="20"/>
                <w:szCs w:val="20"/>
              </w:rPr>
              <w:t xml:space="preserve">La Ley 2489 de 2025 facultó al Gobierno Nacional para </w:t>
            </w:r>
            <w:r w:rsidR="0051658D" w:rsidRPr="003B69ED">
              <w:rPr>
                <w:rFonts w:ascii="Arial" w:hAnsi="Arial" w:cs="Arial"/>
                <w:sz w:val="20"/>
                <w:szCs w:val="20"/>
              </w:rPr>
              <w:t>exigir y vigilar que los proveedores de servicios digitales colaboren activamente para implementar medi</w:t>
            </w:r>
            <w:r w:rsidR="0037195C" w:rsidRPr="003B69ED">
              <w:rPr>
                <w:rFonts w:ascii="Arial" w:hAnsi="Arial" w:cs="Arial"/>
                <w:sz w:val="20"/>
                <w:szCs w:val="20"/>
              </w:rPr>
              <w:t>das de protección adecuadas para niños, niñas y adolescentes en los entornos digitales</w:t>
            </w:r>
            <w:r w:rsidR="002E5189" w:rsidRPr="003B69ED">
              <w:rPr>
                <w:rFonts w:ascii="Arial" w:hAnsi="Arial" w:cs="Arial"/>
                <w:sz w:val="20"/>
                <w:szCs w:val="20"/>
              </w:rPr>
              <w:t>.  Así mismo, es obligación del Gobierno promover el buen uso de las tecnologías en favor de los NNA</w:t>
            </w:r>
            <w:r w:rsidR="00F070C1" w:rsidRPr="003B69ED">
              <w:rPr>
                <w:rFonts w:ascii="Arial" w:hAnsi="Arial" w:cs="Arial"/>
                <w:sz w:val="20"/>
                <w:szCs w:val="20"/>
              </w:rPr>
              <w:t>.</w:t>
            </w:r>
          </w:p>
          <w:p w14:paraId="6D4EE334" w14:textId="77777777" w:rsidR="00F070C1" w:rsidRPr="003B69ED" w:rsidRDefault="00F070C1" w:rsidP="003B69ED">
            <w:pPr>
              <w:pStyle w:val="Listavistosa-nfasis11"/>
              <w:spacing w:line="240" w:lineRule="auto"/>
              <w:ind w:left="143"/>
              <w:jc w:val="both"/>
              <w:rPr>
                <w:rFonts w:ascii="Arial" w:hAnsi="Arial" w:cs="Arial"/>
                <w:sz w:val="20"/>
                <w:szCs w:val="20"/>
              </w:rPr>
            </w:pPr>
          </w:p>
          <w:p w14:paraId="2A42AE4B" w14:textId="31EADF8B" w:rsidR="00345A1C" w:rsidRPr="003B69ED" w:rsidRDefault="00F070C1" w:rsidP="003B69ED">
            <w:pPr>
              <w:pStyle w:val="Listavistosa-nfasis11"/>
              <w:spacing w:line="240" w:lineRule="auto"/>
              <w:ind w:left="143"/>
              <w:jc w:val="both"/>
              <w:rPr>
                <w:rFonts w:ascii="Arial" w:hAnsi="Arial" w:cs="Arial"/>
                <w:sz w:val="20"/>
                <w:szCs w:val="20"/>
              </w:rPr>
            </w:pPr>
            <w:r w:rsidRPr="003B69ED">
              <w:rPr>
                <w:rFonts w:ascii="Arial" w:hAnsi="Arial" w:cs="Arial"/>
                <w:sz w:val="20"/>
                <w:szCs w:val="20"/>
              </w:rPr>
              <w:t>En esa ley se establece una corresponsabilidad entre el Gobierno Nacional</w:t>
            </w:r>
            <w:r w:rsidR="00CE26A9" w:rsidRPr="003B69ED">
              <w:rPr>
                <w:rFonts w:ascii="Arial" w:hAnsi="Arial" w:cs="Arial"/>
                <w:sz w:val="20"/>
                <w:szCs w:val="20"/>
              </w:rPr>
              <w:t xml:space="preserve">, la sociedad civil, los padres, cuidadores, tutores de menores, las organizaciones </w:t>
            </w:r>
            <w:r w:rsidR="00EB355F" w:rsidRPr="003B69ED">
              <w:rPr>
                <w:rFonts w:ascii="Arial" w:hAnsi="Arial" w:cs="Arial"/>
                <w:sz w:val="20"/>
                <w:szCs w:val="20"/>
              </w:rPr>
              <w:t xml:space="preserve">no gubernamentales y la industria del software para tomar medidas y brindar las herramientas para garantizar el derecho </w:t>
            </w:r>
            <w:r w:rsidR="00E8100B" w:rsidRPr="003B69ED">
              <w:rPr>
                <w:rFonts w:ascii="Arial" w:hAnsi="Arial" w:cs="Arial"/>
                <w:sz w:val="20"/>
                <w:szCs w:val="20"/>
              </w:rPr>
              <w:t xml:space="preserve">de los NNA a un entorno digital seguro. </w:t>
            </w:r>
            <w:r w:rsidR="00345A1C" w:rsidRPr="003B69ED">
              <w:rPr>
                <w:rFonts w:ascii="Arial" w:hAnsi="Arial" w:cs="Arial"/>
                <w:sz w:val="20"/>
                <w:szCs w:val="20"/>
              </w:rPr>
              <w:t xml:space="preserve">La Ley establece obligaciones para </w:t>
            </w:r>
            <w:r w:rsidR="00B71978" w:rsidRPr="003B69ED">
              <w:rPr>
                <w:rFonts w:ascii="Arial" w:hAnsi="Arial" w:cs="Arial"/>
                <w:sz w:val="20"/>
                <w:szCs w:val="20"/>
              </w:rPr>
              <w:t xml:space="preserve">los </w:t>
            </w:r>
            <w:r w:rsidR="00345A1C" w:rsidRPr="003B69ED">
              <w:rPr>
                <w:rFonts w:ascii="Arial" w:hAnsi="Arial" w:cs="Arial"/>
                <w:sz w:val="20"/>
                <w:szCs w:val="20"/>
              </w:rPr>
              <w:t>Ministerio</w:t>
            </w:r>
            <w:r w:rsidR="00B71978" w:rsidRPr="003B69ED">
              <w:rPr>
                <w:rFonts w:ascii="Arial" w:hAnsi="Arial" w:cs="Arial"/>
                <w:sz w:val="20"/>
                <w:szCs w:val="20"/>
              </w:rPr>
              <w:t>s</w:t>
            </w:r>
            <w:r w:rsidR="00345A1C" w:rsidRPr="003B69ED">
              <w:rPr>
                <w:rFonts w:ascii="Arial" w:hAnsi="Arial" w:cs="Arial"/>
                <w:sz w:val="20"/>
                <w:szCs w:val="20"/>
              </w:rPr>
              <w:t xml:space="preserve"> de Tecnologías de la Información y las Comunicaciones, </w:t>
            </w:r>
            <w:r w:rsidR="00B71978" w:rsidRPr="003B69ED">
              <w:rPr>
                <w:rFonts w:ascii="Arial" w:hAnsi="Arial" w:cs="Arial"/>
                <w:sz w:val="20"/>
                <w:szCs w:val="20"/>
              </w:rPr>
              <w:t xml:space="preserve">Educación Nacional, </w:t>
            </w:r>
            <w:r w:rsidR="00867AC6" w:rsidRPr="003B69ED">
              <w:rPr>
                <w:rFonts w:ascii="Arial" w:hAnsi="Arial" w:cs="Arial"/>
                <w:sz w:val="20"/>
                <w:szCs w:val="20"/>
              </w:rPr>
              <w:t xml:space="preserve">Defensa, Justicia, </w:t>
            </w:r>
            <w:r w:rsidR="00345A1C" w:rsidRPr="003B69ED">
              <w:rPr>
                <w:rFonts w:ascii="Arial" w:hAnsi="Arial" w:cs="Arial"/>
                <w:sz w:val="20"/>
                <w:szCs w:val="20"/>
              </w:rPr>
              <w:t xml:space="preserve">la Comisión de Regulación de Comunicaciones, el Instituto Colombiano de </w:t>
            </w:r>
            <w:r w:rsidR="002D06D0" w:rsidRPr="003B69ED">
              <w:rPr>
                <w:rFonts w:ascii="Arial" w:hAnsi="Arial" w:cs="Arial"/>
                <w:sz w:val="20"/>
                <w:szCs w:val="20"/>
              </w:rPr>
              <w:t xml:space="preserve">Bienestar Familiar, la Fiscalía General de la Nación, la Policía Nacional y, en general, todos aquellos que, en el marco de sus competencias tienen la obligación de </w:t>
            </w:r>
            <w:r w:rsidR="00B71978" w:rsidRPr="003B69ED">
              <w:rPr>
                <w:rFonts w:ascii="Arial" w:hAnsi="Arial" w:cs="Arial"/>
                <w:sz w:val="20"/>
                <w:szCs w:val="20"/>
              </w:rPr>
              <w:t>garantizar los derechos de los NNA.</w:t>
            </w:r>
          </w:p>
          <w:p w14:paraId="1A211F31" w14:textId="77777777" w:rsidR="00B71978" w:rsidRPr="003B69ED" w:rsidRDefault="00B71978" w:rsidP="003B69ED">
            <w:pPr>
              <w:pStyle w:val="Listavistosa-nfasis11"/>
              <w:spacing w:line="240" w:lineRule="auto"/>
              <w:ind w:left="143"/>
              <w:jc w:val="both"/>
              <w:rPr>
                <w:rFonts w:ascii="Arial" w:hAnsi="Arial" w:cs="Arial"/>
                <w:sz w:val="20"/>
                <w:szCs w:val="20"/>
              </w:rPr>
            </w:pPr>
          </w:p>
          <w:p w14:paraId="5E32F706" w14:textId="77777777" w:rsidR="007E2F48" w:rsidRDefault="00B71978" w:rsidP="003B69ED">
            <w:pPr>
              <w:pStyle w:val="Listavistosa-nfasis11"/>
              <w:spacing w:line="240" w:lineRule="auto"/>
              <w:ind w:left="143"/>
              <w:jc w:val="both"/>
              <w:rPr>
                <w:rFonts w:ascii="Arial" w:hAnsi="Arial" w:cs="Arial"/>
                <w:sz w:val="20"/>
                <w:szCs w:val="20"/>
              </w:rPr>
            </w:pPr>
            <w:r w:rsidRPr="003B69ED">
              <w:rPr>
                <w:rFonts w:ascii="Arial" w:hAnsi="Arial" w:cs="Arial"/>
                <w:sz w:val="20"/>
                <w:szCs w:val="20"/>
              </w:rPr>
              <w:t xml:space="preserve">En la Ley se creó el </w:t>
            </w:r>
            <w:r w:rsidR="00EC5A6B" w:rsidRPr="003B69ED">
              <w:rPr>
                <w:rFonts w:ascii="Arial" w:hAnsi="Arial" w:cs="Arial"/>
                <w:sz w:val="20"/>
                <w:szCs w:val="20"/>
              </w:rPr>
              <w:t>Comité Nacional de Tecnología, Niñez y Adolescencia</w:t>
            </w:r>
            <w:r w:rsidR="006C295D">
              <w:rPr>
                <w:rFonts w:ascii="Arial" w:hAnsi="Arial" w:cs="Arial"/>
                <w:sz w:val="20"/>
                <w:szCs w:val="20"/>
              </w:rPr>
              <w:t xml:space="preserve">, el </w:t>
            </w:r>
            <w:r w:rsidR="00224684">
              <w:rPr>
                <w:rFonts w:ascii="Arial" w:hAnsi="Arial" w:cs="Arial"/>
                <w:sz w:val="20"/>
                <w:szCs w:val="20"/>
              </w:rPr>
              <w:t xml:space="preserve">Repositorio de Recursos Abiertos </w:t>
            </w:r>
            <w:r w:rsidR="00EA2BDC">
              <w:rPr>
                <w:rFonts w:ascii="Arial" w:hAnsi="Arial" w:cs="Arial"/>
                <w:sz w:val="20"/>
                <w:szCs w:val="20"/>
              </w:rPr>
              <w:t>disponible con recomendaciones de aprendizaje y enseñanza en el uso seguro de tecnología, prevención de riesgos en línea y desarrollo de hábitos saludables en línea para NNA;</w:t>
            </w:r>
            <w:r w:rsidR="007760F3">
              <w:rPr>
                <w:rFonts w:ascii="Arial" w:hAnsi="Arial" w:cs="Arial"/>
                <w:sz w:val="20"/>
                <w:szCs w:val="20"/>
              </w:rPr>
              <w:t xml:space="preserve"> y el </w:t>
            </w:r>
            <w:r w:rsidR="006C295D">
              <w:rPr>
                <w:rFonts w:ascii="Arial" w:hAnsi="Arial" w:cs="Arial"/>
                <w:sz w:val="20"/>
                <w:szCs w:val="20"/>
              </w:rPr>
              <w:t>Sistema</w:t>
            </w:r>
            <w:r w:rsidR="007760F3">
              <w:rPr>
                <w:rFonts w:ascii="Arial" w:hAnsi="Arial" w:cs="Arial"/>
                <w:sz w:val="20"/>
                <w:szCs w:val="20"/>
              </w:rPr>
              <w:t xml:space="preserve"> Integrado de Monitoreo, Evaluación y Desarrollo Tecnológico </w:t>
            </w:r>
            <w:r w:rsidR="007E2F48">
              <w:rPr>
                <w:rFonts w:ascii="Arial" w:hAnsi="Arial" w:cs="Arial"/>
                <w:sz w:val="20"/>
                <w:szCs w:val="20"/>
              </w:rPr>
              <w:t>dedicado a la protección de NNA en entornos digitales.</w:t>
            </w:r>
          </w:p>
          <w:p w14:paraId="5D5504AA" w14:textId="77777777" w:rsidR="007E2F48" w:rsidRDefault="007E2F48" w:rsidP="003B69ED">
            <w:pPr>
              <w:pStyle w:val="Listavistosa-nfasis11"/>
              <w:spacing w:line="240" w:lineRule="auto"/>
              <w:ind w:left="143"/>
              <w:jc w:val="both"/>
              <w:rPr>
                <w:rFonts w:ascii="Arial" w:hAnsi="Arial" w:cs="Arial"/>
                <w:sz w:val="20"/>
                <w:szCs w:val="20"/>
              </w:rPr>
            </w:pPr>
          </w:p>
          <w:p w14:paraId="425278AD" w14:textId="77777777" w:rsidR="00114054" w:rsidRDefault="007E2F48" w:rsidP="00114054">
            <w:pPr>
              <w:pStyle w:val="Listavistosa-nfasis11"/>
              <w:spacing w:line="240" w:lineRule="auto"/>
              <w:ind w:left="143"/>
              <w:jc w:val="both"/>
              <w:rPr>
                <w:rFonts w:ascii="Arial" w:hAnsi="Arial" w:cs="Arial"/>
                <w:sz w:val="20"/>
                <w:szCs w:val="20"/>
              </w:rPr>
            </w:pPr>
            <w:r>
              <w:rPr>
                <w:rFonts w:ascii="Arial" w:hAnsi="Arial" w:cs="Arial"/>
                <w:sz w:val="20"/>
                <w:szCs w:val="20"/>
              </w:rPr>
              <w:t xml:space="preserve">Todo lo anterior, según lo dispone el artículo 14 de la Ley 2489 de 2025 deberá reglamentarse, por parte del Gobierno Nacional, dentro de los </w:t>
            </w:r>
            <w:r w:rsidR="0033384E">
              <w:rPr>
                <w:rFonts w:ascii="Arial" w:hAnsi="Arial" w:cs="Arial"/>
                <w:sz w:val="20"/>
                <w:szCs w:val="20"/>
              </w:rPr>
              <w:t>seis (6) meses siguientes a la expedición de la citada ley, término que se cumple el 17 de enero de 2026.</w:t>
            </w:r>
          </w:p>
          <w:p w14:paraId="35DFA449" w14:textId="77777777" w:rsidR="00114054" w:rsidRDefault="00114054" w:rsidP="00114054">
            <w:pPr>
              <w:pStyle w:val="Listavistosa-nfasis11"/>
              <w:spacing w:line="240" w:lineRule="auto"/>
              <w:ind w:left="143"/>
              <w:jc w:val="both"/>
              <w:rPr>
                <w:rFonts w:ascii="Arial" w:hAnsi="Arial" w:cs="Arial"/>
                <w:sz w:val="20"/>
                <w:szCs w:val="20"/>
              </w:rPr>
            </w:pPr>
          </w:p>
          <w:p w14:paraId="59175416" w14:textId="77777777" w:rsidR="005C6811" w:rsidRDefault="005C491D" w:rsidP="00114054">
            <w:pPr>
              <w:pStyle w:val="Listavistosa-nfasis11"/>
              <w:spacing w:line="240" w:lineRule="auto"/>
              <w:ind w:left="143"/>
              <w:jc w:val="both"/>
              <w:rPr>
                <w:rFonts w:ascii="Arial" w:hAnsi="Arial" w:cs="Arial"/>
                <w:sz w:val="20"/>
                <w:szCs w:val="20"/>
                <w:lang w:val="es-419"/>
              </w:rPr>
            </w:pPr>
            <w:r>
              <w:rPr>
                <w:rFonts w:ascii="Arial" w:hAnsi="Arial" w:cs="Arial"/>
                <w:sz w:val="20"/>
                <w:szCs w:val="20"/>
                <w:lang w:val="es-419"/>
              </w:rPr>
              <w:t xml:space="preserve">Para la expedición del decreto resulta relevante poner de presente </w:t>
            </w:r>
            <w:r w:rsidR="005C6811">
              <w:rPr>
                <w:rFonts w:ascii="Arial" w:hAnsi="Arial" w:cs="Arial"/>
                <w:sz w:val="20"/>
                <w:szCs w:val="20"/>
                <w:lang w:val="es-419"/>
              </w:rPr>
              <w:t xml:space="preserve">que, </w:t>
            </w:r>
            <w:r w:rsidR="00114054" w:rsidRPr="00114054">
              <w:rPr>
                <w:rFonts w:ascii="Arial" w:hAnsi="Arial" w:cs="Arial"/>
                <w:sz w:val="20"/>
                <w:szCs w:val="20"/>
                <w:lang w:val="es-419"/>
              </w:rPr>
              <w:t xml:space="preserve">previo a la expedición de la Ley 2489 de 2025, el Estado ha venido adoptando medidas para garantizar la efectividad de los derechos fundamentales de los niños, niñas y adolescentes en todos los entornos, incluido el digital.  </w:t>
            </w:r>
          </w:p>
          <w:p w14:paraId="2FEE0A42" w14:textId="77777777" w:rsidR="005C6811" w:rsidRDefault="005C6811" w:rsidP="00114054">
            <w:pPr>
              <w:pStyle w:val="Listavistosa-nfasis11"/>
              <w:spacing w:line="240" w:lineRule="auto"/>
              <w:ind w:left="143"/>
              <w:jc w:val="both"/>
              <w:rPr>
                <w:rFonts w:ascii="Arial" w:hAnsi="Arial" w:cs="Arial"/>
                <w:sz w:val="20"/>
                <w:szCs w:val="20"/>
                <w:lang w:val="es-419"/>
              </w:rPr>
            </w:pPr>
          </w:p>
          <w:p w14:paraId="7460D65C" w14:textId="77777777" w:rsidR="005C6811" w:rsidRDefault="00114054" w:rsidP="005C6811">
            <w:pPr>
              <w:pStyle w:val="Listavistosa-nfasis11"/>
              <w:spacing w:line="240" w:lineRule="auto"/>
              <w:ind w:left="143"/>
              <w:jc w:val="both"/>
              <w:rPr>
                <w:rFonts w:ascii="Arial" w:hAnsi="Arial" w:cs="Arial"/>
                <w:sz w:val="20"/>
                <w:szCs w:val="20"/>
                <w:lang w:val="es-419"/>
              </w:rPr>
            </w:pPr>
            <w:r w:rsidRPr="00114054">
              <w:rPr>
                <w:rFonts w:ascii="Arial" w:hAnsi="Arial" w:cs="Arial"/>
                <w:sz w:val="20"/>
                <w:szCs w:val="20"/>
                <w:lang w:val="es-419"/>
              </w:rPr>
              <w:t>Para ello se han expedido, entre otras, normas el Código de la Infancia y la Adolescencia – Ley 1098 de 2006, en las Leyes 599 de 2000 “</w:t>
            </w:r>
            <w:r w:rsidRPr="00114054">
              <w:rPr>
                <w:rFonts w:ascii="Arial" w:hAnsi="Arial" w:cs="Arial"/>
                <w:i/>
                <w:iCs/>
                <w:sz w:val="20"/>
                <w:szCs w:val="20"/>
                <w:lang w:val="es-419"/>
              </w:rPr>
              <w:t>Por la cual se expide el Código Penal”</w:t>
            </w:r>
            <w:r w:rsidRPr="00114054">
              <w:rPr>
                <w:rFonts w:ascii="Arial" w:hAnsi="Arial" w:cs="Arial"/>
                <w:sz w:val="20"/>
                <w:szCs w:val="20"/>
                <w:lang w:val="es-419"/>
              </w:rPr>
              <w:t>, 679 de 2001 “</w:t>
            </w:r>
            <w:r w:rsidRPr="00114054">
              <w:rPr>
                <w:rFonts w:ascii="Arial" w:hAnsi="Arial" w:cs="Arial"/>
                <w:i/>
                <w:iCs/>
                <w:sz w:val="20"/>
                <w:szCs w:val="20"/>
              </w:rPr>
              <w:t>Por medio de la cual se expide un estatuto para prevenir y contrarrestar la explotación, la pornografía y el turismo sexual con menores, en desarrollo del artículo 44 de la Constitución.”</w:t>
            </w:r>
            <w:r w:rsidRPr="00114054">
              <w:rPr>
                <w:rFonts w:ascii="Arial" w:hAnsi="Arial" w:cs="Arial"/>
                <w:sz w:val="20"/>
                <w:szCs w:val="20"/>
              </w:rPr>
              <w:t>;</w:t>
            </w:r>
            <w:r w:rsidRPr="00114054">
              <w:rPr>
                <w:rFonts w:ascii="Arial" w:hAnsi="Arial" w:cs="Arial"/>
                <w:i/>
                <w:iCs/>
                <w:sz w:val="20"/>
                <w:szCs w:val="20"/>
                <w:lang w:val="es-419"/>
              </w:rPr>
              <w:t xml:space="preserve"> </w:t>
            </w:r>
            <w:r w:rsidRPr="00114054">
              <w:rPr>
                <w:rFonts w:ascii="Arial" w:hAnsi="Arial" w:cs="Arial"/>
                <w:sz w:val="20"/>
                <w:szCs w:val="20"/>
                <w:lang w:val="es-419"/>
              </w:rPr>
              <w:t xml:space="preserve">985 de 2005 </w:t>
            </w:r>
            <w:r w:rsidRPr="00114054">
              <w:rPr>
                <w:rFonts w:ascii="Arial" w:hAnsi="Arial" w:cs="Arial"/>
                <w:i/>
                <w:iCs/>
                <w:sz w:val="20"/>
                <w:szCs w:val="20"/>
                <w:lang w:val="es-419"/>
              </w:rPr>
              <w:t xml:space="preserve">“Por la cual se adoptan medidas contra la trata de personas y normas para la </w:t>
            </w:r>
            <w:r w:rsidRPr="00114054">
              <w:rPr>
                <w:rFonts w:ascii="Arial" w:hAnsi="Arial" w:cs="Arial"/>
                <w:i/>
                <w:iCs/>
                <w:sz w:val="20"/>
                <w:szCs w:val="20"/>
                <w:lang w:val="es-419"/>
              </w:rPr>
              <w:lastRenderedPageBreak/>
              <w:t>atención y protección de las víctimas de la misma”</w:t>
            </w:r>
            <w:r w:rsidRPr="00114054">
              <w:rPr>
                <w:rFonts w:ascii="Arial" w:hAnsi="Arial" w:cs="Arial"/>
                <w:sz w:val="20"/>
                <w:szCs w:val="20"/>
                <w:lang w:val="es-419"/>
              </w:rPr>
              <w:t xml:space="preserve">; 1329 de 2009 </w:t>
            </w:r>
            <w:r w:rsidRPr="00114054">
              <w:rPr>
                <w:rFonts w:ascii="Arial" w:hAnsi="Arial" w:cs="Arial"/>
                <w:i/>
                <w:iCs/>
                <w:sz w:val="20"/>
                <w:szCs w:val="20"/>
                <w:lang w:val="es-419"/>
              </w:rPr>
              <w:t>“Por</w:t>
            </w:r>
            <w:r w:rsidRPr="00114054">
              <w:rPr>
                <w:rFonts w:ascii="Arial" w:hAnsi="Arial" w:cs="Arial"/>
                <w:i/>
                <w:iCs/>
                <w:sz w:val="20"/>
                <w:szCs w:val="20"/>
              </w:rPr>
              <w:t xml:space="preserve"> medio de la cual se modifica el Título </w:t>
            </w:r>
            <w:hyperlink r:id="rId11" w:anchor="T.4" w:history="1">
              <w:r w:rsidRPr="00114054">
                <w:rPr>
                  <w:rStyle w:val="Hipervnculo"/>
                  <w:rFonts w:ascii="Arial" w:hAnsi="Arial" w:cs="Arial"/>
                  <w:i/>
                  <w:iCs/>
                  <w:sz w:val="20"/>
                  <w:szCs w:val="20"/>
                </w:rPr>
                <w:t>IV</w:t>
              </w:r>
            </w:hyperlink>
            <w:r w:rsidRPr="00114054">
              <w:rPr>
                <w:rFonts w:ascii="Arial" w:hAnsi="Arial" w:cs="Arial"/>
                <w:i/>
                <w:iCs/>
                <w:sz w:val="20"/>
                <w:szCs w:val="20"/>
              </w:rPr>
              <w:t> de la Ley 599 de 2000 y se dictan otras disposiciones para contrarrestar la explotación sexual comercial de niños, niñas y adolescentes.”</w:t>
            </w:r>
            <w:r w:rsidRPr="00114054">
              <w:rPr>
                <w:rFonts w:ascii="Arial" w:hAnsi="Arial" w:cs="Arial"/>
                <w:sz w:val="20"/>
                <w:szCs w:val="20"/>
              </w:rPr>
              <w:t xml:space="preserve">; </w:t>
            </w:r>
            <w:r w:rsidRPr="00114054">
              <w:rPr>
                <w:rFonts w:ascii="Arial" w:hAnsi="Arial" w:cs="Arial"/>
                <w:sz w:val="20"/>
                <w:szCs w:val="20"/>
                <w:lang w:val="es-419"/>
              </w:rPr>
              <w:t xml:space="preserve">1336 de 2009 </w:t>
            </w:r>
            <w:r w:rsidRPr="00114054">
              <w:rPr>
                <w:rFonts w:ascii="Arial" w:hAnsi="Arial" w:cs="Arial"/>
                <w:i/>
                <w:iCs/>
                <w:sz w:val="20"/>
                <w:szCs w:val="20"/>
                <w:lang w:val="es-419"/>
              </w:rPr>
              <w:t>“Por medio de la cual se adiciona y robustece la Ley 679 de 2001, de lucha contra la explotación, la pornografía y el turismo sexual con niños, niñas y adolescentes”;</w:t>
            </w:r>
            <w:r w:rsidRPr="00114054">
              <w:rPr>
                <w:rFonts w:ascii="Arial" w:hAnsi="Arial" w:cs="Arial"/>
                <w:sz w:val="20"/>
                <w:szCs w:val="20"/>
                <w:lang w:val="es-419"/>
              </w:rPr>
              <w:t xml:space="preserve"> y, el</w:t>
            </w:r>
            <w:r w:rsidRPr="00114054">
              <w:rPr>
                <w:rFonts w:ascii="Arial" w:hAnsi="Arial" w:cs="Arial"/>
                <w:sz w:val="20"/>
                <w:szCs w:val="20"/>
              </w:rPr>
              <w:t xml:space="preserve"> Decreto</w:t>
            </w:r>
            <w:r w:rsidRPr="00114054">
              <w:rPr>
                <w:rFonts w:ascii="Arial" w:hAnsi="Arial" w:cs="Arial"/>
                <w:sz w:val="20"/>
                <w:szCs w:val="20"/>
                <w:lang w:val="es-419"/>
              </w:rPr>
              <w:t xml:space="preserve"> 1524 de 2002 </w:t>
            </w:r>
            <w:r w:rsidRPr="00114054">
              <w:rPr>
                <w:rFonts w:ascii="Arial" w:hAnsi="Arial" w:cs="Arial"/>
                <w:i/>
                <w:iCs/>
                <w:sz w:val="20"/>
                <w:szCs w:val="20"/>
                <w:lang w:val="es-419"/>
              </w:rPr>
              <w:t>“Por el cual se reglamenta el artículo 5 de la Ley 679 de 2001”.</w:t>
            </w:r>
            <w:r w:rsidRPr="00114054">
              <w:rPr>
                <w:rFonts w:ascii="Arial" w:hAnsi="Arial" w:cs="Arial"/>
                <w:sz w:val="20"/>
                <w:szCs w:val="20"/>
                <w:lang w:val="es-419"/>
              </w:rPr>
              <w:t xml:space="preserve">  </w:t>
            </w:r>
          </w:p>
          <w:p w14:paraId="72ED3733" w14:textId="77777777" w:rsidR="005C6811" w:rsidRDefault="005C6811" w:rsidP="005C6811">
            <w:pPr>
              <w:pStyle w:val="Listavistosa-nfasis11"/>
              <w:spacing w:line="240" w:lineRule="auto"/>
              <w:ind w:left="143"/>
              <w:jc w:val="both"/>
              <w:rPr>
                <w:rFonts w:ascii="Arial" w:hAnsi="Arial" w:cs="Arial"/>
                <w:sz w:val="20"/>
                <w:szCs w:val="20"/>
                <w:lang w:val="es-419"/>
              </w:rPr>
            </w:pPr>
          </w:p>
          <w:p w14:paraId="1032E207" w14:textId="4236EA10" w:rsidR="00114054" w:rsidRPr="005C6811" w:rsidRDefault="00F134CB" w:rsidP="005C6811">
            <w:pPr>
              <w:pStyle w:val="Listavistosa-nfasis11"/>
              <w:spacing w:line="240" w:lineRule="auto"/>
              <w:ind w:left="143"/>
              <w:jc w:val="both"/>
              <w:rPr>
                <w:rFonts w:ascii="Arial" w:hAnsi="Arial" w:cs="Arial"/>
                <w:sz w:val="20"/>
                <w:szCs w:val="20"/>
              </w:rPr>
            </w:pPr>
            <w:r>
              <w:rPr>
                <w:rFonts w:ascii="Arial" w:hAnsi="Arial" w:cs="Arial"/>
                <w:sz w:val="20"/>
                <w:szCs w:val="20"/>
                <w:lang w:val="es-419"/>
              </w:rPr>
              <w:t xml:space="preserve">Adicionalmente, </w:t>
            </w:r>
            <w:r w:rsidR="00114054" w:rsidRPr="00114054">
              <w:rPr>
                <w:rFonts w:ascii="Arial" w:hAnsi="Arial" w:cs="Arial"/>
                <w:sz w:val="20"/>
                <w:szCs w:val="20"/>
                <w:lang w:val="es-419"/>
              </w:rPr>
              <w:t xml:space="preserve">se han desarrollado e implementado programas, rutas y estrategias de prevención, concientización, acompañamiento, denuncia y reparación de circunstancias de </w:t>
            </w:r>
            <w:proofErr w:type="spellStart"/>
            <w:r w:rsidR="00114054" w:rsidRPr="00114054">
              <w:rPr>
                <w:rFonts w:ascii="Arial" w:hAnsi="Arial" w:cs="Arial"/>
                <w:sz w:val="20"/>
                <w:szCs w:val="20"/>
                <w:lang w:val="es-419"/>
              </w:rPr>
              <w:t>ciberagresión</w:t>
            </w:r>
            <w:proofErr w:type="spellEnd"/>
            <w:r w:rsidR="00114054" w:rsidRPr="00114054">
              <w:rPr>
                <w:rFonts w:ascii="Arial" w:hAnsi="Arial" w:cs="Arial"/>
                <w:sz w:val="20"/>
                <w:szCs w:val="20"/>
                <w:lang w:val="es-419"/>
              </w:rPr>
              <w:t>, ciberacoso, exposición a contenido no apropiado y protección de datos de niños, niñas y adolescentes.</w:t>
            </w:r>
          </w:p>
          <w:p w14:paraId="6077F221" w14:textId="28B10FA2" w:rsidR="00114054" w:rsidRDefault="00C54A97" w:rsidP="000971EA">
            <w:pPr>
              <w:ind w:left="143"/>
              <w:jc w:val="both"/>
              <w:rPr>
                <w:rFonts w:cs="Arial"/>
                <w:lang w:val="es-419"/>
              </w:rPr>
            </w:pPr>
            <w:r>
              <w:rPr>
                <w:rFonts w:cs="Arial"/>
                <w:lang w:val="es-419"/>
              </w:rPr>
              <w:t xml:space="preserve">En ese contexto, con la expedición de la Ley 2489 de 2025 se </w:t>
            </w:r>
            <w:r w:rsidR="00340F19">
              <w:rPr>
                <w:rFonts w:cs="Arial"/>
                <w:lang w:val="es-419"/>
              </w:rPr>
              <w:t xml:space="preserve">otorgan facultades adicionales para el </w:t>
            </w:r>
            <w:r w:rsidR="006A7ADC">
              <w:rPr>
                <w:rFonts w:cs="Arial"/>
                <w:lang w:val="es-419"/>
              </w:rPr>
              <w:t>Gobierno</w:t>
            </w:r>
            <w:r w:rsidR="00340F19">
              <w:rPr>
                <w:rFonts w:cs="Arial"/>
                <w:lang w:val="es-419"/>
              </w:rPr>
              <w:t xml:space="preserve"> Nacional</w:t>
            </w:r>
            <w:r w:rsidR="006A7ADC">
              <w:rPr>
                <w:rFonts w:cs="Arial"/>
                <w:lang w:val="es-419"/>
              </w:rPr>
              <w:t xml:space="preserve"> para exigir de los proveedores de servicios digitales, tomar medidas </w:t>
            </w:r>
            <w:r w:rsidR="00AB134B">
              <w:rPr>
                <w:rFonts w:cs="Arial"/>
                <w:lang w:val="es-419"/>
              </w:rPr>
              <w:t xml:space="preserve">específicas que garanticen la seguridad </w:t>
            </w:r>
            <w:r w:rsidR="00F546F3">
              <w:rPr>
                <w:rFonts w:cs="Arial"/>
                <w:lang w:val="es-419"/>
              </w:rPr>
              <w:t>digital de NNA</w:t>
            </w:r>
            <w:r w:rsidR="000D6E5F">
              <w:rPr>
                <w:rFonts w:cs="Arial"/>
                <w:lang w:val="es-419"/>
              </w:rPr>
              <w:t>, para establecer los lineamientos y criterios mínimos de seguridad que deberán</w:t>
            </w:r>
            <w:r w:rsidR="009D49F9">
              <w:rPr>
                <w:rFonts w:cs="Arial"/>
                <w:lang w:val="es-419"/>
              </w:rPr>
              <w:t xml:space="preserve"> cumplir</w:t>
            </w:r>
            <w:r w:rsidR="00F546F3">
              <w:rPr>
                <w:rFonts w:cs="Arial"/>
                <w:lang w:val="es-419"/>
              </w:rPr>
              <w:t>.  Además, con e</w:t>
            </w:r>
            <w:r w:rsidR="00114054" w:rsidRPr="00114054">
              <w:rPr>
                <w:rFonts w:cs="Arial"/>
                <w:lang w:val="es-419"/>
              </w:rPr>
              <w:t xml:space="preserve">sta reglamentación </w:t>
            </w:r>
            <w:r w:rsidR="005271BE">
              <w:rPr>
                <w:rFonts w:cs="Arial"/>
                <w:lang w:val="es-419"/>
              </w:rPr>
              <w:t xml:space="preserve">se </w:t>
            </w:r>
            <w:r w:rsidR="00114054" w:rsidRPr="00114054">
              <w:rPr>
                <w:rFonts w:cs="Arial"/>
                <w:lang w:val="es-419"/>
              </w:rPr>
              <w:t>entra</w:t>
            </w:r>
            <w:r w:rsidR="005271BE">
              <w:rPr>
                <w:rFonts w:cs="Arial"/>
                <w:lang w:val="es-419"/>
              </w:rPr>
              <w:t>ría</w:t>
            </w:r>
            <w:r w:rsidR="00114054" w:rsidRPr="00114054">
              <w:rPr>
                <w:rFonts w:cs="Arial"/>
                <w:lang w:val="es-419"/>
              </w:rPr>
              <w:t xml:space="preserve"> a complementar y articula</w:t>
            </w:r>
            <w:r w:rsidR="005271BE">
              <w:rPr>
                <w:rFonts w:cs="Arial"/>
                <w:lang w:val="es-419"/>
              </w:rPr>
              <w:t>r</w:t>
            </w:r>
            <w:r w:rsidR="00114054" w:rsidRPr="00114054">
              <w:rPr>
                <w:rFonts w:cs="Arial"/>
                <w:lang w:val="es-419"/>
              </w:rPr>
              <w:t xml:space="preserve"> las medidas, políticas, rutas y regulaciones ya existentes para la protección de niños, niñas y adolescentes en el entorno digital.</w:t>
            </w:r>
            <w:r w:rsidR="00E25BBE">
              <w:rPr>
                <w:rFonts w:cs="Arial"/>
                <w:lang w:val="es-419"/>
              </w:rPr>
              <w:t xml:space="preserve"> Lo que se pretende, en adición al desarrollo de las competencias otorgadas, es </w:t>
            </w:r>
            <w:r w:rsidR="00AE7713">
              <w:rPr>
                <w:rFonts w:cs="Arial"/>
                <w:lang w:val="es-419"/>
              </w:rPr>
              <w:t>integrar</w:t>
            </w:r>
            <w:r w:rsidR="00A64B79">
              <w:rPr>
                <w:rFonts w:cs="Arial"/>
                <w:lang w:val="es-419"/>
              </w:rPr>
              <w:t>,</w:t>
            </w:r>
            <w:r w:rsidR="00AE7713">
              <w:rPr>
                <w:rFonts w:cs="Arial"/>
                <w:lang w:val="es-419"/>
              </w:rPr>
              <w:t xml:space="preserve"> simplificar</w:t>
            </w:r>
            <w:r w:rsidR="00A64B79">
              <w:rPr>
                <w:rFonts w:cs="Arial"/>
                <w:lang w:val="es-419"/>
              </w:rPr>
              <w:t xml:space="preserve"> y visibilizar</w:t>
            </w:r>
            <w:r w:rsidR="00AE7713">
              <w:rPr>
                <w:rFonts w:cs="Arial"/>
                <w:lang w:val="es-419"/>
              </w:rPr>
              <w:t xml:space="preserve"> todas las medidas y regulaciones existentes</w:t>
            </w:r>
            <w:r w:rsidR="00144FF8">
              <w:rPr>
                <w:rFonts w:cs="Arial"/>
                <w:lang w:val="es-419"/>
              </w:rPr>
              <w:t>.</w:t>
            </w:r>
          </w:p>
          <w:p w14:paraId="526B2DCA" w14:textId="77777777" w:rsidR="00144FF8" w:rsidRDefault="00144FF8" w:rsidP="000971EA">
            <w:pPr>
              <w:ind w:left="143"/>
              <w:jc w:val="both"/>
              <w:rPr>
                <w:rFonts w:cs="Arial"/>
                <w:lang w:val="es-419"/>
              </w:rPr>
            </w:pPr>
          </w:p>
          <w:p w14:paraId="35B6F1A5" w14:textId="77777777" w:rsidR="00FC7D27" w:rsidRDefault="00144FF8" w:rsidP="000971EA">
            <w:pPr>
              <w:ind w:left="143"/>
              <w:jc w:val="both"/>
              <w:rPr>
                <w:rFonts w:cs="Arial"/>
                <w:lang w:val="es-419"/>
              </w:rPr>
            </w:pPr>
            <w:r>
              <w:rPr>
                <w:rFonts w:cs="Arial"/>
                <w:lang w:val="es-419"/>
              </w:rPr>
              <w:t>En e</w:t>
            </w:r>
            <w:r w:rsidR="00071CC0">
              <w:rPr>
                <w:rFonts w:cs="Arial"/>
                <w:lang w:val="es-419"/>
              </w:rPr>
              <w:t xml:space="preserve">l proyecto se </w:t>
            </w:r>
            <w:r w:rsidR="006360D5">
              <w:rPr>
                <w:rFonts w:cs="Arial"/>
                <w:lang w:val="es-419"/>
              </w:rPr>
              <w:t xml:space="preserve">establecen las definiciones de los términos relevantes para su aplicación e interpretación, </w:t>
            </w:r>
            <w:r w:rsidR="00BC2C98">
              <w:rPr>
                <w:rFonts w:cs="Arial"/>
                <w:lang w:val="es-419"/>
              </w:rPr>
              <w:t>se exige a las plataformas digitales y servicios de internet dirigido a NNA</w:t>
            </w:r>
            <w:r w:rsidR="0068420F">
              <w:rPr>
                <w:rFonts w:cs="Arial"/>
                <w:lang w:val="es-419"/>
              </w:rPr>
              <w:t xml:space="preserve"> implementar el criterio de </w:t>
            </w:r>
            <w:r w:rsidR="0068420F">
              <w:rPr>
                <w:rFonts w:cs="Arial"/>
                <w:i/>
                <w:iCs/>
                <w:lang w:val="es-419"/>
              </w:rPr>
              <w:t>diseño seguro por defecto</w:t>
            </w:r>
            <w:r w:rsidR="0068420F">
              <w:rPr>
                <w:rFonts w:cs="Arial"/>
                <w:lang w:val="es-419"/>
              </w:rPr>
              <w:t xml:space="preserve">, </w:t>
            </w:r>
            <w:r w:rsidR="00FA4EC9">
              <w:rPr>
                <w:rFonts w:cs="Arial"/>
                <w:lang w:val="es-419"/>
              </w:rPr>
              <w:t>diseñar un modo de navegación denominado</w:t>
            </w:r>
            <w:r w:rsidR="00A93A83">
              <w:rPr>
                <w:rFonts w:cs="Arial"/>
                <w:lang w:val="es-419"/>
              </w:rPr>
              <w:t xml:space="preserve"> </w:t>
            </w:r>
            <w:r w:rsidR="00A93A83">
              <w:rPr>
                <w:rFonts w:cs="Arial"/>
                <w:i/>
                <w:iCs/>
                <w:lang w:val="es-419"/>
              </w:rPr>
              <w:t>diseño seguro para modo niña, niño o adolescente</w:t>
            </w:r>
            <w:r w:rsidR="00A93A83">
              <w:rPr>
                <w:rFonts w:cs="Arial"/>
                <w:lang w:val="es-419"/>
              </w:rPr>
              <w:t xml:space="preserve">, protección gradual basada </w:t>
            </w:r>
            <w:r w:rsidR="00BE7618">
              <w:rPr>
                <w:rFonts w:cs="Arial"/>
                <w:lang w:val="es-419"/>
              </w:rPr>
              <w:t xml:space="preserve">en riesgos por edad, se definen los riesgos de acuerdo con la taxonomía </w:t>
            </w:r>
            <w:r w:rsidR="005D4FE0">
              <w:rPr>
                <w:rFonts w:cs="Arial"/>
                <w:lang w:val="es-419"/>
              </w:rPr>
              <w:t xml:space="preserve">internacional </w:t>
            </w:r>
            <w:r w:rsidR="00BE7618">
              <w:rPr>
                <w:rFonts w:cs="Arial"/>
                <w:lang w:val="es-419"/>
              </w:rPr>
              <w:t>de riesgos en línea para NNA</w:t>
            </w:r>
            <w:r w:rsidR="005D4FE0">
              <w:rPr>
                <w:rFonts w:cs="Arial"/>
                <w:lang w:val="es-419"/>
              </w:rPr>
              <w:t xml:space="preserve">, </w:t>
            </w:r>
            <w:r w:rsidR="00E74EAA">
              <w:rPr>
                <w:rFonts w:cs="Arial"/>
                <w:lang w:val="es-419"/>
              </w:rPr>
              <w:t xml:space="preserve">criterios para </w:t>
            </w:r>
            <w:r w:rsidR="00080C9B">
              <w:rPr>
                <w:rFonts w:cs="Arial"/>
                <w:lang w:val="es-419"/>
              </w:rPr>
              <w:t xml:space="preserve">clasificación </w:t>
            </w:r>
            <w:r w:rsidR="002A1048">
              <w:rPr>
                <w:rFonts w:cs="Arial"/>
                <w:lang w:val="es-419"/>
              </w:rPr>
              <w:t xml:space="preserve">de contenidos por </w:t>
            </w:r>
            <w:r w:rsidR="00E74EAA">
              <w:rPr>
                <w:rFonts w:cs="Arial"/>
                <w:lang w:val="es-419"/>
              </w:rPr>
              <w:t xml:space="preserve">grupos </w:t>
            </w:r>
            <w:r w:rsidR="002A1048">
              <w:rPr>
                <w:rFonts w:cs="Arial"/>
                <w:lang w:val="es-419"/>
              </w:rPr>
              <w:t>et</w:t>
            </w:r>
            <w:r w:rsidR="00FE0B9B">
              <w:rPr>
                <w:rFonts w:cs="Arial"/>
                <w:lang w:val="es-419"/>
              </w:rPr>
              <w:t>arios</w:t>
            </w:r>
            <w:r w:rsidR="00FC7D27">
              <w:rPr>
                <w:rFonts w:cs="Arial"/>
                <w:lang w:val="es-419"/>
              </w:rPr>
              <w:t xml:space="preserve"> y etiquetado de contenido, mecanismos de verificación de cumplimiento de esas obligaciones de las plataformas y servicios digitales.</w:t>
            </w:r>
          </w:p>
          <w:p w14:paraId="16F70D0C" w14:textId="77777777" w:rsidR="00FC7D27" w:rsidRDefault="00FC7D27" w:rsidP="000971EA">
            <w:pPr>
              <w:ind w:left="143"/>
              <w:jc w:val="both"/>
              <w:rPr>
                <w:rFonts w:cs="Arial"/>
                <w:lang w:val="es-419"/>
              </w:rPr>
            </w:pPr>
          </w:p>
          <w:p w14:paraId="4900FCA8" w14:textId="45A1386A" w:rsidR="00144FF8" w:rsidRPr="0068420F" w:rsidRDefault="00FC7D27" w:rsidP="000971EA">
            <w:pPr>
              <w:ind w:left="143"/>
              <w:jc w:val="both"/>
              <w:rPr>
                <w:rFonts w:cs="Arial"/>
                <w:lang w:val="es-419"/>
              </w:rPr>
            </w:pPr>
            <w:r>
              <w:rPr>
                <w:rFonts w:cs="Arial"/>
                <w:lang w:val="es-419"/>
              </w:rPr>
              <w:t>Se reglamenta el Repositorio de buenas prácticas</w:t>
            </w:r>
            <w:r w:rsidR="005D5BCC">
              <w:rPr>
                <w:rFonts w:cs="Arial"/>
                <w:lang w:val="es-419"/>
              </w:rPr>
              <w:t xml:space="preserve"> y el Sistema Integral de Monitoreo y Evaluación para la Protección de NNA en Entornos Digitales, </w:t>
            </w:r>
            <w:r w:rsidR="00945DDF">
              <w:rPr>
                <w:rFonts w:cs="Arial"/>
                <w:lang w:val="es-419"/>
              </w:rPr>
              <w:t>señalando las entidades responsables de expedirlos, actualizarlos y promocionar su cont</w:t>
            </w:r>
            <w:r w:rsidR="00792DDB">
              <w:rPr>
                <w:rFonts w:cs="Arial"/>
                <w:lang w:val="es-419"/>
              </w:rPr>
              <w:t>enido.</w:t>
            </w:r>
            <w:r w:rsidR="00FA4EC9">
              <w:rPr>
                <w:rFonts w:cs="Arial"/>
                <w:lang w:val="es-419"/>
              </w:rPr>
              <w:t xml:space="preserve"> </w:t>
            </w:r>
          </w:p>
          <w:p w14:paraId="7490C3A6" w14:textId="77777777" w:rsidR="00114054" w:rsidRPr="009E2BBF" w:rsidRDefault="00114054" w:rsidP="00114054">
            <w:pPr>
              <w:jc w:val="both"/>
              <w:rPr>
                <w:rFonts w:cs="Arial"/>
                <w:sz w:val="22"/>
                <w:szCs w:val="22"/>
                <w:lang w:val="es-419"/>
              </w:rPr>
            </w:pPr>
          </w:p>
          <w:p w14:paraId="0694CC8F" w14:textId="72DAB444" w:rsidR="00B71978" w:rsidRPr="003B69ED" w:rsidRDefault="006C295D" w:rsidP="003B69ED">
            <w:pPr>
              <w:pStyle w:val="Listavistosa-nfasis11"/>
              <w:spacing w:line="240" w:lineRule="auto"/>
              <w:ind w:left="143"/>
              <w:jc w:val="both"/>
              <w:rPr>
                <w:rFonts w:ascii="Arial" w:hAnsi="Arial" w:cs="Arial"/>
                <w:sz w:val="20"/>
                <w:szCs w:val="20"/>
              </w:rPr>
            </w:pPr>
            <w:r>
              <w:rPr>
                <w:rFonts w:ascii="Arial" w:hAnsi="Arial" w:cs="Arial"/>
                <w:sz w:val="20"/>
                <w:szCs w:val="20"/>
              </w:rPr>
              <w:t xml:space="preserve"> </w:t>
            </w:r>
          </w:p>
          <w:p w14:paraId="517A58C5" w14:textId="77777777" w:rsidR="00AE4153" w:rsidRDefault="00AE4153" w:rsidP="00BA5416">
            <w:pPr>
              <w:pStyle w:val="Listavistosa-nfasis11"/>
              <w:spacing w:line="240" w:lineRule="auto"/>
              <w:ind w:left="494"/>
              <w:jc w:val="both"/>
              <w:rPr>
                <w:rFonts w:cs="Arial"/>
              </w:rPr>
            </w:pPr>
          </w:p>
          <w:p w14:paraId="2E403BF6" w14:textId="77777777" w:rsidR="00C81BED" w:rsidRDefault="00C81BED" w:rsidP="00BA5416">
            <w:pPr>
              <w:pStyle w:val="Listavistosa-nfasis11"/>
              <w:spacing w:line="240" w:lineRule="auto"/>
              <w:ind w:left="494"/>
              <w:jc w:val="both"/>
              <w:rPr>
                <w:rFonts w:cs="Arial"/>
              </w:rPr>
            </w:pPr>
          </w:p>
          <w:p w14:paraId="438F7414" w14:textId="77777777" w:rsidR="00BE26E5" w:rsidRDefault="00BE26E5" w:rsidP="00BA5416">
            <w:pPr>
              <w:pStyle w:val="Listavistosa-nfasis11"/>
              <w:spacing w:line="240" w:lineRule="auto"/>
              <w:ind w:left="494"/>
              <w:jc w:val="both"/>
              <w:rPr>
                <w:rFonts w:cs="Arial"/>
              </w:rPr>
            </w:pPr>
          </w:p>
          <w:p w14:paraId="69D2AD5C" w14:textId="67B06FF2" w:rsidR="00BE26E5" w:rsidRPr="00BA5416" w:rsidRDefault="00BE26E5" w:rsidP="00BA5416">
            <w:pPr>
              <w:pStyle w:val="Listavistosa-nfasis11"/>
              <w:spacing w:line="240" w:lineRule="auto"/>
              <w:ind w:left="494"/>
              <w:jc w:val="both"/>
              <w:rPr>
                <w:rFonts w:ascii="Arial" w:hAnsi="Arial" w:cs="Arial"/>
                <w:iCs/>
                <w:sz w:val="18"/>
              </w:rPr>
            </w:pPr>
          </w:p>
          <w:p w14:paraId="068E8284" w14:textId="77777777" w:rsidR="00BA5416" w:rsidRPr="00BA5416" w:rsidRDefault="00BA5416" w:rsidP="0075705D">
            <w:pPr>
              <w:pStyle w:val="Listavistosa-nfasis11"/>
              <w:spacing w:line="240" w:lineRule="auto"/>
              <w:ind w:left="494"/>
              <w:jc w:val="both"/>
              <w:rPr>
                <w:rFonts w:ascii="Arial" w:hAnsi="Arial" w:cs="Arial"/>
                <w:iCs/>
                <w:sz w:val="18"/>
                <w:lang w:val="es-ES"/>
              </w:rPr>
            </w:pPr>
          </w:p>
          <w:p w14:paraId="4CD27D53" w14:textId="77777777" w:rsidR="002E4A97" w:rsidRPr="009F7CED" w:rsidRDefault="002E4A97" w:rsidP="0075705D">
            <w:pPr>
              <w:autoSpaceDE w:val="0"/>
              <w:autoSpaceDN w:val="0"/>
              <w:adjustRightInd w:val="0"/>
              <w:jc w:val="both"/>
              <w:rPr>
                <w:rFonts w:eastAsia="Calibri" w:cs="Arial"/>
                <w:sz w:val="22"/>
                <w:szCs w:val="22"/>
                <w:lang w:val="es-CO" w:eastAsia="en-US"/>
              </w:rPr>
            </w:pPr>
          </w:p>
        </w:tc>
      </w:tr>
      <w:tr w:rsidR="00DF60FD" w:rsidRPr="009F7CED" w14:paraId="2C8A0E56" w14:textId="77777777" w:rsidTr="0075705D">
        <w:trPr>
          <w:trHeight w:val="47"/>
        </w:trPr>
        <w:tc>
          <w:tcPr>
            <w:tcW w:w="10774" w:type="dxa"/>
            <w:gridSpan w:val="3"/>
            <w:shd w:val="clear" w:color="auto" w:fill="FFFFFF"/>
            <w:vAlign w:val="center"/>
          </w:tcPr>
          <w:p w14:paraId="2EF9499E" w14:textId="77777777" w:rsidR="00251FCE" w:rsidRPr="009F7CED" w:rsidRDefault="00251FCE" w:rsidP="0075705D">
            <w:pPr>
              <w:jc w:val="both"/>
              <w:rPr>
                <w:lang w:eastAsia="es-CO"/>
              </w:rPr>
            </w:pPr>
          </w:p>
        </w:tc>
      </w:tr>
      <w:tr w:rsidR="00DF60FD" w:rsidRPr="009F7CED" w14:paraId="1D35CE88" w14:textId="77777777" w:rsidTr="0075705D">
        <w:trPr>
          <w:trHeight w:val="66"/>
        </w:trPr>
        <w:tc>
          <w:tcPr>
            <w:tcW w:w="10774" w:type="dxa"/>
            <w:gridSpan w:val="3"/>
            <w:tcBorders>
              <w:top w:val="single" w:sz="4" w:space="0" w:color="auto"/>
              <w:bottom w:val="single" w:sz="4" w:space="0" w:color="auto"/>
            </w:tcBorders>
            <w:shd w:val="clear" w:color="auto" w:fill="FFFFFF"/>
            <w:vAlign w:val="center"/>
          </w:tcPr>
          <w:p w14:paraId="4754CE36" w14:textId="77777777" w:rsidR="00DF60FD" w:rsidRDefault="00DF60FD" w:rsidP="0075705D">
            <w:pPr>
              <w:numPr>
                <w:ilvl w:val="0"/>
                <w:numId w:val="44"/>
              </w:numPr>
              <w:ind w:left="494"/>
              <w:rPr>
                <w:rFonts w:cs="Arial"/>
                <w:b/>
                <w:color w:val="000000"/>
                <w:sz w:val="22"/>
                <w:szCs w:val="22"/>
              </w:rPr>
            </w:pPr>
            <w:r w:rsidRPr="009F7CED">
              <w:rPr>
                <w:rFonts w:cs="Arial"/>
                <w:b/>
                <w:color w:val="000000"/>
                <w:sz w:val="22"/>
                <w:szCs w:val="22"/>
              </w:rPr>
              <w:t>AMBITO DE APLICACIÓN Y SUJETO</w:t>
            </w:r>
            <w:r w:rsidR="00795C6B">
              <w:rPr>
                <w:rFonts w:cs="Arial"/>
                <w:b/>
                <w:color w:val="000000"/>
                <w:sz w:val="22"/>
                <w:szCs w:val="22"/>
              </w:rPr>
              <w:t>S</w:t>
            </w:r>
            <w:r w:rsidRPr="009F7CED">
              <w:rPr>
                <w:rFonts w:cs="Arial"/>
                <w:b/>
                <w:color w:val="000000"/>
                <w:sz w:val="22"/>
                <w:szCs w:val="22"/>
              </w:rPr>
              <w:t xml:space="preserve"> A QUIEN</w:t>
            </w:r>
            <w:r w:rsidR="00795C6B">
              <w:rPr>
                <w:rFonts w:cs="Arial"/>
                <w:b/>
                <w:color w:val="000000"/>
                <w:sz w:val="22"/>
                <w:szCs w:val="22"/>
              </w:rPr>
              <w:t>ES</w:t>
            </w:r>
            <w:r w:rsidRPr="009F7CED">
              <w:rPr>
                <w:rFonts w:cs="Arial"/>
                <w:b/>
                <w:color w:val="000000"/>
                <w:sz w:val="22"/>
                <w:szCs w:val="22"/>
              </w:rPr>
              <w:t xml:space="preserve"> VA DIRIGIDO</w:t>
            </w:r>
          </w:p>
          <w:p w14:paraId="5E618B81" w14:textId="77777777" w:rsidR="00923606" w:rsidRDefault="00923606" w:rsidP="0075705D">
            <w:pPr>
              <w:pStyle w:val="Listavistosa-nfasis11"/>
              <w:spacing w:line="240" w:lineRule="auto"/>
              <w:ind w:left="494"/>
              <w:jc w:val="both"/>
              <w:rPr>
                <w:rFonts w:ascii="Arial" w:hAnsi="Arial" w:cs="Arial"/>
                <w:iCs/>
                <w:color w:val="808080"/>
                <w:sz w:val="18"/>
              </w:rPr>
            </w:pPr>
          </w:p>
          <w:p w14:paraId="1B77C6B6" w14:textId="1EF2A99C" w:rsidR="00795C6B" w:rsidRPr="007874F3" w:rsidRDefault="007874F3" w:rsidP="0075705D">
            <w:pPr>
              <w:pStyle w:val="Listavistosa-nfasis11"/>
              <w:spacing w:line="240" w:lineRule="auto"/>
              <w:ind w:left="494"/>
              <w:jc w:val="both"/>
              <w:rPr>
                <w:rFonts w:ascii="Arial" w:hAnsi="Arial" w:cs="Arial"/>
                <w:iCs/>
                <w:color w:val="808080"/>
                <w:sz w:val="18"/>
              </w:rPr>
            </w:pPr>
            <w:r>
              <w:rPr>
                <w:rFonts w:ascii="Arial" w:hAnsi="Arial" w:cs="Arial"/>
                <w:iCs/>
                <w:color w:val="808080"/>
                <w:sz w:val="18"/>
              </w:rPr>
              <w:t>El decreto aplica a las entidades del</w:t>
            </w:r>
            <w:r w:rsidR="00E1559A">
              <w:rPr>
                <w:rFonts w:ascii="Arial" w:hAnsi="Arial" w:cs="Arial"/>
                <w:iCs/>
                <w:color w:val="808080"/>
                <w:sz w:val="18"/>
              </w:rPr>
              <w:t xml:space="preserve"> Estado responsables de garantizar </w:t>
            </w:r>
            <w:r w:rsidR="007451AB">
              <w:rPr>
                <w:rFonts w:ascii="Arial" w:hAnsi="Arial" w:cs="Arial"/>
                <w:iCs/>
                <w:color w:val="808080"/>
                <w:sz w:val="18"/>
              </w:rPr>
              <w:t>entornos digitales seguros para NNA, a las plataformas digitales y proveedores de servicios de internet</w:t>
            </w:r>
            <w:r w:rsidR="00F83188">
              <w:rPr>
                <w:rFonts w:ascii="Arial" w:hAnsi="Arial" w:cs="Arial"/>
                <w:iCs/>
                <w:color w:val="808080"/>
                <w:sz w:val="18"/>
              </w:rPr>
              <w:t xml:space="preserve"> y a los padres, cuidadores, sociedad civil quienes, por ministerio de la ley, ostentan </w:t>
            </w:r>
            <w:r w:rsidR="00923606">
              <w:rPr>
                <w:rFonts w:ascii="Arial" w:hAnsi="Arial" w:cs="Arial"/>
                <w:iCs/>
                <w:color w:val="808080"/>
                <w:sz w:val="18"/>
              </w:rPr>
              <w:t xml:space="preserve">deberes de corresponsabilidad en la garantía del ejercicio de los derechos fundamentales de los NNA en entornos digitales. </w:t>
            </w:r>
          </w:p>
          <w:p w14:paraId="5D0EE678" w14:textId="77777777" w:rsidR="00795C6B" w:rsidRDefault="00795C6B" w:rsidP="0075705D">
            <w:pPr>
              <w:rPr>
                <w:rFonts w:cs="Arial"/>
                <w:b/>
                <w:color w:val="000000"/>
                <w:sz w:val="22"/>
                <w:szCs w:val="22"/>
              </w:rPr>
            </w:pPr>
          </w:p>
          <w:p w14:paraId="1FAC65D5" w14:textId="77777777" w:rsidR="00795C6B" w:rsidRDefault="00795C6B" w:rsidP="0075705D">
            <w:pPr>
              <w:rPr>
                <w:rFonts w:cs="Arial"/>
                <w:b/>
                <w:color w:val="000000"/>
                <w:sz w:val="22"/>
                <w:szCs w:val="22"/>
              </w:rPr>
            </w:pPr>
          </w:p>
          <w:p w14:paraId="33CB66DC" w14:textId="77777777" w:rsidR="00795C6B" w:rsidRPr="009F7CED" w:rsidRDefault="00795C6B" w:rsidP="0075705D">
            <w:pPr>
              <w:rPr>
                <w:rFonts w:cs="Arial"/>
                <w:iCs/>
                <w:color w:val="000000"/>
                <w:sz w:val="22"/>
                <w:szCs w:val="22"/>
              </w:rPr>
            </w:pPr>
          </w:p>
        </w:tc>
      </w:tr>
      <w:tr w:rsidR="00DF60FD" w:rsidRPr="009F7CED" w14:paraId="568C284A" w14:textId="77777777" w:rsidTr="0075705D">
        <w:trPr>
          <w:trHeight w:val="278"/>
        </w:trPr>
        <w:tc>
          <w:tcPr>
            <w:tcW w:w="10774" w:type="dxa"/>
            <w:gridSpan w:val="3"/>
            <w:tcBorders>
              <w:bottom w:val="single" w:sz="4" w:space="0" w:color="auto"/>
            </w:tcBorders>
            <w:shd w:val="clear" w:color="auto" w:fill="FFFFFF"/>
            <w:vAlign w:val="center"/>
          </w:tcPr>
          <w:p w14:paraId="3440EB42" w14:textId="77777777" w:rsidR="00DF60FD" w:rsidRDefault="00795C6B" w:rsidP="0075705D">
            <w:pPr>
              <w:ind w:left="494" w:hanging="283"/>
              <w:rPr>
                <w:rFonts w:cs="Arial"/>
                <w:b/>
                <w:color w:val="000000"/>
                <w:sz w:val="22"/>
                <w:szCs w:val="22"/>
              </w:rPr>
            </w:pPr>
            <w:r>
              <w:rPr>
                <w:rFonts w:cs="Arial"/>
                <w:b/>
                <w:color w:val="000000"/>
                <w:sz w:val="22"/>
                <w:szCs w:val="22"/>
              </w:rPr>
              <w:t xml:space="preserve">3. </w:t>
            </w:r>
            <w:r w:rsidR="00DF60FD" w:rsidRPr="009F7CED">
              <w:rPr>
                <w:rFonts w:cs="Arial"/>
                <w:b/>
                <w:color w:val="000000"/>
                <w:sz w:val="22"/>
                <w:szCs w:val="22"/>
              </w:rPr>
              <w:t>VIABILIDAD JURÍDICA</w:t>
            </w:r>
          </w:p>
          <w:p w14:paraId="1A33E3C6" w14:textId="77777777" w:rsidR="00D05B67" w:rsidRPr="00084B49" w:rsidRDefault="00D05B67" w:rsidP="0075705D">
            <w:pPr>
              <w:ind w:left="494" w:hanging="283"/>
              <w:rPr>
                <w:rFonts w:cs="Arial"/>
                <w:i/>
                <w:color w:val="808080"/>
                <w:sz w:val="22"/>
                <w:szCs w:val="22"/>
              </w:rPr>
            </w:pPr>
          </w:p>
          <w:p w14:paraId="53B5F307" w14:textId="77777777" w:rsidR="00795C6B" w:rsidRDefault="00795C6B" w:rsidP="0075705D">
            <w:pPr>
              <w:ind w:left="494" w:hanging="283"/>
              <w:jc w:val="both"/>
              <w:rPr>
                <w:rFonts w:cs="Arial"/>
                <w:sz w:val="22"/>
                <w:szCs w:val="22"/>
                <w:lang w:val="es-CO" w:eastAsia="es-CO"/>
              </w:rPr>
            </w:pPr>
            <w:r>
              <w:rPr>
                <w:rFonts w:cs="Arial"/>
                <w:sz w:val="22"/>
                <w:szCs w:val="22"/>
                <w:lang w:val="es-CO" w:eastAsia="es-CO"/>
              </w:rPr>
              <w:t>3.1 Análisis de las normas que otorgan la competencia para la expedición del proyecto normativo</w:t>
            </w:r>
          </w:p>
          <w:p w14:paraId="0639340E" w14:textId="77777777" w:rsidR="00795C6B" w:rsidRDefault="00795C6B" w:rsidP="0075705D">
            <w:pPr>
              <w:ind w:left="494" w:hanging="283"/>
              <w:jc w:val="both"/>
              <w:rPr>
                <w:rFonts w:cs="Arial"/>
                <w:sz w:val="22"/>
                <w:szCs w:val="22"/>
                <w:lang w:val="es-CO" w:eastAsia="es-CO"/>
              </w:rPr>
            </w:pPr>
          </w:p>
          <w:p w14:paraId="47A4435E" w14:textId="224243F4" w:rsidR="00112B18" w:rsidRPr="009E2BBF" w:rsidRDefault="00112B18" w:rsidP="00112B18">
            <w:pPr>
              <w:tabs>
                <w:tab w:val="center" w:pos="4561"/>
                <w:tab w:val="left" w:pos="7410"/>
              </w:tabs>
              <w:spacing w:line="276" w:lineRule="auto"/>
              <w:contextualSpacing/>
              <w:jc w:val="both"/>
              <w:rPr>
                <w:rFonts w:cs="Arial"/>
                <w:bCs/>
                <w:sz w:val="22"/>
                <w:szCs w:val="22"/>
              </w:rPr>
            </w:pPr>
            <w:r>
              <w:rPr>
                <w:rFonts w:cs="Arial"/>
                <w:bCs/>
                <w:sz w:val="22"/>
                <w:szCs w:val="22"/>
              </w:rPr>
              <w:t>E</w:t>
            </w:r>
            <w:r w:rsidRPr="009E2BBF">
              <w:rPr>
                <w:rFonts w:cs="Arial"/>
                <w:bCs/>
                <w:sz w:val="22"/>
                <w:szCs w:val="22"/>
              </w:rPr>
              <w:t xml:space="preserve">l artículo 44 de la Constitución Política establece los derechos fundamentales de los niños y determina que serán protegidos, entre otros, contra toda forma de violencia, abuso, discriminación y explotación. Según el </w:t>
            </w:r>
            <w:r w:rsidRPr="009E2BBF">
              <w:rPr>
                <w:rFonts w:cs="Arial"/>
                <w:bCs/>
                <w:sz w:val="22"/>
                <w:szCs w:val="22"/>
              </w:rPr>
              <w:lastRenderedPageBreak/>
              <w:t>mismo artículo, los niños, niñas y adolescentes</w:t>
            </w:r>
            <w:r>
              <w:rPr>
                <w:rFonts w:cs="Arial"/>
                <w:bCs/>
                <w:sz w:val="22"/>
                <w:szCs w:val="22"/>
              </w:rPr>
              <w:t>, en adelante NNA,</w:t>
            </w:r>
            <w:r w:rsidRPr="009E2BBF">
              <w:rPr>
                <w:rFonts w:cs="Arial"/>
                <w:bCs/>
                <w:sz w:val="22"/>
                <w:szCs w:val="22"/>
              </w:rPr>
              <w:t xml:space="preserve"> gozarán también de los demás derechos consagrados en la Constitución, en las leyes y en los tratados internacionales ratificados por Colombia, y se da prevalencia de sus derechos sobre los de los demás.</w:t>
            </w:r>
          </w:p>
          <w:p w14:paraId="03B9547B" w14:textId="77777777" w:rsidR="00112B18" w:rsidRDefault="00112B18" w:rsidP="00112B18">
            <w:pPr>
              <w:tabs>
                <w:tab w:val="center" w:pos="4561"/>
                <w:tab w:val="left" w:pos="7410"/>
              </w:tabs>
              <w:spacing w:line="276" w:lineRule="auto"/>
              <w:contextualSpacing/>
              <w:jc w:val="both"/>
              <w:rPr>
                <w:rFonts w:cs="Arial"/>
                <w:sz w:val="22"/>
                <w:szCs w:val="22"/>
              </w:rPr>
            </w:pPr>
          </w:p>
          <w:p w14:paraId="77EA924D" w14:textId="7EF94E79" w:rsidR="00112B18" w:rsidRPr="00880B46" w:rsidRDefault="00112B18" w:rsidP="00112B18">
            <w:pPr>
              <w:tabs>
                <w:tab w:val="center" w:pos="4561"/>
                <w:tab w:val="left" w:pos="7410"/>
              </w:tabs>
              <w:spacing w:line="276" w:lineRule="auto"/>
              <w:contextualSpacing/>
              <w:jc w:val="both"/>
              <w:rPr>
                <w:rFonts w:cs="Arial"/>
                <w:sz w:val="22"/>
                <w:szCs w:val="22"/>
              </w:rPr>
            </w:pPr>
            <w:r w:rsidRPr="00880B46">
              <w:rPr>
                <w:rFonts w:cs="Arial"/>
                <w:sz w:val="22"/>
                <w:szCs w:val="22"/>
              </w:rPr>
              <w:t xml:space="preserve">El artículo 1º de la Ley 2489 de 2025 tiene como objeto promover entornos digitales sanos y seguros para los NNA del país, a través del desarrollo de una política pública que adopte una estrategia integral que articule acciones entre entidades públicas, sector privado y sociedad civil. </w:t>
            </w:r>
          </w:p>
          <w:p w14:paraId="7CFB86D6" w14:textId="77777777" w:rsidR="00112B18" w:rsidRPr="004038AC" w:rsidRDefault="00112B18" w:rsidP="00112B18">
            <w:pPr>
              <w:tabs>
                <w:tab w:val="center" w:pos="4561"/>
                <w:tab w:val="left" w:pos="7410"/>
              </w:tabs>
              <w:spacing w:line="276" w:lineRule="auto"/>
              <w:contextualSpacing/>
              <w:jc w:val="both"/>
              <w:rPr>
                <w:rFonts w:cs="Arial"/>
                <w:color w:val="00B050"/>
                <w:sz w:val="22"/>
                <w:szCs w:val="22"/>
              </w:rPr>
            </w:pPr>
          </w:p>
          <w:p w14:paraId="5870AB1D" w14:textId="0AF97547" w:rsidR="00112B18" w:rsidRDefault="00112B18" w:rsidP="00112B18">
            <w:pPr>
              <w:tabs>
                <w:tab w:val="center" w:pos="4561"/>
                <w:tab w:val="left" w:pos="7410"/>
              </w:tabs>
              <w:spacing w:line="276" w:lineRule="auto"/>
              <w:contextualSpacing/>
              <w:jc w:val="both"/>
              <w:rPr>
                <w:rFonts w:cs="Arial"/>
                <w:sz w:val="22"/>
                <w:szCs w:val="22"/>
              </w:rPr>
            </w:pPr>
            <w:r>
              <w:rPr>
                <w:rFonts w:cs="Arial"/>
                <w:sz w:val="22"/>
                <w:szCs w:val="22"/>
              </w:rPr>
              <w:t>E</w:t>
            </w:r>
            <w:r w:rsidRPr="009E2BBF">
              <w:rPr>
                <w:rFonts w:cs="Arial"/>
                <w:sz w:val="22"/>
                <w:szCs w:val="22"/>
              </w:rPr>
              <w:t xml:space="preserve">l artículo 4º de la Ley 2489 de 2025 determina que son derechos humanos integrales de </w:t>
            </w:r>
            <w:r>
              <w:rPr>
                <w:rFonts w:cs="Arial"/>
                <w:sz w:val="22"/>
                <w:szCs w:val="22"/>
              </w:rPr>
              <w:t>NNA</w:t>
            </w:r>
            <w:r w:rsidRPr="009E2BBF">
              <w:rPr>
                <w:rFonts w:cs="Arial"/>
                <w:sz w:val="22"/>
                <w:szCs w:val="22"/>
              </w:rPr>
              <w:t xml:space="preserve"> en el entorno digital, los dispuestos en esa ley, en complemento con lo dispuesto en la Convención de los Derechos del Niño y las Observaciones Generales, numero 25, relativa a los derechos de los niños en relación con el entorno digital y la numero 16, sobre las obligaciones del Estado en relación con el impacto del sector empresarial en los derechos del niño.</w:t>
            </w:r>
          </w:p>
          <w:p w14:paraId="44060117" w14:textId="77777777" w:rsidR="00871097" w:rsidRDefault="00871097" w:rsidP="00112B18">
            <w:pPr>
              <w:tabs>
                <w:tab w:val="center" w:pos="4561"/>
                <w:tab w:val="left" w:pos="7410"/>
              </w:tabs>
              <w:spacing w:line="276" w:lineRule="auto"/>
              <w:contextualSpacing/>
              <w:jc w:val="both"/>
              <w:rPr>
                <w:rFonts w:cs="Arial"/>
                <w:sz w:val="22"/>
                <w:szCs w:val="22"/>
              </w:rPr>
            </w:pPr>
          </w:p>
          <w:p w14:paraId="1BA3E3C6" w14:textId="471E5F37" w:rsidR="00871097" w:rsidRPr="00871097" w:rsidRDefault="00871097" w:rsidP="00871097">
            <w:pPr>
              <w:jc w:val="both"/>
              <w:rPr>
                <w:rFonts w:cs="Arial"/>
                <w:sz w:val="22"/>
                <w:szCs w:val="22"/>
                <w:lang w:val="es-419"/>
              </w:rPr>
            </w:pPr>
            <w:r>
              <w:rPr>
                <w:rFonts w:cs="Arial"/>
                <w:sz w:val="22"/>
                <w:szCs w:val="22"/>
                <w:lang w:val="es-419"/>
              </w:rPr>
              <w:t>L</w:t>
            </w:r>
            <w:r w:rsidRPr="009E2BBF">
              <w:rPr>
                <w:rFonts w:cs="Arial"/>
                <w:sz w:val="22"/>
                <w:szCs w:val="22"/>
                <w:lang w:val="es-419"/>
              </w:rPr>
              <w:t>as citadas Observaciones Generales de la Convención de los Derechos del Niño, establecieron obligaciones para los Estados Parte y el sector privado, en aras de garantizar entornos seguros y respetuosos de los derechos infantiles.</w:t>
            </w:r>
            <w:r>
              <w:rPr>
                <w:rFonts w:cs="Arial"/>
                <w:sz w:val="22"/>
                <w:szCs w:val="22"/>
                <w:lang w:val="es-419"/>
              </w:rPr>
              <w:t xml:space="preserve">  E</w:t>
            </w:r>
            <w:r w:rsidRPr="009E2BBF">
              <w:rPr>
                <w:rFonts w:cs="Arial"/>
                <w:sz w:val="22"/>
                <w:szCs w:val="22"/>
                <w:lang w:val="es-419"/>
              </w:rPr>
              <w:t xml:space="preserve">specíficamente, la Convención sobre los Derechos del Niño en la Observación General número 25, en los párrafos 35 y 36 señaló: </w:t>
            </w:r>
            <w:r w:rsidRPr="009E2BBF">
              <w:rPr>
                <w:rFonts w:cs="Arial"/>
                <w:i/>
                <w:iCs/>
                <w:sz w:val="22"/>
                <w:szCs w:val="22"/>
                <w:lang w:val="es-419"/>
              </w:rPr>
              <w:t xml:space="preserve">“35. </w:t>
            </w:r>
            <w:r w:rsidRPr="009E2BBF">
              <w:rPr>
                <w:rFonts w:cs="Arial"/>
                <w:i/>
                <w:iCs/>
                <w:sz w:val="22"/>
                <w:szCs w:val="22"/>
              </w:rPr>
              <w:t xml:space="preserve">El sector empresarial, incluidas las organizaciones sin fines de lucro, incide en los derechos del niño, tanto directa como indirectamente, al prestar servicios y ofrecer productos relacionados con el entorno digital. </w:t>
            </w:r>
            <w:r w:rsidRPr="009E2BBF">
              <w:rPr>
                <w:rFonts w:cs="Arial"/>
                <w:b/>
                <w:bCs/>
                <w:i/>
                <w:iCs/>
                <w:sz w:val="22"/>
                <w:szCs w:val="22"/>
              </w:rPr>
              <w:t>Las empresas deben respetar los derechos de los niños e impedir y reparar toda vulneración de sus derechos en relación con el entorno digital</w:t>
            </w:r>
            <w:r w:rsidRPr="009E2BBF">
              <w:rPr>
                <w:rFonts w:cs="Arial"/>
                <w:i/>
                <w:iCs/>
                <w:sz w:val="22"/>
                <w:szCs w:val="22"/>
              </w:rPr>
              <w:t xml:space="preserve">. Los Estados parte tienen la obligación de garantizar que las empresas cumplen esas obligaciones. </w:t>
            </w:r>
          </w:p>
          <w:p w14:paraId="7965D341" w14:textId="77777777" w:rsidR="00871097" w:rsidRPr="009E2BBF" w:rsidRDefault="00871097" w:rsidP="00871097">
            <w:pPr>
              <w:jc w:val="both"/>
              <w:rPr>
                <w:rFonts w:cs="Arial"/>
                <w:i/>
                <w:iCs/>
                <w:sz w:val="22"/>
                <w:szCs w:val="22"/>
              </w:rPr>
            </w:pPr>
          </w:p>
          <w:p w14:paraId="4F7835F7" w14:textId="77777777" w:rsidR="008B211F" w:rsidRPr="009E2BBF" w:rsidRDefault="00871097" w:rsidP="008B211F">
            <w:pPr>
              <w:jc w:val="both"/>
              <w:rPr>
                <w:rFonts w:cs="Arial"/>
                <w:sz w:val="22"/>
                <w:szCs w:val="22"/>
                <w:lang w:val="es-419"/>
              </w:rPr>
            </w:pPr>
            <w:r w:rsidRPr="009E2BBF">
              <w:rPr>
                <w:rFonts w:cs="Arial"/>
                <w:i/>
                <w:iCs/>
                <w:sz w:val="22"/>
                <w:szCs w:val="22"/>
              </w:rPr>
              <w:t>36. Los Estados partes deben adoptar medidas mediante, entre otras cosas, la elaboración, vigilancia, aplicación y evaluación de leyes, reglamentos y políticas, para cerciorarse de que las empresas cumplan sus obligaciones consistentes en impedir que sus redes o servicios en línea se utilicen de forma que causen o propicien violaciones o vulneraciones de los derechos de los niños, incluidos sus derechos a la privacidad y a la protección, así como</w:t>
            </w:r>
            <w:r w:rsidR="008B211F">
              <w:rPr>
                <w:rFonts w:cs="Arial"/>
                <w:i/>
                <w:iCs/>
                <w:sz w:val="22"/>
                <w:szCs w:val="22"/>
              </w:rPr>
              <w:t xml:space="preserve"> </w:t>
            </w:r>
            <w:r w:rsidR="008B211F" w:rsidRPr="009E2BBF">
              <w:rPr>
                <w:rFonts w:cs="Arial"/>
                <w:i/>
                <w:iCs/>
                <w:sz w:val="22"/>
                <w:szCs w:val="22"/>
              </w:rPr>
              <w:t>en facilitar recursos rápidos y eficaces a los niños, padres y cuidadores. Deben también alentar a las empresas a proporcionar información pública y asesoramiento accesible y oportuno para apoyar la participación de los niños en actividades digitales seguras y provechosas.”</w:t>
            </w:r>
          </w:p>
          <w:p w14:paraId="51BB32F3" w14:textId="77777777" w:rsidR="008B211F" w:rsidRPr="009E2BBF" w:rsidRDefault="008B211F" w:rsidP="008B211F">
            <w:pPr>
              <w:jc w:val="both"/>
              <w:rPr>
                <w:rFonts w:cs="Arial"/>
                <w:sz w:val="22"/>
                <w:szCs w:val="22"/>
                <w:lang w:val="es-419"/>
              </w:rPr>
            </w:pPr>
          </w:p>
          <w:p w14:paraId="159E758A" w14:textId="77777777" w:rsidR="008B211F" w:rsidRPr="009E2BBF" w:rsidRDefault="008B211F" w:rsidP="008B211F">
            <w:pPr>
              <w:jc w:val="both"/>
              <w:rPr>
                <w:rFonts w:cs="Arial"/>
                <w:sz w:val="22"/>
                <w:szCs w:val="22"/>
                <w:lang w:val="es-419"/>
              </w:rPr>
            </w:pPr>
            <w:r w:rsidRPr="009E2BBF">
              <w:rPr>
                <w:rFonts w:cs="Arial"/>
                <w:sz w:val="22"/>
                <w:szCs w:val="22"/>
                <w:lang w:val="es-419"/>
              </w:rPr>
              <w:t>Por su parte, el párrafo 37 de esa Observación General 25, señala:</w:t>
            </w:r>
          </w:p>
          <w:p w14:paraId="7B0FD9C4" w14:textId="77777777" w:rsidR="008B211F" w:rsidRPr="009E2BBF" w:rsidRDefault="008B211F" w:rsidP="008B211F">
            <w:pPr>
              <w:jc w:val="both"/>
              <w:rPr>
                <w:rFonts w:cs="Arial"/>
                <w:sz w:val="22"/>
                <w:szCs w:val="22"/>
                <w:lang w:val="es-419"/>
              </w:rPr>
            </w:pPr>
          </w:p>
          <w:p w14:paraId="2A221B9B" w14:textId="77777777" w:rsidR="008B211F" w:rsidRPr="009E2BBF" w:rsidRDefault="008B211F" w:rsidP="008B211F">
            <w:pPr>
              <w:jc w:val="both"/>
              <w:rPr>
                <w:rFonts w:cs="Arial"/>
                <w:i/>
                <w:iCs/>
                <w:sz w:val="22"/>
                <w:szCs w:val="22"/>
                <w:lang w:val="es-419"/>
              </w:rPr>
            </w:pPr>
            <w:r w:rsidRPr="009E2BBF">
              <w:rPr>
                <w:rFonts w:cs="Arial"/>
                <w:i/>
                <w:iCs/>
                <w:sz w:val="22"/>
                <w:szCs w:val="22"/>
              </w:rPr>
              <w:t xml:space="preserve">“37. Los </w:t>
            </w:r>
            <w:proofErr w:type="gramStart"/>
            <w:r w:rsidRPr="009E2BBF">
              <w:rPr>
                <w:rFonts w:cs="Arial"/>
                <w:i/>
                <w:iCs/>
                <w:sz w:val="22"/>
                <w:szCs w:val="22"/>
              </w:rPr>
              <w:t>Estados partes</w:t>
            </w:r>
            <w:proofErr w:type="gramEnd"/>
            <w:r w:rsidRPr="009E2BBF">
              <w:rPr>
                <w:rFonts w:cs="Arial"/>
                <w:i/>
                <w:iCs/>
                <w:sz w:val="22"/>
                <w:szCs w:val="22"/>
              </w:rPr>
              <w:t xml:space="preserve"> tienen la obligación de proteger a los niños frente a cualquier conculcación de sus derechos por parte de empresas comerciales, lo que incluye al derecho a gozar de protección contra todas las formas de violencia en el entorno digital. Aunque las empresas no estén directamente involucradas en la comisión de actos perjudiciales, pueden causar o propiciar violaciones del derecho de los niños a vivir libres de violencia, por </w:t>
            </w:r>
            <w:proofErr w:type="gramStart"/>
            <w:r w:rsidRPr="009E2BBF">
              <w:rPr>
                <w:rFonts w:cs="Arial"/>
                <w:i/>
                <w:iCs/>
                <w:sz w:val="22"/>
                <w:szCs w:val="22"/>
              </w:rPr>
              <w:t>ejemplo</w:t>
            </w:r>
            <w:proofErr w:type="gramEnd"/>
            <w:r w:rsidRPr="009E2BBF">
              <w:rPr>
                <w:rFonts w:cs="Arial"/>
                <w:i/>
                <w:iCs/>
                <w:sz w:val="22"/>
                <w:szCs w:val="22"/>
              </w:rPr>
              <w:t xml:space="preserve"> como resultado del diseño y el funcionamiento de sus servicios digitales. Los </w:t>
            </w:r>
            <w:proofErr w:type="gramStart"/>
            <w:r w:rsidRPr="009E2BBF">
              <w:rPr>
                <w:rFonts w:cs="Arial"/>
                <w:i/>
                <w:iCs/>
                <w:sz w:val="22"/>
                <w:szCs w:val="22"/>
              </w:rPr>
              <w:t>Estados partes</w:t>
            </w:r>
            <w:proofErr w:type="gramEnd"/>
            <w:r w:rsidRPr="009E2BBF">
              <w:rPr>
                <w:rFonts w:cs="Arial"/>
                <w:i/>
                <w:iCs/>
                <w:sz w:val="22"/>
                <w:szCs w:val="22"/>
              </w:rPr>
              <w:t xml:space="preserve"> deben establecer leyes y reglamentos destinados a impedir las vulneraciones del derecho a la protección contra la violencia, así como a investigar, juzgar y reparar las vulneraciones que se produzcan en relación con el entorno digital, y deben vigilar y exigir su cumplimiento.”</w:t>
            </w:r>
          </w:p>
          <w:p w14:paraId="7989D642" w14:textId="77777777" w:rsidR="008B211F" w:rsidRPr="009E2BBF" w:rsidRDefault="008B211F" w:rsidP="008B211F">
            <w:pPr>
              <w:jc w:val="both"/>
              <w:rPr>
                <w:rFonts w:cs="Arial"/>
                <w:sz w:val="22"/>
                <w:szCs w:val="22"/>
                <w:lang w:val="es-419"/>
              </w:rPr>
            </w:pPr>
          </w:p>
          <w:p w14:paraId="37ED90B9" w14:textId="77777777" w:rsidR="008B211F" w:rsidRPr="009E2BBF" w:rsidRDefault="008B211F" w:rsidP="008B211F">
            <w:pPr>
              <w:jc w:val="both"/>
              <w:rPr>
                <w:rFonts w:cs="Arial"/>
                <w:sz w:val="22"/>
                <w:szCs w:val="22"/>
                <w:lang w:val="es-419"/>
              </w:rPr>
            </w:pPr>
            <w:r w:rsidRPr="009E2BBF">
              <w:rPr>
                <w:rFonts w:cs="Arial"/>
                <w:sz w:val="22"/>
                <w:szCs w:val="22"/>
                <w:lang w:val="es-419"/>
              </w:rPr>
              <w:t>En el párrafo 54 de la Observación General 25, se indica que:</w:t>
            </w:r>
          </w:p>
          <w:p w14:paraId="2FD5CEAB" w14:textId="77777777" w:rsidR="008B211F" w:rsidRPr="009E2BBF" w:rsidRDefault="008B211F" w:rsidP="008B211F">
            <w:pPr>
              <w:jc w:val="both"/>
              <w:rPr>
                <w:rFonts w:cs="Arial"/>
                <w:sz w:val="22"/>
                <w:szCs w:val="22"/>
                <w:lang w:val="es-419"/>
              </w:rPr>
            </w:pPr>
          </w:p>
          <w:p w14:paraId="38663835" w14:textId="77777777" w:rsidR="008B211F" w:rsidRPr="009E2BBF" w:rsidRDefault="008B211F" w:rsidP="008B211F">
            <w:pPr>
              <w:jc w:val="both"/>
              <w:rPr>
                <w:rFonts w:cs="Arial"/>
                <w:i/>
                <w:iCs/>
                <w:sz w:val="22"/>
                <w:szCs w:val="22"/>
              </w:rPr>
            </w:pPr>
            <w:r w:rsidRPr="009E2BBF">
              <w:rPr>
                <w:rFonts w:cs="Arial"/>
                <w:i/>
                <w:iCs/>
                <w:sz w:val="22"/>
                <w:szCs w:val="22"/>
              </w:rPr>
              <w:t xml:space="preserve">“Los </w:t>
            </w:r>
            <w:proofErr w:type="gramStart"/>
            <w:r w:rsidRPr="009E2BBF">
              <w:rPr>
                <w:rFonts w:cs="Arial"/>
                <w:i/>
                <w:iCs/>
                <w:sz w:val="22"/>
                <w:szCs w:val="22"/>
              </w:rPr>
              <w:t>Estados partes</w:t>
            </w:r>
            <w:proofErr w:type="gramEnd"/>
            <w:r w:rsidRPr="009E2BBF">
              <w:rPr>
                <w:rFonts w:cs="Arial"/>
                <w:i/>
                <w:iCs/>
                <w:sz w:val="22"/>
                <w:szCs w:val="22"/>
              </w:rPr>
              <w:t xml:space="preserve"> deben proteger a los niños contra los contenidos nocivos y poco fiables y garantizar que las empresas pertinentes y otros proveedores de contenidos digitales elaboren y apliquen directrices que permitan a los niños acceder de forma segura a contenidos diversos, reconociendo los derechos de los niños </w:t>
            </w:r>
            <w:r w:rsidRPr="009E2BBF">
              <w:rPr>
                <w:rFonts w:cs="Arial"/>
                <w:i/>
                <w:iCs/>
                <w:sz w:val="22"/>
                <w:szCs w:val="22"/>
              </w:rPr>
              <w:lastRenderedPageBreak/>
              <w:t>a la información y a la libertad de expresión, y protegiéndolos al mismo tiempo frente a ese material nocivo de conformidad con sus derechos y la evolución de sus facultades. Toda restricción del funcionamiento de los sistemas de difusión de información basados en Internet, electrónicos o de otra índole debe ajustarse a lo dispuesto en el artículo 13 de la Convención”.</w:t>
            </w:r>
          </w:p>
          <w:p w14:paraId="44872B09" w14:textId="77777777" w:rsidR="008B211F" w:rsidRPr="009E2BBF" w:rsidRDefault="008B211F" w:rsidP="008B211F">
            <w:pPr>
              <w:tabs>
                <w:tab w:val="center" w:pos="4561"/>
                <w:tab w:val="left" w:pos="7410"/>
              </w:tabs>
              <w:spacing w:line="276" w:lineRule="auto"/>
              <w:contextualSpacing/>
              <w:jc w:val="both"/>
              <w:rPr>
                <w:rFonts w:cs="Arial"/>
                <w:sz w:val="22"/>
                <w:szCs w:val="22"/>
              </w:rPr>
            </w:pPr>
          </w:p>
          <w:p w14:paraId="108AD3AF" w14:textId="6B277665" w:rsidR="008B211F" w:rsidRPr="009E2BBF" w:rsidRDefault="00E9482D" w:rsidP="008B211F">
            <w:pPr>
              <w:tabs>
                <w:tab w:val="center" w:pos="4561"/>
                <w:tab w:val="left" w:pos="7410"/>
              </w:tabs>
              <w:spacing w:line="276" w:lineRule="auto"/>
              <w:contextualSpacing/>
              <w:jc w:val="both"/>
              <w:rPr>
                <w:rFonts w:cs="Arial"/>
                <w:sz w:val="22"/>
                <w:szCs w:val="22"/>
              </w:rPr>
            </w:pPr>
            <w:r>
              <w:rPr>
                <w:rFonts w:cs="Arial"/>
                <w:sz w:val="22"/>
                <w:szCs w:val="22"/>
              </w:rPr>
              <w:t>E</w:t>
            </w:r>
            <w:r w:rsidR="008B211F" w:rsidRPr="009E2BBF">
              <w:rPr>
                <w:rFonts w:cs="Arial"/>
                <w:sz w:val="22"/>
                <w:szCs w:val="22"/>
              </w:rPr>
              <w:t xml:space="preserve">n ese contexto, el artículo 4 de la Ley 2489 de 2025 establece que el Gobierno Nacional, en el marco de sus competencias, debe adoptar las medidas necesarias para garantizar el respeto, la protección y el ejercicio efectivo de todos los </w:t>
            </w:r>
            <w:r w:rsidR="008B211F">
              <w:rPr>
                <w:rFonts w:cs="Arial"/>
                <w:sz w:val="22"/>
                <w:szCs w:val="22"/>
              </w:rPr>
              <w:t>NNA</w:t>
            </w:r>
            <w:r w:rsidR="008B211F" w:rsidRPr="009E2BBF">
              <w:rPr>
                <w:rFonts w:cs="Arial"/>
                <w:sz w:val="22"/>
                <w:szCs w:val="22"/>
              </w:rPr>
              <w:t xml:space="preserve"> en el entorno digital.  Entre otras, el Gobierno Nacional deberá adoptar medidas para que los niños, niñas y adolescentes no enfrenten tratos injustos, </w:t>
            </w:r>
            <w:proofErr w:type="spellStart"/>
            <w:r w:rsidR="008B211F" w:rsidRPr="009E2BBF">
              <w:rPr>
                <w:rFonts w:cs="Arial"/>
                <w:sz w:val="22"/>
                <w:szCs w:val="22"/>
              </w:rPr>
              <w:t>ciberagresión</w:t>
            </w:r>
            <w:proofErr w:type="spellEnd"/>
            <w:r w:rsidR="008B211F" w:rsidRPr="009E2BBF">
              <w:rPr>
                <w:rFonts w:cs="Arial"/>
                <w:sz w:val="22"/>
                <w:szCs w:val="22"/>
              </w:rPr>
              <w:t>, ciberacoso, explotación y abusos sexuales, comercio ilegal, violencia de todo tipo o tratos inadecuados en línea o en cualquier entorno digital.</w:t>
            </w:r>
          </w:p>
          <w:p w14:paraId="38E7AB21" w14:textId="77777777" w:rsidR="008B211F" w:rsidRDefault="008B211F" w:rsidP="008B211F">
            <w:pPr>
              <w:tabs>
                <w:tab w:val="center" w:pos="4561"/>
                <w:tab w:val="left" w:pos="7410"/>
              </w:tabs>
              <w:spacing w:line="276" w:lineRule="auto"/>
              <w:contextualSpacing/>
              <w:jc w:val="both"/>
              <w:rPr>
                <w:rFonts w:cs="Arial"/>
                <w:sz w:val="22"/>
                <w:szCs w:val="22"/>
              </w:rPr>
            </w:pPr>
          </w:p>
          <w:p w14:paraId="2A9CE090" w14:textId="3E3669B8" w:rsidR="008B211F" w:rsidRPr="00F553E4" w:rsidRDefault="00F553E4" w:rsidP="008B211F">
            <w:pPr>
              <w:tabs>
                <w:tab w:val="center" w:pos="4561"/>
                <w:tab w:val="left" w:pos="7410"/>
              </w:tabs>
              <w:spacing w:line="276" w:lineRule="auto"/>
              <w:contextualSpacing/>
              <w:jc w:val="both"/>
              <w:rPr>
                <w:rFonts w:cs="Arial"/>
                <w:sz w:val="22"/>
                <w:szCs w:val="22"/>
              </w:rPr>
            </w:pPr>
            <w:r w:rsidRPr="00F553E4">
              <w:rPr>
                <w:rFonts w:cs="Arial"/>
                <w:sz w:val="22"/>
                <w:szCs w:val="22"/>
              </w:rPr>
              <w:t>C</w:t>
            </w:r>
            <w:r w:rsidR="008B211F" w:rsidRPr="00F553E4">
              <w:rPr>
                <w:rFonts w:cs="Arial"/>
                <w:sz w:val="22"/>
                <w:szCs w:val="22"/>
              </w:rPr>
              <w:t xml:space="preserve">on el citado propósito, también es obligación del Gobierno Nacional adoptar medidas para garantizar la no discriminación de NNA en el mundo digital, es decir que puedan acceder de manera justa y beneficiosa, previniendo la discriminación y el hostigamiento a los menores por motivos como sexo, género, discapacidad, religión, origen étnico o situación socioeconómica.  Así mismo, se tomarán medidas para evitar la exclusión del uso de tecnologías digitales, evitando procesos automáticos que puedan basarse en datos sesgados que generen discriminación a los niños, niñas y adolescentes. </w:t>
            </w:r>
          </w:p>
          <w:p w14:paraId="717F578D" w14:textId="5F5FCA67" w:rsidR="00871097" w:rsidRDefault="00871097" w:rsidP="00871097">
            <w:pPr>
              <w:tabs>
                <w:tab w:val="center" w:pos="4561"/>
                <w:tab w:val="left" w:pos="7410"/>
              </w:tabs>
              <w:spacing w:line="276" w:lineRule="auto"/>
              <w:contextualSpacing/>
              <w:jc w:val="both"/>
              <w:rPr>
                <w:rFonts w:cs="Arial"/>
                <w:sz w:val="22"/>
                <w:szCs w:val="22"/>
              </w:rPr>
            </w:pPr>
          </w:p>
          <w:p w14:paraId="2D6475FB" w14:textId="1C22BE9F" w:rsidR="00D01A38" w:rsidRDefault="00D01A38" w:rsidP="00D01A38">
            <w:pPr>
              <w:tabs>
                <w:tab w:val="center" w:pos="4561"/>
                <w:tab w:val="left" w:pos="7410"/>
              </w:tabs>
              <w:spacing w:line="276" w:lineRule="auto"/>
              <w:contextualSpacing/>
              <w:jc w:val="both"/>
              <w:rPr>
                <w:rFonts w:cs="Arial"/>
                <w:sz w:val="22"/>
                <w:szCs w:val="22"/>
              </w:rPr>
            </w:pPr>
            <w:r w:rsidRPr="00D01A38">
              <w:rPr>
                <w:rFonts w:cs="Arial"/>
                <w:sz w:val="22"/>
                <w:szCs w:val="22"/>
              </w:rPr>
              <w:t>El numeral 2º del artículo 4º de la Ley 2489 de 2025 establece como deber del Gobierno Nacional cerrar la brecha digital de género y garantizar un acceso equitativo, alfabetización digital, privacidad y seguridad en línea para todos los niños. Por su parte, el numeral 4º del artículo 4º de la Ley 2489 de 2025 determina que es obligación del Gobierno Nacional informar ampliamente sobre los efectos del uso de dispositivos digitales en los niños, su impacto en el desarrollo cognitivo, emocional y social según el grupo etario.  Proporcionará orientación a padres, cuidadores y educadores sobre el uso adecuado de la tecnología digital.</w:t>
            </w:r>
          </w:p>
          <w:p w14:paraId="53C863BA" w14:textId="77777777" w:rsidR="00040A1A" w:rsidRDefault="00040A1A" w:rsidP="00D01A38">
            <w:pPr>
              <w:tabs>
                <w:tab w:val="center" w:pos="4561"/>
                <w:tab w:val="left" w:pos="7410"/>
              </w:tabs>
              <w:spacing w:line="276" w:lineRule="auto"/>
              <w:contextualSpacing/>
              <w:jc w:val="both"/>
              <w:rPr>
                <w:rFonts w:cs="Arial"/>
                <w:sz w:val="22"/>
                <w:szCs w:val="22"/>
              </w:rPr>
            </w:pPr>
          </w:p>
          <w:p w14:paraId="5FA47B7C" w14:textId="11B6F8EF" w:rsidR="00040A1A" w:rsidRPr="009E2BBF" w:rsidRDefault="00435701" w:rsidP="00040A1A">
            <w:pPr>
              <w:tabs>
                <w:tab w:val="center" w:pos="4561"/>
                <w:tab w:val="left" w:pos="7410"/>
              </w:tabs>
              <w:spacing w:line="276" w:lineRule="auto"/>
              <w:contextualSpacing/>
              <w:jc w:val="both"/>
              <w:rPr>
                <w:rFonts w:cs="Arial"/>
                <w:sz w:val="22"/>
                <w:szCs w:val="22"/>
              </w:rPr>
            </w:pPr>
            <w:r>
              <w:rPr>
                <w:rFonts w:cs="Arial"/>
                <w:sz w:val="22"/>
                <w:szCs w:val="22"/>
              </w:rPr>
              <w:t>Adicionalmente, e</w:t>
            </w:r>
            <w:r w:rsidR="00040A1A" w:rsidRPr="009E2BBF">
              <w:rPr>
                <w:rFonts w:cs="Arial"/>
                <w:sz w:val="22"/>
                <w:szCs w:val="22"/>
              </w:rPr>
              <w:t xml:space="preserve">l numeral 8 del artículo 4 de la Ley 2489 de 2025 faculta al Gobierno Nacional a exigir y vigilar que los proveedores de servicios digitales </w:t>
            </w:r>
            <w:r w:rsidR="00040A1A" w:rsidRPr="009E2BBF">
              <w:rPr>
                <w:rFonts w:cs="Arial"/>
                <w:i/>
                <w:iCs/>
                <w:sz w:val="22"/>
                <w:szCs w:val="22"/>
              </w:rPr>
              <w:t>“colaboren activamente, para implementar medi</w:t>
            </w:r>
            <w:r w:rsidR="00040A1A">
              <w:rPr>
                <w:rFonts w:cs="Arial"/>
                <w:i/>
                <w:iCs/>
                <w:sz w:val="22"/>
                <w:szCs w:val="22"/>
              </w:rPr>
              <w:t>d</w:t>
            </w:r>
            <w:r w:rsidR="00040A1A" w:rsidRPr="009E2BBF">
              <w:rPr>
                <w:rFonts w:cs="Arial"/>
                <w:i/>
                <w:iCs/>
                <w:sz w:val="22"/>
                <w:szCs w:val="22"/>
              </w:rPr>
              <w:t>as de protección adecuadas de niñas niños y adolescentes en los entornos digitales, en el desarrollo de sus productos (…)”</w:t>
            </w:r>
            <w:r w:rsidR="00040A1A" w:rsidRPr="009E2BBF">
              <w:rPr>
                <w:rFonts w:cs="Arial"/>
                <w:sz w:val="22"/>
                <w:szCs w:val="22"/>
              </w:rPr>
              <w:t>.</w:t>
            </w:r>
            <w:r>
              <w:rPr>
                <w:rFonts w:cs="Arial"/>
                <w:sz w:val="22"/>
                <w:szCs w:val="22"/>
              </w:rPr>
              <w:t xml:space="preserve"> E</w:t>
            </w:r>
            <w:r w:rsidR="00040A1A" w:rsidRPr="009E2BBF">
              <w:rPr>
                <w:rFonts w:cs="Arial"/>
                <w:sz w:val="22"/>
                <w:szCs w:val="22"/>
              </w:rPr>
              <w:t xml:space="preserve">n el mismo sentido, el numeral 10 del artículo 4 de la Ley 2489 de 2025 exige al Gobierno promover el buen uso de las nuevas tecnologías en favor de los </w:t>
            </w:r>
            <w:r w:rsidR="00040A1A">
              <w:rPr>
                <w:rFonts w:cs="Arial"/>
                <w:sz w:val="22"/>
                <w:szCs w:val="22"/>
              </w:rPr>
              <w:t>NNA,</w:t>
            </w:r>
            <w:r w:rsidR="00040A1A" w:rsidRPr="009E2BBF">
              <w:rPr>
                <w:rFonts w:cs="Arial"/>
                <w:sz w:val="22"/>
                <w:szCs w:val="22"/>
              </w:rPr>
              <w:t xml:space="preserve"> para </w:t>
            </w:r>
            <w:r w:rsidR="00040A1A" w:rsidRPr="009E2BBF">
              <w:rPr>
                <w:rFonts w:cs="Arial"/>
                <w:i/>
                <w:iCs/>
                <w:sz w:val="22"/>
                <w:szCs w:val="22"/>
              </w:rPr>
              <w:t>“avanzar hacia un mundo más saludable, pacífico, solidario, justo y respetuoso del medioambiente, en el que se respeten los derechos de todos los niños, niñas y adolescentes.”</w:t>
            </w:r>
          </w:p>
          <w:p w14:paraId="44223903" w14:textId="77777777" w:rsidR="00040A1A" w:rsidRDefault="00040A1A" w:rsidP="00040A1A">
            <w:pPr>
              <w:jc w:val="both"/>
              <w:rPr>
                <w:rFonts w:cs="Arial"/>
                <w:sz w:val="22"/>
                <w:szCs w:val="22"/>
                <w:lang w:val="es-419"/>
              </w:rPr>
            </w:pPr>
          </w:p>
          <w:p w14:paraId="6FF1F051" w14:textId="5EAF4AC6" w:rsidR="00040A1A" w:rsidRPr="00435701" w:rsidRDefault="00435701" w:rsidP="00040A1A">
            <w:pPr>
              <w:jc w:val="both"/>
              <w:rPr>
                <w:rFonts w:cs="Arial"/>
                <w:sz w:val="22"/>
                <w:szCs w:val="22"/>
                <w:lang w:val="es-419"/>
              </w:rPr>
            </w:pPr>
            <w:r w:rsidRPr="00435701">
              <w:rPr>
                <w:rFonts w:cs="Arial"/>
                <w:sz w:val="22"/>
                <w:szCs w:val="22"/>
                <w:lang w:val="es-419"/>
              </w:rPr>
              <w:t>E</w:t>
            </w:r>
            <w:r w:rsidR="00040A1A" w:rsidRPr="00435701">
              <w:rPr>
                <w:rFonts w:cs="Arial"/>
                <w:sz w:val="22"/>
                <w:szCs w:val="22"/>
                <w:lang w:val="es-419"/>
              </w:rPr>
              <w:t>l artículo 9 de la Ley 2489 de 2025 establece la responsabilidad de la industria del software para promover entornos digitales sanos y seguros, por lo que ordena al Gobierno Nacional articular las acciones para que esa industria contribuya a promover entornos digitales seguros a través de: (i) proporcionar a NNA acceso seguro y asequible a recursos en línea de alta calidad; (</w:t>
            </w:r>
            <w:proofErr w:type="spellStart"/>
            <w:r w:rsidR="00040A1A" w:rsidRPr="00435701">
              <w:rPr>
                <w:rFonts w:cs="Arial"/>
                <w:sz w:val="22"/>
                <w:szCs w:val="22"/>
                <w:lang w:val="es-419"/>
              </w:rPr>
              <w:t>ii</w:t>
            </w:r>
            <w:proofErr w:type="spellEnd"/>
            <w:r w:rsidR="00040A1A" w:rsidRPr="00435701">
              <w:rPr>
                <w:rFonts w:cs="Arial"/>
                <w:sz w:val="22"/>
                <w:szCs w:val="22"/>
                <w:lang w:val="es-419"/>
              </w:rPr>
              <w:t>) Proteger a los NNA de los daños en línea, incluido el abuso, la explotación, la trata, el acoso cibernético y la exposición a materiales inadecuados; (</w:t>
            </w:r>
            <w:proofErr w:type="spellStart"/>
            <w:r w:rsidR="00040A1A" w:rsidRPr="00435701">
              <w:rPr>
                <w:rFonts w:cs="Arial"/>
                <w:sz w:val="22"/>
                <w:szCs w:val="22"/>
                <w:lang w:val="es-419"/>
              </w:rPr>
              <w:t>iii</w:t>
            </w:r>
            <w:proofErr w:type="spellEnd"/>
            <w:r w:rsidR="00040A1A" w:rsidRPr="00435701">
              <w:rPr>
                <w:rFonts w:cs="Arial"/>
                <w:sz w:val="22"/>
                <w:szCs w:val="22"/>
                <w:lang w:val="es-419"/>
              </w:rPr>
              <w:t>) promover la privacidad y la identidad de los NNA en entornos digitales; y, (</w:t>
            </w:r>
            <w:proofErr w:type="spellStart"/>
            <w:r w:rsidR="00040A1A" w:rsidRPr="00435701">
              <w:rPr>
                <w:rFonts w:cs="Arial"/>
                <w:sz w:val="22"/>
                <w:szCs w:val="22"/>
                <w:lang w:val="es-419"/>
              </w:rPr>
              <w:t>iv</w:t>
            </w:r>
            <w:proofErr w:type="spellEnd"/>
            <w:r w:rsidR="00040A1A" w:rsidRPr="00435701">
              <w:rPr>
                <w:rFonts w:cs="Arial"/>
                <w:sz w:val="22"/>
                <w:szCs w:val="22"/>
                <w:lang w:val="es-419"/>
              </w:rPr>
              <w:t>) promover prácticas éticas a través del diseño del software que protejan y beneficien a los NNA en entornos digitales.</w:t>
            </w:r>
          </w:p>
          <w:p w14:paraId="2F9D5787" w14:textId="77777777" w:rsidR="00040A1A" w:rsidRPr="00820756" w:rsidRDefault="00040A1A" w:rsidP="00040A1A">
            <w:pPr>
              <w:jc w:val="both"/>
              <w:rPr>
                <w:rFonts w:cs="Arial"/>
                <w:color w:val="00B050"/>
                <w:sz w:val="22"/>
                <w:szCs w:val="22"/>
                <w:lang w:val="es-419"/>
              </w:rPr>
            </w:pPr>
          </w:p>
          <w:p w14:paraId="42339283" w14:textId="46C255DF" w:rsidR="00040A1A" w:rsidRPr="00435701" w:rsidRDefault="00435701" w:rsidP="00040A1A">
            <w:pPr>
              <w:jc w:val="both"/>
              <w:rPr>
                <w:rFonts w:cs="Arial"/>
                <w:sz w:val="22"/>
                <w:szCs w:val="22"/>
                <w:lang w:val="es-419"/>
              </w:rPr>
            </w:pPr>
            <w:r w:rsidRPr="00435701">
              <w:rPr>
                <w:rFonts w:cs="Arial"/>
                <w:sz w:val="22"/>
                <w:szCs w:val="22"/>
                <w:lang w:val="es-419"/>
              </w:rPr>
              <w:t>E</w:t>
            </w:r>
            <w:r w:rsidR="00040A1A" w:rsidRPr="00435701">
              <w:rPr>
                <w:rFonts w:cs="Arial"/>
                <w:sz w:val="22"/>
                <w:szCs w:val="22"/>
                <w:lang w:val="es-419"/>
              </w:rPr>
              <w:t xml:space="preserve">l artículo 12 de la Ley 2489 de 2025 señala la obligación para el Ministerio de Educación Nacional, con el acompañamiento técnico del Ministerio de Tecnologías de la Información y las Comunicaciones, en </w:t>
            </w:r>
            <w:r w:rsidR="00040A1A" w:rsidRPr="00435701">
              <w:rPr>
                <w:rFonts w:cs="Arial"/>
                <w:sz w:val="22"/>
                <w:szCs w:val="22"/>
                <w:lang w:val="es-419"/>
              </w:rPr>
              <w:lastRenderedPageBreak/>
              <w:t>coordinación con la Comisión de Regulación de Comunicaciones, de consolidar un repositorio de recursos abiertos disponible para estudiantes, profesores y padres de familia con recomendaciones para el aprendizaje y enseñanza en el uso seguro de tecnología, prevención de riesgos en línea y desarrollo de hábitos saludables en línea para NNA.</w:t>
            </w:r>
          </w:p>
          <w:p w14:paraId="4F887578" w14:textId="77777777" w:rsidR="00040A1A" w:rsidRPr="00435701" w:rsidRDefault="00040A1A" w:rsidP="00040A1A">
            <w:pPr>
              <w:jc w:val="both"/>
              <w:rPr>
                <w:rFonts w:cs="Arial"/>
                <w:sz w:val="22"/>
                <w:szCs w:val="22"/>
                <w:lang w:val="es-419"/>
              </w:rPr>
            </w:pPr>
          </w:p>
          <w:p w14:paraId="1C122F13" w14:textId="5724019B" w:rsidR="00040A1A" w:rsidRPr="00435701" w:rsidRDefault="00435701" w:rsidP="00040A1A">
            <w:pPr>
              <w:tabs>
                <w:tab w:val="center" w:pos="4561"/>
                <w:tab w:val="left" w:pos="7410"/>
              </w:tabs>
              <w:spacing w:line="276" w:lineRule="auto"/>
              <w:contextualSpacing/>
              <w:jc w:val="both"/>
              <w:rPr>
                <w:rFonts w:cs="Arial"/>
                <w:sz w:val="22"/>
                <w:szCs w:val="22"/>
              </w:rPr>
            </w:pPr>
            <w:r w:rsidRPr="00435701">
              <w:rPr>
                <w:rFonts w:cs="Arial"/>
                <w:sz w:val="22"/>
                <w:szCs w:val="22"/>
                <w:lang w:val="es-419"/>
              </w:rPr>
              <w:t>E</w:t>
            </w:r>
            <w:r w:rsidR="00040A1A" w:rsidRPr="00435701">
              <w:rPr>
                <w:rFonts w:cs="Arial"/>
                <w:sz w:val="22"/>
                <w:szCs w:val="22"/>
                <w:lang w:val="es-419"/>
              </w:rPr>
              <w:t>l artículo 13 de la citada Ley 2489 determina que el Ministerio de Educación Nacional, en coordinación con el Instituto Colombiano de Bienestar Familiar, el Ministerio de Defensa, el Ministerio de Justicia, la Fiscalía General de la Nación, con el acompañamiento técnico del Ministerio de Tecnologías de la Información y las Comunicaciones, establecerá un Sistema Integrado de Monitoreo, Evaluación y Desarrollo Tecnológico dedicado a la protección de NNA en entornos digitales.</w:t>
            </w:r>
          </w:p>
          <w:p w14:paraId="79F6433A" w14:textId="77777777" w:rsidR="00D01A38" w:rsidRPr="009E2BBF" w:rsidRDefault="00D01A38" w:rsidP="00871097">
            <w:pPr>
              <w:tabs>
                <w:tab w:val="center" w:pos="4561"/>
                <w:tab w:val="left" w:pos="7410"/>
              </w:tabs>
              <w:spacing w:line="276" w:lineRule="auto"/>
              <w:contextualSpacing/>
              <w:jc w:val="both"/>
              <w:rPr>
                <w:rFonts w:cs="Arial"/>
                <w:sz w:val="22"/>
                <w:szCs w:val="22"/>
              </w:rPr>
            </w:pPr>
          </w:p>
          <w:p w14:paraId="72C69738" w14:textId="77777777" w:rsidR="00112B18" w:rsidRPr="00112B18" w:rsidRDefault="00112B18" w:rsidP="0075705D">
            <w:pPr>
              <w:ind w:left="494" w:hanging="283"/>
              <w:jc w:val="both"/>
              <w:rPr>
                <w:rFonts w:cs="Arial"/>
                <w:sz w:val="22"/>
                <w:szCs w:val="22"/>
                <w:lang w:eastAsia="es-CO"/>
              </w:rPr>
            </w:pPr>
          </w:p>
          <w:p w14:paraId="5B8EAEC3" w14:textId="77777777" w:rsidR="00795C6B" w:rsidRDefault="00795C6B" w:rsidP="0075705D">
            <w:pPr>
              <w:ind w:left="494" w:hanging="283"/>
              <w:jc w:val="both"/>
              <w:rPr>
                <w:rFonts w:cs="Arial"/>
                <w:sz w:val="22"/>
                <w:szCs w:val="22"/>
                <w:lang w:val="es-CO" w:eastAsia="es-CO"/>
              </w:rPr>
            </w:pPr>
            <w:r>
              <w:rPr>
                <w:rFonts w:cs="Arial"/>
                <w:sz w:val="22"/>
                <w:szCs w:val="22"/>
                <w:lang w:val="es-CO" w:eastAsia="es-CO"/>
              </w:rPr>
              <w:t>3.2 Vigencia de la ley o norma reglamentada o desarrollada</w:t>
            </w:r>
          </w:p>
          <w:p w14:paraId="0BD35917" w14:textId="77777777" w:rsidR="00795C6B" w:rsidRDefault="00795C6B" w:rsidP="0075705D">
            <w:pPr>
              <w:ind w:left="494" w:hanging="283"/>
              <w:jc w:val="both"/>
              <w:rPr>
                <w:rFonts w:cs="Arial"/>
                <w:sz w:val="22"/>
                <w:szCs w:val="22"/>
                <w:lang w:val="es-CO" w:eastAsia="es-CO"/>
              </w:rPr>
            </w:pPr>
          </w:p>
          <w:p w14:paraId="54F17519" w14:textId="24E7FF67" w:rsidR="00C3205D" w:rsidRDefault="00C3205D" w:rsidP="0075705D">
            <w:pPr>
              <w:ind w:left="494" w:hanging="283"/>
              <w:jc w:val="both"/>
              <w:rPr>
                <w:rFonts w:cs="Arial"/>
                <w:sz w:val="22"/>
                <w:szCs w:val="22"/>
                <w:lang w:val="es-CO" w:eastAsia="es-CO"/>
              </w:rPr>
            </w:pPr>
            <w:r>
              <w:rPr>
                <w:rFonts w:cs="Arial"/>
                <w:sz w:val="22"/>
                <w:szCs w:val="22"/>
                <w:lang w:val="es-CO" w:eastAsia="es-CO"/>
              </w:rPr>
              <w:t xml:space="preserve">La Ley 2489 de 2025 entró en vigor el 17 de julio de 2025 y, en su artículo 14 establece la obligación del Gobierno Nacional de expedir su reglamentación en un término de 6 meses contados desde su expedición. </w:t>
            </w:r>
          </w:p>
          <w:p w14:paraId="3AD15412" w14:textId="77777777" w:rsidR="00C3205D" w:rsidRDefault="00C3205D" w:rsidP="0075705D">
            <w:pPr>
              <w:ind w:left="494" w:hanging="283"/>
              <w:jc w:val="both"/>
              <w:rPr>
                <w:rFonts w:cs="Arial"/>
                <w:sz w:val="22"/>
                <w:szCs w:val="22"/>
                <w:lang w:val="es-CO" w:eastAsia="es-CO"/>
              </w:rPr>
            </w:pPr>
          </w:p>
          <w:p w14:paraId="460D908F" w14:textId="77777777" w:rsidR="00795C6B" w:rsidRDefault="00795C6B" w:rsidP="0075705D">
            <w:pPr>
              <w:ind w:left="494" w:hanging="283"/>
              <w:jc w:val="both"/>
              <w:rPr>
                <w:rFonts w:cs="Arial"/>
                <w:sz w:val="22"/>
                <w:szCs w:val="22"/>
                <w:lang w:val="es-CO" w:eastAsia="es-CO"/>
              </w:rPr>
            </w:pPr>
            <w:r>
              <w:rPr>
                <w:rFonts w:cs="Arial"/>
                <w:sz w:val="22"/>
                <w:szCs w:val="22"/>
                <w:lang w:val="es-CO" w:eastAsia="es-CO"/>
              </w:rPr>
              <w:t>3.3. Disposiciones derogas, subrogadas, modificadas, adicionadas</w:t>
            </w:r>
            <w:r w:rsidR="00D05B67">
              <w:rPr>
                <w:rFonts w:cs="Arial"/>
                <w:sz w:val="22"/>
                <w:szCs w:val="22"/>
                <w:lang w:val="es-CO" w:eastAsia="es-CO"/>
              </w:rPr>
              <w:t xml:space="preserve"> o sustituidas </w:t>
            </w:r>
          </w:p>
          <w:p w14:paraId="116FA98D" w14:textId="77777777" w:rsidR="00D05B67" w:rsidRDefault="00D05B67" w:rsidP="0075705D">
            <w:pPr>
              <w:ind w:left="494" w:hanging="283"/>
              <w:jc w:val="both"/>
              <w:rPr>
                <w:rFonts w:cs="Arial"/>
                <w:sz w:val="22"/>
                <w:szCs w:val="22"/>
                <w:lang w:val="es-CO" w:eastAsia="es-CO"/>
              </w:rPr>
            </w:pPr>
          </w:p>
          <w:p w14:paraId="292F467C" w14:textId="149DBACA" w:rsidR="00E07AD4" w:rsidRDefault="00E07AD4" w:rsidP="0075705D">
            <w:pPr>
              <w:ind w:left="494" w:hanging="283"/>
              <w:jc w:val="both"/>
              <w:rPr>
                <w:rFonts w:cs="Arial"/>
                <w:sz w:val="22"/>
                <w:szCs w:val="22"/>
                <w:lang w:val="es-CO" w:eastAsia="es-CO"/>
              </w:rPr>
            </w:pPr>
            <w:r>
              <w:rPr>
                <w:rFonts w:cs="Arial"/>
                <w:sz w:val="22"/>
                <w:szCs w:val="22"/>
                <w:lang w:val="es-CO" w:eastAsia="es-CO"/>
              </w:rPr>
              <w:t>Se adiciona el Decreto 1078 de 2015, Decreto Único Reglamentario del Sector de Tecnologías de la Información y las Comunicaciones.</w:t>
            </w:r>
          </w:p>
          <w:p w14:paraId="5E554D25" w14:textId="77777777" w:rsidR="00E07AD4" w:rsidRDefault="00E07AD4" w:rsidP="0075705D">
            <w:pPr>
              <w:ind w:left="494" w:hanging="283"/>
              <w:jc w:val="both"/>
              <w:rPr>
                <w:rFonts w:cs="Arial"/>
                <w:sz w:val="22"/>
                <w:szCs w:val="22"/>
                <w:lang w:val="es-CO" w:eastAsia="es-CO"/>
              </w:rPr>
            </w:pPr>
          </w:p>
          <w:p w14:paraId="03C83369" w14:textId="77777777" w:rsidR="00D05B67" w:rsidRDefault="00D05B67" w:rsidP="0075705D">
            <w:pPr>
              <w:ind w:left="494" w:hanging="283"/>
              <w:jc w:val="both"/>
              <w:rPr>
                <w:rFonts w:cs="Arial"/>
                <w:sz w:val="22"/>
                <w:szCs w:val="22"/>
                <w:lang w:val="es-CO" w:eastAsia="es-CO"/>
              </w:rPr>
            </w:pPr>
            <w:r>
              <w:rPr>
                <w:rFonts w:cs="Arial"/>
                <w:sz w:val="22"/>
                <w:szCs w:val="22"/>
                <w:lang w:val="es-CO" w:eastAsia="es-CO"/>
              </w:rPr>
              <w:t>3.4 Revisión y análisis de la jurisprudencia que tenga impacto o sea relevante para la expedición del proyecto normativo (órganos de cierre de cada jurisdicción)</w:t>
            </w:r>
          </w:p>
          <w:p w14:paraId="3268E490" w14:textId="620507B2" w:rsidR="00D05B67" w:rsidRDefault="00E07AD4" w:rsidP="0075705D">
            <w:pPr>
              <w:ind w:left="494" w:hanging="283"/>
              <w:jc w:val="both"/>
              <w:rPr>
                <w:rFonts w:cs="Arial"/>
                <w:sz w:val="22"/>
                <w:szCs w:val="22"/>
                <w:lang w:val="es-CO" w:eastAsia="es-CO"/>
              </w:rPr>
            </w:pPr>
            <w:r>
              <w:rPr>
                <w:rFonts w:cs="Arial"/>
                <w:sz w:val="22"/>
                <w:szCs w:val="22"/>
                <w:lang w:val="es-CO" w:eastAsia="es-CO"/>
              </w:rPr>
              <w:t>N/A</w:t>
            </w:r>
          </w:p>
          <w:p w14:paraId="3F010B0E" w14:textId="77777777" w:rsidR="00E07AD4" w:rsidRDefault="00E07AD4" w:rsidP="0075705D">
            <w:pPr>
              <w:ind w:left="494" w:hanging="283"/>
              <w:jc w:val="both"/>
              <w:rPr>
                <w:rFonts w:cs="Arial"/>
                <w:sz w:val="22"/>
                <w:szCs w:val="22"/>
                <w:lang w:val="es-CO" w:eastAsia="es-CO"/>
              </w:rPr>
            </w:pPr>
          </w:p>
          <w:p w14:paraId="7D154299" w14:textId="77777777" w:rsidR="00D05B67" w:rsidRDefault="00D05B67" w:rsidP="0075705D">
            <w:pPr>
              <w:ind w:left="494" w:hanging="283"/>
              <w:jc w:val="both"/>
              <w:rPr>
                <w:rFonts w:cs="Arial"/>
                <w:sz w:val="22"/>
                <w:szCs w:val="22"/>
                <w:lang w:val="es-CO" w:eastAsia="es-CO"/>
              </w:rPr>
            </w:pPr>
            <w:r>
              <w:rPr>
                <w:rFonts w:cs="Arial"/>
                <w:sz w:val="22"/>
                <w:szCs w:val="22"/>
                <w:lang w:val="es-CO" w:eastAsia="es-CO"/>
              </w:rPr>
              <w:t xml:space="preserve">3.5 Circunstancias jurídicas adicionales </w:t>
            </w:r>
          </w:p>
          <w:p w14:paraId="1B974A75" w14:textId="77777777" w:rsidR="00E07AD4" w:rsidRDefault="00E07AD4" w:rsidP="0075705D">
            <w:pPr>
              <w:ind w:left="494" w:hanging="283"/>
              <w:jc w:val="both"/>
              <w:rPr>
                <w:rFonts w:cs="Arial"/>
                <w:sz w:val="22"/>
                <w:szCs w:val="22"/>
                <w:lang w:val="es-CO" w:eastAsia="es-CO"/>
              </w:rPr>
            </w:pPr>
          </w:p>
          <w:p w14:paraId="07EA035A" w14:textId="6279B3CF" w:rsidR="00E07AD4" w:rsidRDefault="00E07AD4" w:rsidP="0075705D">
            <w:pPr>
              <w:ind w:left="494" w:hanging="283"/>
              <w:jc w:val="both"/>
              <w:rPr>
                <w:rFonts w:cs="Arial"/>
                <w:sz w:val="22"/>
                <w:szCs w:val="22"/>
                <w:lang w:val="es-CO" w:eastAsia="es-CO"/>
              </w:rPr>
            </w:pPr>
            <w:r>
              <w:rPr>
                <w:rFonts w:cs="Arial"/>
                <w:sz w:val="22"/>
                <w:szCs w:val="22"/>
                <w:lang w:val="es-CO" w:eastAsia="es-CO"/>
              </w:rPr>
              <w:t xml:space="preserve">Término para </w:t>
            </w:r>
            <w:r w:rsidR="0018200A">
              <w:rPr>
                <w:rFonts w:cs="Arial"/>
                <w:sz w:val="22"/>
                <w:szCs w:val="22"/>
                <w:lang w:val="es-CO" w:eastAsia="es-CO"/>
              </w:rPr>
              <w:t>reglamentación de la Ley.</w:t>
            </w:r>
          </w:p>
          <w:p w14:paraId="33A8E311" w14:textId="77777777" w:rsidR="00D05B67" w:rsidRDefault="00D05B67" w:rsidP="00795C6B">
            <w:pPr>
              <w:pBdr>
                <w:top w:val="single" w:sz="4" w:space="1" w:color="auto"/>
                <w:left w:val="single" w:sz="4" w:space="4" w:color="auto"/>
                <w:bottom w:val="single" w:sz="4" w:space="1" w:color="auto"/>
                <w:right w:val="single" w:sz="4" w:space="4" w:color="auto"/>
              </w:pBdr>
              <w:jc w:val="both"/>
              <w:rPr>
                <w:rFonts w:cs="Arial"/>
                <w:sz w:val="22"/>
                <w:szCs w:val="22"/>
                <w:lang w:val="es-CO" w:eastAsia="es-CO"/>
              </w:rPr>
            </w:pPr>
          </w:p>
          <w:p w14:paraId="711BC3D6" w14:textId="77777777" w:rsidR="00795C6B" w:rsidRDefault="00795C6B" w:rsidP="00795C6B">
            <w:pPr>
              <w:pBdr>
                <w:top w:val="single" w:sz="4" w:space="1" w:color="auto"/>
                <w:left w:val="single" w:sz="4" w:space="4" w:color="auto"/>
                <w:bottom w:val="single" w:sz="4" w:space="1" w:color="auto"/>
                <w:right w:val="single" w:sz="4" w:space="4" w:color="auto"/>
              </w:pBdr>
              <w:jc w:val="both"/>
              <w:rPr>
                <w:rFonts w:cs="Arial"/>
                <w:sz w:val="22"/>
                <w:szCs w:val="22"/>
                <w:lang w:val="es-CO" w:eastAsia="es-CO"/>
              </w:rPr>
            </w:pPr>
          </w:p>
          <w:p w14:paraId="5134DF94" w14:textId="77777777" w:rsidR="00795C6B" w:rsidRDefault="00795C6B" w:rsidP="00795C6B">
            <w:pPr>
              <w:pBdr>
                <w:top w:val="single" w:sz="4" w:space="1" w:color="auto"/>
                <w:left w:val="single" w:sz="4" w:space="4" w:color="auto"/>
                <w:bottom w:val="single" w:sz="4" w:space="1" w:color="auto"/>
                <w:right w:val="single" w:sz="4" w:space="4" w:color="auto"/>
              </w:pBdr>
              <w:jc w:val="both"/>
              <w:rPr>
                <w:rFonts w:cs="Arial"/>
                <w:sz w:val="22"/>
                <w:szCs w:val="22"/>
                <w:lang w:val="es-CO" w:eastAsia="es-CO"/>
              </w:rPr>
            </w:pPr>
          </w:p>
          <w:p w14:paraId="74720DE6" w14:textId="77777777" w:rsidR="00795C6B" w:rsidRPr="009F7CED" w:rsidRDefault="00795C6B" w:rsidP="00795C6B">
            <w:pPr>
              <w:pBdr>
                <w:top w:val="single" w:sz="4" w:space="1" w:color="auto"/>
                <w:left w:val="single" w:sz="4" w:space="4" w:color="auto"/>
                <w:bottom w:val="single" w:sz="4" w:space="1" w:color="auto"/>
                <w:right w:val="single" w:sz="4" w:space="4" w:color="auto"/>
              </w:pBdr>
              <w:jc w:val="both"/>
              <w:rPr>
                <w:rFonts w:cs="Arial"/>
                <w:sz w:val="22"/>
                <w:szCs w:val="22"/>
                <w:lang w:val="es-CO" w:eastAsia="es-CO"/>
              </w:rPr>
            </w:pPr>
          </w:p>
        </w:tc>
      </w:tr>
      <w:tr w:rsidR="00DF60FD" w:rsidRPr="009F7CED" w14:paraId="6EEDB6EA" w14:textId="77777777" w:rsidTr="0075705D">
        <w:trPr>
          <w:trHeight w:val="925"/>
        </w:trPr>
        <w:tc>
          <w:tcPr>
            <w:tcW w:w="1077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9F282E9" w14:textId="77777777" w:rsidR="00843EFF" w:rsidRPr="009F7CED" w:rsidRDefault="00843EFF" w:rsidP="00A161B9">
            <w:pPr>
              <w:rPr>
                <w:rFonts w:cs="Arial"/>
                <w:b/>
                <w:color w:val="000000"/>
                <w:sz w:val="22"/>
                <w:szCs w:val="22"/>
              </w:rPr>
            </w:pPr>
          </w:p>
          <w:p w14:paraId="4795114A" w14:textId="77777777" w:rsidR="00DF60FD" w:rsidRPr="009F7CED" w:rsidRDefault="00DF60FD" w:rsidP="00D05B67">
            <w:pPr>
              <w:numPr>
                <w:ilvl w:val="0"/>
                <w:numId w:val="45"/>
              </w:numPr>
              <w:rPr>
                <w:rFonts w:cs="Arial"/>
                <w:b/>
                <w:color w:val="000000"/>
                <w:sz w:val="22"/>
                <w:szCs w:val="22"/>
              </w:rPr>
            </w:pPr>
            <w:r w:rsidRPr="009F7CED">
              <w:rPr>
                <w:rFonts w:cs="Arial"/>
                <w:b/>
                <w:color w:val="000000"/>
                <w:sz w:val="22"/>
                <w:szCs w:val="22"/>
              </w:rPr>
              <w:t xml:space="preserve">IMPACTO ECONÓMICO </w:t>
            </w:r>
            <w:r w:rsidR="00D05B67" w:rsidRPr="00D05B67">
              <w:rPr>
                <w:rFonts w:cs="Arial"/>
                <w:color w:val="000000"/>
                <w:sz w:val="22"/>
                <w:szCs w:val="22"/>
              </w:rPr>
              <w:t>(Si se requiere)</w:t>
            </w:r>
          </w:p>
          <w:p w14:paraId="3CC52C42" w14:textId="77777777" w:rsidR="00795C6B" w:rsidRPr="00795C6B" w:rsidRDefault="00795C6B" w:rsidP="00795C6B">
            <w:pPr>
              <w:pStyle w:val="Listavistosa-nfasis11"/>
              <w:jc w:val="both"/>
              <w:rPr>
                <w:rFonts w:ascii="Arial" w:hAnsi="Arial" w:cs="Arial"/>
                <w:i/>
                <w:color w:val="808080"/>
                <w:sz w:val="18"/>
              </w:rPr>
            </w:pPr>
            <w:r w:rsidRPr="00795C6B">
              <w:rPr>
                <w:rFonts w:ascii="Arial" w:hAnsi="Arial" w:cs="Arial"/>
                <w:i/>
                <w:color w:val="808080"/>
                <w:sz w:val="18"/>
              </w:rPr>
              <w:t>(Por favor señale el costo o ahorro de la implementación del acto administrativo</w:t>
            </w:r>
            <w:r>
              <w:rPr>
                <w:rFonts w:ascii="Arial" w:hAnsi="Arial" w:cs="Arial"/>
                <w:i/>
                <w:color w:val="808080"/>
                <w:sz w:val="18"/>
              </w:rPr>
              <w:t>)</w:t>
            </w:r>
          </w:p>
          <w:p w14:paraId="733FBAC9" w14:textId="77777777" w:rsidR="00843EFF" w:rsidRPr="00795C6B" w:rsidRDefault="00843EFF" w:rsidP="00795C6B">
            <w:pPr>
              <w:jc w:val="both"/>
              <w:rPr>
                <w:rFonts w:cs="Arial"/>
                <w:sz w:val="22"/>
                <w:szCs w:val="22"/>
                <w:lang w:val="es-CO"/>
              </w:rPr>
            </w:pPr>
          </w:p>
        </w:tc>
      </w:tr>
      <w:tr w:rsidR="00DF60FD" w:rsidRPr="009F7CED" w14:paraId="5561A09B" w14:textId="77777777" w:rsidTr="0075705D">
        <w:trPr>
          <w:trHeight w:val="66"/>
        </w:trPr>
        <w:tc>
          <w:tcPr>
            <w:tcW w:w="1077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08F1FA0" w14:textId="77777777" w:rsidR="00843EFF" w:rsidRPr="009F7CED" w:rsidRDefault="00843EFF" w:rsidP="00A161B9">
            <w:pPr>
              <w:rPr>
                <w:rFonts w:cs="Arial"/>
                <w:b/>
                <w:color w:val="000000"/>
                <w:sz w:val="22"/>
                <w:szCs w:val="22"/>
              </w:rPr>
            </w:pPr>
          </w:p>
          <w:p w14:paraId="7DBD1743" w14:textId="77777777" w:rsidR="00DF60FD" w:rsidRPr="009F7CED" w:rsidRDefault="00795C6B" w:rsidP="00D05B67">
            <w:pPr>
              <w:numPr>
                <w:ilvl w:val="0"/>
                <w:numId w:val="45"/>
              </w:numPr>
              <w:rPr>
                <w:rFonts w:cs="Arial"/>
                <w:b/>
                <w:color w:val="000000"/>
                <w:sz w:val="22"/>
                <w:szCs w:val="22"/>
              </w:rPr>
            </w:pPr>
            <w:r>
              <w:rPr>
                <w:rFonts w:cs="Arial"/>
                <w:b/>
                <w:color w:val="000000"/>
                <w:sz w:val="22"/>
                <w:szCs w:val="22"/>
              </w:rPr>
              <w:t xml:space="preserve">VIABILIDAD O </w:t>
            </w:r>
            <w:r w:rsidR="00DF60FD" w:rsidRPr="009F7CED">
              <w:rPr>
                <w:rFonts w:cs="Arial"/>
                <w:b/>
                <w:color w:val="000000"/>
                <w:sz w:val="22"/>
                <w:szCs w:val="22"/>
              </w:rPr>
              <w:t xml:space="preserve">DISPONIBILIDAD PRESUPUESTAL </w:t>
            </w:r>
            <w:r w:rsidR="00D05B67" w:rsidRPr="00D05B67">
              <w:rPr>
                <w:rFonts w:cs="Arial"/>
                <w:color w:val="000000"/>
                <w:sz w:val="22"/>
                <w:szCs w:val="22"/>
              </w:rPr>
              <w:t>(Si se requiere)</w:t>
            </w:r>
          </w:p>
          <w:p w14:paraId="5A3252E2" w14:textId="77777777" w:rsidR="00D05B67" w:rsidRPr="00795C6B" w:rsidRDefault="00D05B67" w:rsidP="00D05B67">
            <w:pPr>
              <w:pStyle w:val="Listavistosa-nfasis11"/>
              <w:jc w:val="both"/>
              <w:rPr>
                <w:rFonts w:ascii="Arial" w:hAnsi="Arial" w:cs="Arial"/>
                <w:i/>
                <w:color w:val="808080"/>
                <w:sz w:val="18"/>
              </w:rPr>
            </w:pPr>
            <w:r w:rsidRPr="00795C6B">
              <w:rPr>
                <w:rFonts w:ascii="Arial" w:hAnsi="Arial" w:cs="Arial"/>
                <w:i/>
                <w:color w:val="808080"/>
                <w:sz w:val="18"/>
              </w:rPr>
              <w:t xml:space="preserve">(Por favor </w:t>
            </w:r>
            <w:r>
              <w:rPr>
                <w:rFonts w:ascii="Arial" w:hAnsi="Arial" w:cs="Arial"/>
                <w:i/>
                <w:color w:val="808080"/>
                <w:sz w:val="18"/>
              </w:rPr>
              <w:t xml:space="preserve">indique si cuenta con los recursos presupuestales disponibles para la implementación del proyecto normativo) </w:t>
            </w:r>
          </w:p>
          <w:p w14:paraId="57A29785" w14:textId="77777777" w:rsidR="00F44A2E" w:rsidRDefault="00F44A2E" w:rsidP="00F44A2E">
            <w:pPr>
              <w:jc w:val="both"/>
              <w:rPr>
                <w:sz w:val="22"/>
                <w:szCs w:val="22"/>
                <w:lang w:eastAsia="es-CO"/>
              </w:rPr>
            </w:pPr>
          </w:p>
          <w:p w14:paraId="4AAA52F6" w14:textId="77777777" w:rsidR="00696582" w:rsidRDefault="00696582" w:rsidP="00F44A2E">
            <w:pPr>
              <w:jc w:val="both"/>
              <w:rPr>
                <w:sz w:val="22"/>
                <w:szCs w:val="22"/>
                <w:lang w:eastAsia="es-CO"/>
              </w:rPr>
            </w:pPr>
          </w:p>
          <w:p w14:paraId="67DDB395" w14:textId="77777777" w:rsidR="00F77DB8" w:rsidRPr="00F77DB8" w:rsidRDefault="00F77DB8" w:rsidP="00F77DB8">
            <w:pPr>
              <w:rPr>
                <w:sz w:val="22"/>
                <w:szCs w:val="22"/>
                <w:lang w:eastAsia="es-CO"/>
              </w:rPr>
            </w:pPr>
          </w:p>
          <w:p w14:paraId="139BA6FB" w14:textId="033D75D2" w:rsidR="00F77DB8" w:rsidRPr="00F77DB8" w:rsidRDefault="00F77DB8" w:rsidP="00F77DB8">
            <w:pPr>
              <w:rPr>
                <w:sz w:val="22"/>
                <w:szCs w:val="22"/>
                <w:lang w:eastAsia="es-CO"/>
              </w:rPr>
            </w:pPr>
          </w:p>
        </w:tc>
      </w:tr>
      <w:tr w:rsidR="00DF60FD" w:rsidRPr="009F7CED" w14:paraId="3380BF08" w14:textId="77777777" w:rsidTr="00696582">
        <w:trPr>
          <w:trHeight w:val="1295"/>
        </w:trPr>
        <w:tc>
          <w:tcPr>
            <w:tcW w:w="10774" w:type="dxa"/>
            <w:gridSpan w:val="3"/>
            <w:tcBorders>
              <w:top w:val="single" w:sz="4" w:space="0" w:color="auto"/>
              <w:bottom w:val="single" w:sz="4" w:space="0" w:color="auto"/>
            </w:tcBorders>
            <w:shd w:val="clear" w:color="auto" w:fill="FFFFFF"/>
            <w:vAlign w:val="center"/>
          </w:tcPr>
          <w:p w14:paraId="1D5B47B5" w14:textId="77777777" w:rsidR="00DF60FD" w:rsidRPr="009F7CED" w:rsidRDefault="00DF60FD" w:rsidP="00D05B67">
            <w:pPr>
              <w:numPr>
                <w:ilvl w:val="0"/>
                <w:numId w:val="45"/>
              </w:numPr>
              <w:jc w:val="both"/>
              <w:rPr>
                <w:rFonts w:cs="Arial"/>
                <w:b/>
                <w:color w:val="000000"/>
                <w:sz w:val="22"/>
                <w:szCs w:val="22"/>
              </w:rPr>
            </w:pPr>
            <w:r w:rsidRPr="009F7CED">
              <w:rPr>
                <w:rFonts w:cs="Arial"/>
                <w:b/>
                <w:color w:val="000000"/>
                <w:sz w:val="22"/>
                <w:szCs w:val="22"/>
              </w:rPr>
              <w:lastRenderedPageBreak/>
              <w:t xml:space="preserve"> IMPACTO MEDIOAMBIENTAL O SOBRE EL PATRIMONIO CULTURAL DE LA NACIÓN </w:t>
            </w:r>
            <w:r w:rsidR="00D05B67" w:rsidRPr="00D05B67">
              <w:rPr>
                <w:rFonts w:cs="Arial"/>
                <w:color w:val="000000"/>
                <w:sz w:val="22"/>
                <w:szCs w:val="22"/>
              </w:rPr>
              <w:t>(Si se requiere)</w:t>
            </w:r>
          </w:p>
          <w:p w14:paraId="51DAA5B9" w14:textId="77777777" w:rsidR="00D05B67" w:rsidRDefault="00D05B67" w:rsidP="00696582">
            <w:pPr>
              <w:ind w:left="778"/>
              <w:jc w:val="both"/>
              <w:rPr>
                <w:rFonts w:cs="Arial"/>
                <w:b/>
                <w:color w:val="000000"/>
                <w:sz w:val="22"/>
                <w:szCs w:val="22"/>
              </w:rPr>
            </w:pPr>
            <w:r>
              <w:rPr>
                <w:rFonts w:cs="Arial"/>
                <w:i/>
                <w:color w:val="808080"/>
                <w:sz w:val="18"/>
                <w:szCs w:val="22"/>
              </w:rPr>
              <w:t>(</w:t>
            </w:r>
            <w:r w:rsidRPr="00795C6B">
              <w:rPr>
                <w:rFonts w:cs="Arial"/>
                <w:i/>
                <w:color w:val="808080"/>
                <w:sz w:val="18"/>
                <w:szCs w:val="22"/>
              </w:rPr>
              <w:t xml:space="preserve">Por favor </w:t>
            </w:r>
            <w:r>
              <w:rPr>
                <w:rFonts w:cs="Arial"/>
                <w:i/>
                <w:color w:val="808080"/>
                <w:sz w:val="18"/>
              </w:rPr>
              <w:t xml:space="preserve">indique el proyecto normativo tiene impacto sobre el medio ambiente o el Patrimonio cultural de la Nación) </w:t>
            </w:r>
          </w:p>
          <w:p w14:paraId="4C14822C" w14:textId="77777777" w:rsidR="00D05B67" w:rsidRDefault="00D05B67" w:rsidP="00FA4A9E">
            <w:pPr>
              <w:jc w:val="both"/>
              <w:rPr>
                <w:rFonts w:cs="Arial"/>
                <w:b/>
                <w:color w:val="000000"/>
                <w:sz w:val="22"/>
                <w:szCs w:val="22"/>
              </w:rPr>
            </w:pPr>
          </w:p>
          <w:p w14:paraId="49D2B544" w14:textId="77777777" w:rsidR="00696582" w:rsidRPr="009F7CED" w:rsidRDefault="00696582" w:rsidP="00FA4A9E">
            <w:pPr>
              <w:jc w:val="both"/>
              <w:rPr>
                <w:rFonts w:cs="Arial"/>
                <w:b/>
                <w:color w:val="000000"/>
                <w:sz w:val="22"/>
                <w:szCs w:val="22"/>
              </w:rPr>
            </w:pPr>
          </w:p>
        </w:tc>
      </w:tr>
      <w:tr w:rsidR="00DF60FD" w:rsidRPr="009F7CED" w14:paraId="7FFFE844" w14:textId="77777777" w:rsidTr="00696582">
        <w:trPr>
          <w:trHeight w:val="317"/>
        </w:trPr>
        <w:tc>
          <w:tcPr>
            <w:tcW w:w="10774" w:type="dxa"/>
            <w:gridSpan w:val="3"/>
            <w:tcBorders>
              <w:top w:val="single" w:sz="4" w:space="0" w:color="auto"/>
              <w:bottom w:val="single" w:sz="4" w:space="0" w:color="auto"/>
            </w:tcBorders>
            <w:shd w:val="clear" w:color="auto" w:fill="FFFFFF"/>
            <w:vAlign w:val="center"/>
          </w:tcPr>
          <w:p w14:paraId="6D2D5AC3" w14:textId="77777777" w:rsidR="00D05B67" w:rsidRPr="009F7CED" w:rsidRDefault="00D05B67" w:rsidP="00696582">
            <w:pPr>
              <w:numPr>
                <w:ilvl w:val="0"/>
                <w:numId w:val="45"/>
              </w:numPr>
              <w:jc w:val="both"/>
              <w:rPr>
                <w:rFonts w:cs="Arial"/>
                <w:sz w:val="22"/>
                <w:szCs w:val="22"/>
              </w:rPr>
            </w:pPr>
            <w:r w:rsidRPr="00D05B67">
              <w:rPr>
                <w:rFonts w:cs="Arial"/>
                <w:b/>
                <w:sz w:val="22"/>
                <w:szCs w:val="22"/>
              </w:rPr>
              <w:t>ESTUDIOS TÉCNICOS QUE SUSTENTEN EL PROYECTO NORMATIVO</w:t>
            </w:r>
            <w:r>
              <w:rPr>
                <w:rFonts w:cs="Arial"/>
                <w:sz w:val="22"/>
                <w:szCs w:val="22"/>
              </w:rPr>
              <w:t xml:space="preserve"> (Si cuenta con ellos)</w:t>
            </w:r>
            <w:r w:rsidR="00696582" w:rsidRPr="009F7CED">
              <w:rPr>
                <w:rFonts w:cs="Arial"/>
                <w:sz w:val="22"/>
                <w:szCs w:val="22"/>
              </w:rPr>
              <w:t xml:space="preserve"> </w:t>
            </w:r>
          </w:p>
        </w:tc>
      </w:tr>
      <w:tr w:rsidR="00DF60FD" w:rsidRPr="009F7CED" w14:paraId="6A58A95F" w14:textId="77777777" w:rsidTr="0075705D">
        <w:trPr>
          <w:trHeight w:val="66"/>
        </w:trPr>
        <w:tc>
          <w:tcPr>
            <w:tcW w:w="10774" w:type="dxa"/>
            <w:gridSpan w:val="3"/>
            <w:tcBorders>
              <w:top w:val="single" w:sz="4" w:space="0" w:color="auto"/>
              <w:bottom w:val="single" w:sz="4" w:space="0" w:color="auto"/>
            </w:tcBorders>
            <w:shd w:val="clear" w:color="auto" w:fill="FFFFFF"/>
            <w:vAlign w:val="center"/>
          </w:tcPr>
          <w:p w14:paraId="177E7B9B" w14:textId="35927B7D" w:rsidR="00843EFF" w:rsidRPr="009F7CED" w:rsidRDefault="0018200A" w:rsidP="00A161B9">
            <w:pPr>
              <w:rPr>
                <w:rFonts w:cs="Arial"/>
                <w:b/>
                <w:color w:val="000000"/>
                <w:sz w:val="22"/>
                <w:szCs w:val="22"/>
              </w:rPr>
            </w:pPr>
            <w:r>
              <w:rPr>
                <w:rFonts w:cs="Arial"/>
                <w:b/>
                <w:color w:val="000000"/>
                <w:sz w:val="22"/>
                <w:szCs w:val="22"/>
              </w:rPr>
              <w:t>Estudio de derecho comparado realizado por la CRC</w:t>
            </w:r>
          </w:p>
        </w:tc>
      </w:tr>
      <w:tr w:rsidR="00DF60FD" w:rsidRPr="009F7CED" w14:paraId="06548953" w14:textId="77777777" w:rsidTr="0075705D">
        <w:trPr>
          <w:trHeight w:val="66"/>
        </w:trPr>
        <w:tc>
          <w:tcPr>
            <w:tcW w:w="10774" w:type="dxa"/>
            <w:gridSpan w:val="3"/>
            <w:tcBorders>
              <w:top w:val="single" w:sz="4" w:space="0" w:color="auto"/>
              <w:bottom w:val="single" w:sz="4" w:space="0" w:color="auto"/>
            </w:tcBorders>
            <w:shd w:val="clear" w:color="auto" w:fill="FFFFFF"/>
            <w:vAlign w:val="center"/>
          </w:tcPr>
          <w:p w14:paraId="666686F6" w14:textId="77777777" w:rsidR="00DF60FD" w:rsidRPr="009F7CED" w:rsidRDefault="00DF60FD" w:rsidP="00F55DC4">
            <w:pPr>
              <w:jc w:val="both"/>
              <w:rPr>
                <w:rFonts w:cs="Arial"/>
                <w:sz w:val="22"/>
                <w:szCs w:val="22"/>
              </w:rPr>
            </w:pPr>
          </w:p>
        </w:tc>
      </w:tr>
      <w:tr w:rsidR="00DF60FD" w:rsidRPr="009F7CED" w14:paraId="48EE83C9" w14:textId="77777777" w:rsidTr="0075705D">
        <w:trPr>
          <w:trHeight w:val="66"/>
        </w:trPr>
        <w:tc>
          <w:tcPr>
            <w:tcW w:w="10774" w:type="dxa"/>
            <w:gridSpan w:val="3"/>
            <w:tcBorders>
              <w:top w:val="single" w:sz="4" w:space="0" w:color="auto"/>
              <w:bottom w:val="single" w:sz="4" w:space="0" w:color="auto"/>
            </w:tcBorders>
            <w:shd w:val="clear" w:color="auto" w:fill="FFFFFF"/>
            <w:vAlign w:val="center"/>
          </w:tcPr>
          <w:p w14:paraId="7424F596" w14:textId="77777777" w:rsidR="00DF60FD" w:rsidRPr="009F7CED" w:rsidRDefault="00DF60FD" w:rsidP="00A161B9">
            <w:pPr>
              <w:rPr>
                <w:rFonts w:cs="Arial"/>
                <w:color w:val="996633"/>
                <w:sz w:val="22"/>
                <w:szCs w:val="22"/>
              </w:rPr>
            </w:pPr>
          </w:p>
        </w:tc>
      </w:tr>
      <w:tr w:rsidR="00DF60FD" w:rsidRPr="009F7CED" w14:paraId="73EBA1B1" w14:textId="77777777" w:rsidTr="0075705D">
        <w:trPr>
          <w:trHeight w:val="66"/>
        </w:trPr>
        <w:tc>
          <w:tcPr>
            <w:tcW w:w="10774" w:type="dxa"/>
            <w:gridSpan w:val="3"/>
            <w:tcBorders>
              <w:top w:val="single" w:sz="4" w:space="0" w:color="auto"/>
              <w:bottom w:val="single" w:sz="4" w:space="0" w:color="auto"/>
            </w:tcBorders>
            <w:shd w:val="clear" w:color="auto" w:fill="FFFFFF"/>
            <w:vAlign w:val="center"/>
          </w:tcPr>
          <w:p w14:paraId="01429F73" w14:textId="77777777" w:rsidR="00DF60FD" w:rsidRPr="009F7CED" w:rsidRDefault="00DF60FD" w:rsidP="00F55DC4">
            <w:pPr>
              <w:jc w:val="both"/>
              <w:rPr>
                <w:rFonts w:cs="Arial"/>
                <w:sz w:val="22"/>
                <w:szCs w:val="22"/>
              </w:rPr>
            </w:pPr>
          </w:p>
        </w:tc>
      </w:tr>
      <w:tr w:rsidR="00DF60FD" w:rsidRPr="009F7CED" w14:paraId="6D3320AF" w14:textId="77777777" w:rsidTr="0075705D">
        <w:trPr>
          <w:trHeight w:val="66"/>
        </w:trPr>
        <w:tc>
          <w:tcPr>
            <w:tcW w:w="10774" w:type="dxa"/>
            <w:gridSpan w:val="3"/>
            <w:tcBorders>
              <w:top w:val="single" w:sz="4" w:space="0" w:color="auto"/>
              <w:bottom w:val="single" w:sz="4" w:space="0" w:color="auto"/>
            </w:tcBorders>
            <w:shd w:val="clear" w:color="auto" w:fill="FFFFFF"/>
            <w:vAlign w:val="center"/>
          </w:tcPr>
          <w:p w14:paraId="31A6F5DE" w14:textId="77777777" w:rsidR="00DF60FD" w:rsidRPr="009F7CED" w:rsidRDefault="00DF60FD" w:rsidP="00C7294E">
            <w:pPr>
              <w:jc w:val="center"/>
              <w:rPr>
                <w:rFonts w:cs="Arial"/>
                <w:sz w:val="22"/>
                <w:szCs w:val="22"/>
              </w:rPr>
            </w:pPr>
          </w:p>
        </w:tc>
      </w:tr>
      <w:tr w:rsidR="00DF60FD" w:rsidRPr="009F7CED" w14:paraId="24E12D6C" w14:textId="77777777" w:rsidTr="0075705D">
        <w:trPr>
          <w:trHeight w:val="66"/>
        </w:trPr>
        <w:tc>
          <w:tcPr>
            <w:tcW w:w="10774" w:type="dxa"/>
            <w:gridSpan w:val="3"/>
            <w:tcBorders>
              <w:top w:val="single" w:sz="4" w:space="0" w:color="auto"/>
              <w:bottom w:val="single" w:sz="4" w:space="0" w:color="auto"/>
            </w:tcBorders>
            <w:shd w:val="clear" w:color="auto" w:fill="FFFFFF"/>
            <w:vAlign w:val="center"/>
          </w:tcPr>
          <w:p w14:paraId="5D79CE03" w14:textId="77777777" w:rsidR="00DF60FD" w:rsidRPr="009F7CED" w:rsidRDefault="00DF60FD" w:rsidP="00843EFF">
            <w:pPr>
              <w:jc w:val="center"/>
              <w:rPr>
                <w:rFonts w:cs="Arial"/>
                <w:sz w:val="22"/>
                <w:szCs w:val="22"/>
                <w:u w:val="single"/>
              </w:rPr>
            </w:pPr>
          </w:p>
        </w:tc>
      </w:tr>
      <w:tr w:rsidR="00DF60FD" w:rsidRPr="00D965B1" w14:paraId="05769870" w14:textId="77777777" w:rsidTr="00112EF1">
        <w:trPr>
          <w:trHeight w:val="416"/>
        </w:trPr>
        <w:tc>
          <w:tcPr>
            <w:tcW w:w="10774" w:type="dxa"/>
            <w:gridSpan w:val="3"/>
            <w:tcBorders>
              <w:top w:val="single" w:sz="4" w:space="0" w:color="auto"/>
              <w:bottom w:val="single" w:sz="4" w:space="0" w:color="auto"/>
            </w:tcBorders>
            <w:shd w:val="clear" w:color="auto" w:fill="D9D9D9"/>
            <w:vAlign w:val="center"/>
          </w:tcPr>
          <w:p w14:paraId="6D984406" w14:textId="77777777" w:rsidR="00F55DC4" w:rsidRPr="00AF569A" w:rsidRDefault="00DF60FD" w:rsidP="00696582">
            <w:pPr>
              <w:jc w:val="center"/>
              <w:rPr>
                <w:rFonts w:cs="Arial"/>
                <w:sz w:val="22"/>
                <w:szCs w:val="22"/>
              </w:rPr>
            </w:pPr>
            <w:r w:rsidRPr="00AF569A">
              <w:rPr>
                <w:rFonts w:cs="Arial"/>
                <w:b/>
                <w:sz w:val="22"/>
                <w:szCs w:val="22"/>
              </w:rPr>
              <w:t>ANEXOS</w:t>
            </w:r>
            <w:r w:rsidR="00D05B67" w:rsidRPr="00AF569A">
              <w:rPr>
                <w:rFonts w:cs="Arial"/>
                <w:b/>
                <w:sz w:val="22"/>
                <w:szCs w:val="22"/>
              </w:rPr>
              <w:t>:</w:t>
            </w:r>
            <w:r w:rsidR="00696582" w:rsidRPr="00AF569A">
              <w:rPr>
                <w:rFonts w:cs="Arial"/>
                <w:sz w:val="22"/>
                <w:szCs w:val="22"/>
              </w:rPr>
              <w:t xml:space="preserve"> </w:t>
            </w:r>
          </w:p>
        </w:tc>
      </w:tr>
      <w:tr w:rsidR="00D05B67" w:rsidRPr="009F7CED" w14:paraId="527C3750" w14:textId="77777777" w:rsidTr="0075705D">
        <w:trPr>
          <w:trHeight w:val="66"/>
        </w:trPr>
        <w:tc>
          <w:tcPr>
            <w:tcW w:w="7655" w:type="dxa"/>
            <w:gridSpan w:val="2"/>
            <w:tcBorders>
              <w:top w:val="single" w:sz="4" w:space="0" w:color="auto"/>
              <w:bottom w:val="single" w:sz="4" w:space="0" w:color="auto"/>
              <w:right w:val="single" w:sz="4" w:space="0" w:color="auto"/>
            </w:tcBorders>
            <w:shd w:val="clear" w:color="auto" w:fill="FFFFFF"/>
            <w:vAlign w:val="center"/>
          </w:tcPr>
          <w:p w14:paraId="31C2B6B6" w14:textId="77777777" w:rsidR="00D05B67" w:rsidRDefault="00D05B67" w:rsidP="00D05B67">
            <w:pPr>
              <w:jc w:val="both"/>
              <w:rPr>
                <w:rFonts w:cs="Arial"/>
                <w:sz w:val="22"/>
                <w:szCs w:val="22"/>
              </w:rPr>
            </w:pPr>
            <w:r>
              <w:rPr>
                <w:rFonts w:cs="Arial"/>
                <w:sz w:val="22"/>
                <w:szCs w:val="22"/>
              </w:rPr>
              <w:t xml:space="preserve">Certificación de cumplimiento de requisitos de consulta, publicidad y de incorporación en la agenda regulatoria </w:t>
            </w:r>
          </w:p>
          <w:p w14:paraId="15E83C89" w14:textId="77777777" w:rsidR="00D05B67" w:rsidRPr="00084B49" w:rsidRDefault="00D05B67" w:rsidP="00D05B67">
            <w:pPr>
              <w:jc w:val="both"/>
              <w:rPr>
                <w:rFonts w:cs="Arial"/>
                <w:i/>
                <w:color w:val="808080"/>
                <w:sz w:val="22"/>
                <w:szCs w:val="22"/>
              </w:rPr>
            </w:pPr>
            <w:r w:rsidRPr="00084B49">
              <w:rPr>
                <w:rFonts w:cs="Arial"/>
                <w:i/>
                <w:color w:val="808080"/>
                <w:szCs w:val="22"/>
              </w:rPr>
              <w:t>(Firmada por el servidor público competente –entidad originadora)</w:t>
            </w:r>
          </w:p>
        </w:tc>
        <w:tc>
          <w:tcPr>
            <w:tcW w:w="3119" w:type="dxa"/>
            <w:tcBorders>
              <w:top w:val="single" w:sz="4" w:space="0" w:color="auto"/>
              <w:left w:val="single" w:sz="4" w:space="0" w:color="auto"/>
              <w:bottom w:val="single" w:sz="4" w:space="0" w:color="auto"/>
            </w:tcBorders>
            <w:shd w:val="clear" w:color="auto" w:fill="FFFFFF"/>
            <w:vAlign w:val="center"/>
          </w:tcPr>
          <w:p w14:paraId="09671423" w14:textId="77777777" w:rsidR="00D05B67" w:rsidRPr="00084B49" w:rsidRDefault="00D05B67" w:rsidP="00D05B67">
            <w:pPr>
              <w:jc w:val="both"/>
              <w:rPr>
                <w:rFonts w:cs="Arial"/>
                <w:i/>
                <w:color w:val="808080"/>
                <w:sz w:val="22"/>
                <w:szCs w:val="22"/>
              </w:rPr>
            </w:pPr>
            <w:r w:rsidRPr="00084B49">
              <w:rPr>
                <w:rFonts w:cs="Arial"/>
                <w:i/>
                <w:color w:val="808080"/>
                <w:sz w:val="22"/>
                <w:szCs w:val="22"/>
              </w:rPr>
              <w:t>(Marque con una x)</w:t>
            </w:r>
          </w:p>
        </w:tc>
      </w:tr>
      <w:tr w:rsidR="00D05B67" w:rsidRPr="009F7CED" w14:paraId="4B96F93D" w14:textId="77777777" w:rsidTr="0075705D">
        <w:trPr>
          <w:trHeight w:val="66"/>
        </w:trPr>
        <w:tc>
          <w:tcPr>
            <w:tcW w:w="7655" w:type="dxa"/>
            <w:gridSpan w:val="2"/>
            <w:tcBorders>
              <w:top w:val="single" w:sz="4" w:space="0" w:color="auto"/>
              <w:bottom w:val="single" w:sz="4" w:space="0" w:color="auto"/>
              <w:right w:val="single" w:sz="4" w:space="0" w:color="auto"/>
            </w:tcBorders>
            <w:shd w:val="clear" w:color="auto" w:fill="FFFFFF"/>
            <w:vAlign w:val="center"/>
          </w:tcPr>
          <w:p w14:paraId="0262E589" w14:textId="77777777" w:rsidR="00D05B67" w:rsidRDefault="00D05B67" w:rsidP="00D05B67">
            <w:pPr>
              <w:jc w:val="both"/>
              <w:rPr>
                <w:rFonts w:cs="Arial"/>
                <w:sz w:val="22"/>
                <w:szCs w:val="22"/>
              </w:rPr>
            </w:pPr>
            <w:r>
              <w:rPr>
                <w:rFonts w:cs="Arial"/>
                <w:sz w:val="22"/>
                <w:szCs w:val="22"/>
              </w:rPr>
              <w:t>Concepto</w:t>
            </w:r>
            <w:r w:rsidR="005F30C3">
              <w:rPr>
                <w:rFonts w:cs="Arial"/>
                <w:sz w:val="22"/>
                <w:szCs w:val="22"/>
              </w:rPr>
              <w:t>(s)</w:t>
            </w:r>
            <w:r>
              <w:rPr>
                <w:rFonts w:cs="Arial"/>
                <w:sz w:val="22"/>
                <w:szCs w:val="22"/>
              </w:rPr>
              <w:t xml:space="preserve"> de Min</w:t>
            </w:r>
            <w:r w:rsidR="005F30C3">
              <w:rPr>
                <w:rFonts w:cs="Arial"/>
                <w:sz w:val="22"/>
                <w:szCs w:val="22"/>
              </w:rPr>
              <w:t>isterio de</w:t>
            </w:r>
            <w:r>
              <w:rPr>
                <w:rFonts w:cs="Arial"/>
                <w:sz w:val="22"/>
                <w:szCs w:val="22"/>
              </w:rPr>
              <w:t xml:space="preserve"> Comercio</w:t>
            </w:r>
            <w:r w:rsidR="005F30C3">
              <w:rPr>
                <w:rFonts w:cs="Arial"/>
                <w:sz w:val="22"/>
                <w:szCs w:val="22"/>
              </w:rPr>
              <w:t>, Industria y Turismo</w:t>
            </w:r>
          </w:p>
          <w:p w14:paraId="270C7AB5" w14:textId="77777777" w:rsidR="00D05B67" w:rsidRPr="00084B49" w:rsidRDefault="005F30C3" w:rsidP="00D05B67">
            <w:pPr>
              <w:jc w:val="both"/>
              <w:rPr>
                <w:rFonts w:cs="Arial"/>
                <w:i/>
                <w:color w:val="808080"/>
                <w:sz w:val="22"/>
                <w:szCs w:val="22"/>
              </w:rPr>
            </w:pPr>
            <w:r w:rsidRPr="00084B49">
              <w:rPr>
                <w:rFonts w:cs="Arial"/>
                <w:i/>
                <w:color w:val="808080"/>
                <w:szCs w:val="22"/>
              </w:rPr>
              <w:t>(Cuando se trate de un proyecto de reglamento técnico o de procedimientos de evaluación de conformidad)</w:t>
            </w:r>
          </w:p>
        </w:tc>
        <w:tc>
          <w:tcPr>
            <w:tcW w:w="3119" w:type="dxa"/>
            <w:tcBorders>
              <w:top w:val="single" w:sz="4" w:space="0" w:color="auto"/>
              <w:left w:val="single" w:sz="4" w:space="0" w:color="auto"/>
              <w:bottom w:val="single" w:sz="4" w:space="0" w:color="auto"/>
            </w:tcBorders>
            <w:shd w:val="clear" w:color="auto" w:fill="FFFFFF"/>
            <w:vAlign w:val="center"/>
          </w:tcPr>
          <w:p w14:paraId="24CC459A" w14:textId="77777777" w:rsidR="00D05B67" w:rsidRDefault="005F30C3" w:rsidP="00D05B67">
            <w:pPr>
              <w:jc w:val="both"/>
              <w:rPr>
                <w:rFonts w:cs="Arial"/>
                <w:sz w:val="22"/>
                <w:szCs w:val="22"/>
              </w:rPr>
            </w:pPr>
            <w:r w:rsidRPr="005F30C3">
              <w:rPr>
                <w:rFonts w:cs="Arial"/>
                <w:i/>
                <w:color w:val="808080"/>
                <w:sz w:val="22"/>
                <w:szCs w:val="22"/>
              </w:rPr>
              <w:t>(Marque con una x)</w:t>
            </w:r>
          </w:p>
        </w:tc>
      </w:tr>
      <w:tr w:rsidR="005F30C3" w:rsidRPr="009F7CED" w14:paraId="4241CE5C" w14:textId="77777777" w:rsidTr="0075705D">
        <w:trPr>
          <w:trHeight w:val="66"/>
        </w:trPr>
        <w:tc>
          <w:tcPr>
            <w:tcW w:w="7655" w:type="dxa"/>
            <w:gridSpan w:val="2"/>
            <w:tcBorders>
              <w:top w:val="single" w:sz="4" w:space="0" w:color="auto"/>
              <w:bottom w:val="single" w:sz="4" w:space="0" w:color="auto"/>
              <w:right w:val="single" w:sz="4" w:space="0" w:color="auto"/>
            </w:tcBorders>
            <w:shd w:val="clear" w:color="auto" w:fill="FFFFFF"/>
            <w:vAlign w:val="center"/>
          </w:tcPr>
          <w:p w14:paraId="79E48042" w14:textId="77777777" w:rsidR="005F30C3" w:rsidRDefault="005F30C3" w:rsidP="00D05B67">
            <w:pPr>
              <w:jc w:val="both"/>
              <w:rPr>
                <w:rFonts w:cs="Arial"/>
                <w:sz w:val="22"/>
                <w:szCs w:val="22"/>
              </w:rPr>
            </w:pPr>
            <w:r>
              <w:rPr>
                <w:rFonts w:cs="Arial"/>
                <w:sz w:val="22"/>
                <w:szCs w:val="22"/>
              </w:rPr>
              <w:t xml:space="preserve">Informe de observaciones y respuestas </w:t>
            </w:r>
          </w:p>
          <w:p w14:paraId="4E1961C8" w14:textId="77777777" w:rsidR="005F30C3" w:rsidRPr="00084B49" w:rsidRDefault="005F30C3" w:rsidP="00D05B67">
            <w:pPr>
              <w:jc w:val="both"/>
              <w:rPr>
                <w:rFonts w:cs="Arial"/>
                <w:i/>
                <w:color w:val="808080"/>
                <w:sz w:val="22"/>
                <w:szCs w:val="22"/>
              </w:rPr>
            </w:pPr>
            <w:r w:rsidRPr="00084B49">
              <w:rPr>
                <w:rFonts w:cs="Arial"/>
                <w:i/>
                <w:color w:val="808080"/>
                <w:szCs w:val="22"/>
              </w:rPr>
              <w:t>(Análisis del informe con la evaluación de las observaciones de los ciudadanos y grupos de interés sobre el proyecto normativo)</w:t>
            </w:r>
          </w:p>
        </w:tc>
        <w:tc>
          <w:tcPr>
            <w:tcW w:w="3119" w:type="dxa"/>
            <w:tcBorders>
              <w:top w:val="single" w:sz="4" w:space="0" w:color="auto"/>
              <w:left w:val="single" w:sz="4" w:space="0" w:color="auto"/>
              <w:bottom w:val="single" w:sz="4" w:space="0" w:color="auto"/>
            </w:tcBorders>
            <w:shd w:val="clear" w:color="auto" w:fill="FFFFFF"/>
            <w:vAlign w:val="center"/>
          </w:tcPr>
          <w:p w14:paraId="3EC90E99" w14:textId="77777777" w:rsidR="005F30C3" w:rsidRDefault="005F30C3" w:rsidP="00D05B67">
            <w:pPr>
              <w:jc w:val="both"/>
              <w:rPr>
                <w:rFonts w:cs="Arial"/>
                <w:sz w:val="22"/>
                <w:szCs w:val="22"/>
              </w:rPr>
            </w:pPr>
            <w:r w:rsidRPr="005F30C3">
              <w:rPr>
                <w:rFonts w:cs="Arial"/>
                <w:i/>
                <w:color w:val="808080"/>
                <w:sz w:val="22"/>
                <w:szCs w:val="22"/>
              </w:rPr>
              <w:t>(Marque con una x)</w:t>
            </w:r>
          </w:p>
        </w:tc>
      </w:tr>
      <w:tr w:rsidR="005F30C3" w:rsidRPr="009F7CED" w14:paraId="07676EB5" w14:textId="77777777" w:rsidTr="0075705D">
        <w:trPr>
          <w:trHeight w:val="66"/>
        </w:trPr>
        <w:tc>
          <w:tcPr>
            <w:tcW w:w="7655" w:type="dxa"/>
            <w:gridSpan w:val="2"/>
            <w:tcBorders>
              <w:top w:val="single" w:sz="4" w:space="0" w:color="auto"/>
              <w:bottom w:val="single" w:sz="4" w:space="0" w:color="auto"/>
              <w:right w:val="single" w:sz="4" w:space="0" w:color="auto"/>
            </w:tcBorders>
            <w:shd w:val="clear" w:color="auto" w:fill="FFFFFF"/>
            <w:vAlign w:val="center"/>
          </w:tcPr>
          <w:p w14:paraId="719683E6" w14:textId="77777777" w:rsidR="005F30C3" w:rsidRDefault="005F30C3" w:rsidP="00D05B67">
            <w:pPr>
              <w:jc w:val="both"/>
              <w:rPr>
                <w:rFonts w:cs="Arial"/>
                <w:sz w:val="22"/>
                <w:szCs w:val="22"/>
              </w:rPr>
            </w:pPr>
            <w:r>
              <w:rPr>
                <w:rFonts w:cs="Arial"/>
                <w:sz w:val="22"/>
                <w:szCs w:val="22"/>
              </w:rPr>
              <w:t>Concepto de Abogacía de la Competencia de la Superintendencia de Industria y Comercio</w:t>
            </w:r>
          </w:p>
          <w:p w14:paraId="364EFEA6" w14:textId="77777777" w:rsidR="005F30C3" w:rsidRPr="00084B49" w:rsidRDefault="005F30C3" w:rsidP="00D05B67">
            <w:pPr>
              <w:jc w:val="both"/>
              <w:rPr>
                <w:rFonts w:cs="Arial"/>
                <w:i/>
                <w:color w:val="808080"/>
                <w:sz w:val="22"/>
                <w:szCs w:val="22"/>
              </w:rPr>
            </w:pPr>
            <w:r w:rsidRPr="00084B49">
              <w:rPr>
                <w:rFonts w:cs="Arial"/>
                <w:i/>
                <w:color w:val="808080"/>
                <w:szCs w:val="22"/>
              </w:rPr>
              <w:t>(Cuando los proyectos normativos tengan incidencia en la libre competencia de los mercados)</w:t>
            </w:r>
          </w:p>
        </w:tc>
        <w:tc>
          <w:tcPr>
            <w:tcW w:w="3119" w:type="dxa"/>
            <w:tcBorders>
              <w:top w:val="single" w:sz="4" w:space="0" w:color="auto"/>
              <w:left w:val="single" w:sz="4" w:space="0" w:color="auto"/>
              <w:bottom w:val="single" w:sz="4" w:space="0" w:color="auto"/>
            </w:tcBorders>
            <w:shd w:val="clear" w:color="auto" w:fill="FFFFFF"/>
            <w:vAlign w:val="center"/>
          </w:tcPr>
          <w:p w14:paraId="0F8BF5F5" w14:textId="77777777" w:rsidR="005F30C3" w:rsidRDefault="005F30C3" w:rsidP="00D05B67">
            <w:pPr>
              <w:jc w:val="both"/>
              <w:rPr>
                <w:rFonts w:cs="Arial"/>
                <w:sz w:val="22"/>
                <w:szCs w:val="22"/>
              </w:rPr>
            </w:pPr>
            <w:r w:rsidRPr="005F30C3">
              <w:rPr>
                <w:rFonts w:cs="Arial"/>
                <w:i/>
                <w:color w:val="808080"/>
                <w:sz w:val="22"/>
                <w:szCs w:val="22"/>
              </w:rPr>
              <w:t>(Marque con una x)</w:t>
            </w:r>
          </w:p>
        </w:tc>
      </w:tr>
      <w:tr w:rsidR="005F30C3" w:rsidRPr="009F7CED" w14:paraId="19E5B7FC" w14:textId="77777777" w:rsidTr="0075705D">
        <w:trPr>
          <w:trHeight w:val="66"/>
        </w:trPr>
        <w:tc>
          <w:tcPr>
            <w:tcW w:w="7655" w:type="dxa"/>
            <w:gridSpan w:val="2"/>
            <w:tcBorders>
              <w:top w:val="single" w:sz="4" w:space="0" w:color="auto"/>
              <w:bottom w:val="single" w:sz="4" w:space="0" w:color="auto"/>
              <w:right w:val="single" w:sz="4" w:space="0" w:color="auto"/>
            </w:tcBorders>
            <w:shd w:val="clear" w:color="auto" w:fill="FFFFFF"/>
            <w:vAlign w:val="center"/>
          </w:tcPr>
          <w:p w14:paraId="260EB9CC" w14:textId="77777777" w:rsidR="005F30C3" w:rsidRDefault="005F30C3" w:rsidP="00D05B67">
            <w:pPr>
              <w:jc w:val="both"/>
              <w:rPr>
                <w:rFonts w:cs="Arial"/>
                <w:sz w:val="22"/>
                <w:szCs w:val="22"/>
              </w:rPr>
            </w:pPr>
            <w:r>
              <w:rPr>
                <w:rFonts w:cs="Arial"/>
                <w:sz w:val="22"/>
                <w:szCs w:val="22"/>
              </w:rPr>
              <w:t>Concepto de aprobación nuevos trámites del Departamento Administrativo de la Función Pública</w:t>
            </w:r>
          </w:p>
          <w:p w14:paraId="1DFA88C0" w14:textId="77777777" w:rsidR="005F30C3" w:rsidRDefault="005F30C3" w:rsidP="00D05B67">
            <w:pPr>
              <w:jc w:val="both"/>
              <w:rPr>
                <w:rFonts w:cs="Arial"/>
                <w:sz w:val="22"/>
                <w:szCs w:val="22"/>
              </w:rPr>
            </w:pPr>
            <w:r w:rsidRPr="00084B49">
              <w:rPr>
                <w:rFonts w:cs="Arial"/>
                <w:i/>
                <w:color w:val="808080"/>
                <w:szCs w:val="22"/>
              </w:rPr>
              <w:t>(Cuando el proyecto normativo adopte o modifique un trámite)</w:t>
            </w:r>
          </w:p>
        </w:tc>
        <w:tc>
          <w:tcPr>
            <w:tcW w:w="3119" w:type="dxa"/>
            <w:tcBorders>
              <w:top w:val="single" w:sz="4" w:space="0" w:color="auto"/>
              <w:left w:val="single" w:sz="4" w:space="0" w:color="auto"/>
              <w:bottom w:val="single" w:sz="4" w:space="0" w:color="auto"/>
            </w:tcBorders>
            <w:shd w:val="clear" w:color="auto" w:fill="FFFFFF"/>
            <w:vAlign w:val="center"/>
          </w:tcPr>
          <w:p w14:paraId="2F5CE5B9" w14:textId="77777777" w:rsidR="005F30C3" w:rsidRDefault="005F30C3" w:rsidP="00D05B67">
            <w:pPr>
              <w:jc w:val="both"/>
              <w:rPr>
                <w:rFonts w:cs="Arial"/>
                <w:sz w:val="22"/>
                <w:szCs w:val="22"/>
              </w:rPr>
            </w:pPr>
            <w:r w:rsidRPr="005F30C3">
              <w:rPr>
                <w:rFonts w:cs="Arial"/>
                <w:i/>
                <w:color w:val="808080"/>
                <w:sz w:val="22"/>
                <w:szCs w:val="22"/>
              </w:rPr>
              <w:t>(Marque con una x)</w:t>
            </w:r>
          </w:p>
        </w:tc>
      </w:tr>
      <w:tr w:rsidR="005F30C3" w:rsidRPr="009F7CED" w14:paraId="3322BE2A" w14:textId="77777777" w:rsidTr="0075705D">
        <w:trPr>
          <w:trHeight w:val="66"/>
        </w:trPr>
        <w:tc>
          <w:tcPr>
            <w:tcW w:w="7655" w:type="dxa"/>
            <w:gridSpan w:val="2"/>
            <w:tcBorders>
              <w:top w:val="single" w:sz="4" w:space="0" w:color="auto"/>
              <w:bottom w:val="single" w:sz="4" w:space="0" w:color="auto"/>
              <w:right w:val="single" w:sz="4" w:space="0" w:color="auto"/>
            </w:tcBorders>
            <w:shd w:val="clear" w:color="auto" w:fill="FFFFFF"/>
            <w:vAlign w:val="center"/>
          </w:tcPr>
          <w:p w14:paraId="1CD006DB" w14:textId="77777777" w:rsidR="005F30C3" w:rsidRDefault="005F30C3" w:rsidP="00084B49">
            <w:pPr>
              <w:jc w:val="both"/>
              <w:rPr>
                <w:rFonts w:cs="Arial"/>
                <w:sz w:val="22"/>
                <w:szCs w:val="22"/>
              </w:rPr>
            </w:pPr>
            <w:r>
              <w:rPr>
                <w:rFonts w:cs="Arial"/>
                <w:sz w:val="22"/>
                <w:szCs w:val="22"/>
              </w:rPr>
              <w:t xml:space="preserve">Otro </w:t>
            </w:r>
          </w:p>
          <w:p w14:paraId="73A3BDE5" w14:textId="77777777" w:rsidR="005F30C3" w:rsidRDefault="005F30C3" w:rsidP="00084B49">
            <w:pPr>
              <w:jc w:val="both"/>
              <w:rPr>
                <w:rFonts w:cs="Arial"/>
                <w:sz w:val="22"/>
                <w:szCs w:val="22"/>
              </w:rPr>
            </w:pPr>
            <w:r w:rsidRPr="00084B49">
              <w:rPr>
                <w:rFonts w:cs="Arial"/>
                <w:i/>
                <w:color w:val="808080"/>
                <w:szCs w:val="22"/>
              </w:rPr>
              <w:t>(Cualquier otro aspecto que la entidad originadora de la norma considere relevante o de importancia)</w:t>
            </w:r>
          </w:p>
        </w:tc>
        <w:tc>
          <w:tcPr>
            <w:tcW w:w="3119" w:type="dxa"/>
            <w:tcBorders>
              <w:top w:val="single" w:sz="4" w:space="0" w:color="auto"/>
              <w:left w:val="single" w:sz="4" w:space="0" w:color="auto"/>
              <w:bottom w:val="single" w:sz="4" w:space="0" w:color="auto"/>
            </w:tcBorders>
            <w:shd w:val="clear" w:color="auto" w:fill="FFFFFF"/>
            <w:vAlign w:val="center"/>
          </w:tcPr>
          <w:p w14:paraId="6BB8FF30" w14:textId="77777777" w:rsidR="005F30C3" w:rsidRDefault="005F30C3" w:rsidP="00D05B67">
            <w:pPr>
              <w:jc w:val="both"/>
              <w:rPr>
                <w:rFonts w:cs="Arial"/>
                <w:sz w:val="22"/>
                <w:szCs w:val="22"/>
              </w:rPr>
            </w:pPr>
            <w:r w:rsidRPr="005F30C3">
              <w:rPr>
                <w:rFonts w:cs="Arial"/>
                <w:i/>
                <w:color w:val="808080"/>
                <w:sz w:val="22"/>
                <w:szCs w:val="22"/>
              </w:rPr>
              <w:t>(Marque con una x)</w:t>
            </w:r>
          </w:p>
        </w:tc>
      </w:tr>
    </w:tbl>
    <w:p w14:paraId="56E6101F" w14:textId="77777777" w:rsidR="00301DC2" w:rsidRPr="009F7CED" w:rsidRDefault="00301DC2" w:rsidP="00587695">
      <w:pPr>
        <w:ind w:right="-377"/>
        <w:jc w:val="both"/>
        <w:rPr>
          <w:rFonts w:cs="Arial"/>
          <w:sz w:val="22"/>
          <w:szCs w:val="22"/>
        </w:rPr>
      </w:pPr>
    </w:p>
    <w:p w14:paraId="53055E4F" w14:textId="77777777" w:rsidR="00B66D03" w:rsidRPr="00D05B67" w:rsidRDefault="000B30A6" w:rsidP="00696582">
      <w:pPr>
        <w:ind w:left="-1276" w:right="-377" w:firstLine="283"/>
        <w:jc w:val="both"/>
        <w:rPr>
          <w:rFonts w:cs="Arial"/>
          <w:b/>
          <w:sz w:val="22"/>
          <w:szCs w:val="22"/>
        </w:rPr>
      </w:pPr>
      <w:r w:rsidRPr="00D05B67">
        <w:rPr>
          <w:rFonts w:cs="Arial"/>
          <w:b/>
          <w:sz w:val="22"/>
          <w:szCs w:val="22"/>
        </w:rPr>
        <w:t>Aprobó</w:t>
      </w:r>
      <w:r w:rsidR="00CB4D37" w:rsidRPr="00D05B67">
        <w:rPr>
          <w:rFonts w:cs="Arial"/>
          <w:b/>
          <w:sz w:val="22"/>
          <w:szCs w:val="22"/>
        </w:rPr>
        <w:t>:</w:t>
      </w:r>
    </w:p>
    <w:p w14:paraId="0FFFEFDE" w14:textId="77777777" w:rsidR="00D05B67" w:rsidRDefault="00D05B67" w:rsidP="00D05B67">
      <w:pPr>
        <w:pStyle w:val="Listavistosa-nfasis11"/>
        <w:jc w:val="both"/>
        <w:rPr>
          <w:rFonts w:ascii="Arial" w:hAnsi="Arial" w:cs="Arial"/>
          <w:b/>
        </w:rPr>
      </w:pPr>
      <w:r>
        <w:rPr>
          <w:rFonts w:ascii="Arial" w:hAnsi="Arial" w:cs="Arial"/>
          <w:b/>
        </w:rPr>
        <w:t>_________________</w:t>
      </w:r>
    </w:p>
    <w:p w14:paraId="68A1D217" w14:textId="77777777" w:rsidR="00D05B67" w:rsidRPr="00E0174F" w:rsidRDefault="00D05B67" w:rsidP="00696582">
      <w:pPr>
        <w:pStyle w:val="Listavistosa-nfasis11"/>
        <w:rPr>
          <w:rFonts w:ascii="Arial" w:hAnsi="Arial" w:cs="Arial"/>
          <w:b/>
        </w:rPr>
      </w:pPr>
      <w:r w:rsidRPr="00E0174F">
        <w:rPr>
          <w:rFonts w:ascii="Arial" w:hAnsi="Arial" w:cs="Arial"/>
          <w:b/>
        </w:rPr>
        <w:t xml:space="preserve">Nombre y firma del </w:t>
      </w:r>
      <w:r w:rsidR="00366F75" w:rsidRPr="00E0174F">
        <w:rPr>
          <w:rFonts w:ascii="Arial" w:hAnsi="Arial" w:cs="Arial"/>
          <w:b/>
        </w:rPr>
        <w:t>director o del jefe de la oficina líder del proyecto</w:t>
      </w:r>
    </w:p>
    <w:p w14:paraId="2305B046" w14:textId="77777777" w:rsidR="00D05B67" w:rsidRPr="00E0174F" w:rsidRDefault="00D05B67" w:rsidP="00696582">
      <w:pPr>
        <w:pStyle w:val="Listavistosa-nfasis11"/>
        <w:rPr>
          <w:rFonts w:ascii="Arial" w:hAnsi="Arial" w:cs="Arial"/>
          <w:b/>
        </w:rPr>
      </w:pPr>
    </w:p>
    <w:p w14:paraId="2C4820D5" w14:textId="77777777" w:rsidR="00366F75" w:rsidRPr="00E0174F" w:rsidRDefault="00366F75" w:rsidP="00366F75">
      <w:pPr>
        <w:pStyle w:val="Listavistosa-nfasis11"/>
        <w:jc w:val="both"/>
        <w:rPr>
          <w:rFonts w:ascii="Arial" w:hAnsi="Arial" w:cs="Arial"/>
          <w:b/>
        </w:rPr>
      </w:pPr>
      <w:r w:rsidRPr="00E0174F">
        <w:rPr>
          <w:rFonts w:ascii="Arial" w:hAnsi="Arial" w:cs="Arial"/>
          <w:b/>
        </w:rPr>
        <w:t>_________________</w:t>
      </w:r>
    </w:p>
    <w:p w14:paraId="66205615" w14:textId="77777777" w:rsidR="00366F75" w:rsidRDefault="00366F75" w:rsidP="00366F75">
      <w:pPr>
        <w:pStyle w:val="Listavistosa-nfasis11"/>
        <w:rPr>
          <w:rFonts w:ascii="Arial" w:hAnsi="Arial" w:cs="Arial"/>
          <w:b/>
        </w:rPr>
      </w:pPr>
      <w:r w:rsidRPr="00E0174F">
        <w:rPr>
          <w:rFonts w:ascii="Arial" w:hAnsi="Arial" w:cs="Arial"/>
          <w:b/>
        </w:rPr>
        <w:t>Nombre y firma del Director Jurídico del MinTIC</w:t>
      </w:r>
    </w:p>
    <w:p w14:paraId="01934125" w14:textId="77777777" w:rsidR="00E0174F" w:rsidRPr="00E0174F" w:rsidRDefault="00E0174F" w:rsidP="00366F75">
      <w:pPr>
        <w:pStyle w:val="Listavistosa-nfasis11"/>
        <w:rPr>
          <w:rFonts w:ascii="Arial" w:hAnsi="Arial" w:cs="Arial"/>
          <w:b/>
        </w:rPr>
      </w:pPr>
    </w:p>
    <w:p w14:paraId="0936CFEF" w14:textId="77777777" w:rsidR="00366F75" w:rsidRPr="00E0174F" w:rsidRDefault="00E0174F" w:rsidP="00696582">
      <w:pPr>
        <w:pStyle w:val="Listavistosa-nfasis11"/>
        <w:rPr>
          <w:rFonts w:ascii="Arial" w:hAnsi="Arial" w:cs="Arial"/>
          <w:b/>
        </w:rPr>
      </w:pPr>
      <w:r w:rsidRPr="00E0174F">
        <w:rPr>
          <w:rFonts w:ascii="Arial" w:hAnsi="Arial" w:cs="Arial"/>
          <w:b/>
        </w:rPr>
        <w:t>_________________</w:t>
      </w:r>
    </w:p>
    <w:p w14:paraId="16D3ACBD" w14:textId="31987A6F" w:rsidR="006779DA" w:rsidRPr="00366F75" w:rsidRDefault="00D05B67" w:rsidP="00696582">
      <w:pPr>
        <w:pStyle w:val="Listavistosa-nfasis11"/>
        <w:rPr>
          <w:rFonts w:ascii="Arial" w:hAnsi="Arial" w:cs="Arial"/>
          <w:b/>
          <w:color w:val="FF0000"/>
        </w:rPr>
      </w:pPr>
      <w:r w:rsidRPr="00E0174F">
        <w:rPr>
          <w:rFonts w:ascii="Arial" w:hAnsi="Arial" w:cs="Arial"/>
          <w:b/>
        </w:rPr>
        <w:t>Nombre y firma del (los) servidor(es) público(s) responsables de otras entidades</w:t>
      </w:r>
      <w:r w:rsidRPr="00E0174F">
        <w:t xml:space="preserve"> </w:t>
      </w:r>
      <w:r w:rsidR="00366F75" w:rsidRPr="00E0174F">
        <w:rPr>
          <w:color w:val="FF0000"/>
        </w:rPr>
        <w:t>(cuando aplique)</w:t>
      </w:r>
    </w:p>
    <w:sectPr w:rsidR="006779DA" w:rsidRPr="00366F75" w:rsidSect="00F77DB8">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616" w:right="616" w:bottom="1115" w:left="1701" w:header="720" w:footer="13"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9E26D" w14:textId="77777777" w:rsidR="00864ABF" w:rsidRDefault="00864ABF">
      <w:r>
        <w:separator/>
      </w:r>
    </w:p>
  </w:endnote>
  <w:endnote w:type="continuationSeparator" w:id="0">
    <w:p w14:paraId="16100CA1" w14:textId="77777777" w:rsidR="00864ABF" w:rsidRDefault="00864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BD971" w14:textId="77777777" w:rsidR="00416865" w:rsidRDefault="0041686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7A484" w14:textId="246E14A8" w:rsidR="00F77DB8" w:rsidRDefault="00F77DB8" w:rsidP="00F77DB8">
    <w:pPr>
      <w:pStyle w:val="Piedepgina"/>
      <w:tabs>
        <w:tab w:val="clear" w:pos="8504"/>
      </w:tabs>
      <w:ind w:left="-709"/>
      <w:rPr>
        <w:rFonts w:ascii="Calibri" w:hAnsi="Calibri" w:cs="Calibri"/>
        <w:color w:val="000000"/>
      </w:rPr>
    </w:pPr>
    <w:r>
      <w:rPr>
        <w:noProof/>
      </w:rPr>
      <w:t xml:space="preserve">                       </w:t>
    </w:r>
    <w:r>
      <w:rPr>
        <w:noProof/>
      </w:rPr>
      <w:tab/>
    </w:r>
    <w:r>
      <w:rPr>
        <w:noProof/>
      </w:rPr>
      <w:tab/>
    </w:r>
    <w:r>
      <w:rPr>
        <w:noProof/>
      </w:rPr>
      <w:tab/>
    </w:r>
    <w:r>
      <w:rPr>
        <w:noProof/>
      </w:rPr>
      <w:tab/>
    </w:r>
    <w:r>
      <w:rPr>
        <w:noProof/>
      </w:rPr>
      <w:tab/>
    </w:r>
    <w:r>
      <w:rPr>
        <w:noProof/>
      </w:rPr>
      <w:tab/>
    </w:r>
    <w:r>
      <w:rPr>
        <w:noProof/>
      </w:rPr>
      <w:tab/>
    </w:r>
    <w:r>
      <w:rPr>
        <w:rFonts w:ascii="Calibri" w:hAnsi="Calibri" w:cs="Calibri"/>
        <w:color w:val="000000"/>
      </w:rPr>
      <w:t>GJU-TIC-FM-010</w:t>
    </w:r>
  </w:p>
  <w:p w14:paraId="25B85007" w14:textId="6E3FE63E" w:rsidR="00F77DB8" w:rsidRDefault="00F77DB8" w:rsidP="00F77DB8">
    <w:pPr>
      <w:pStyle w:val="Piedepgina"/>
      <w:tabs>
        <w:tab w:val="clear" w:pos="8504"/>
      </w:tabs>
      <w:ind w:left="-709"/>
      <w:rPr>
        <w:rFonts w:ascii="Calibri" w:hAnsi="Calibri" w:cs="Calibri"/>
        <w:color w:val="000000"/>
      </w:rPr>
    </w:pP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t xml:space="preserve">         V2</w:t>
    </w:r>
    <w:r>
      <w:rPr>
        <w:rFonts w:ascii="Calibri" w:hAnsi="Calibri" w:cs="Calibri"/>
        <w:color w:val="000000"/>
      </w:rPr>
      <w:tab/>
    </w:r>
  </w:p>
  <w:p w14:paraId="7B62638E" w14:textId="643DD8EB" w:rsidR="00836C6A" w:rsidRDefault="00F77DB8" w:rsidP="00F77DB8">
    <w:pPr>
      <w:pStyle w:val="Piedepgina"/>
      <w:jc w:val="right"/>
    </w:pPr>
    <w:r>
      <w:rPr>
        <w:rFonts w:ascii="Calibri" w:hAnsi="Calibri" w:cs="Calibri"/>
        <w:color w:val="000000"/>
      </w:rPr>
      <w:tab/>
    </w:r>
    <w:r>
      <w:rPr>
        <w:rFonts w:ascii="Calibri" w:hAnsi="Calibri" w:cs="Calibri"/>
        <w:color w:val="000000"/>
      </w:rPr>
      <w:tab/>
      <w:t xml:space="preserve">                                   </w:t>
    </w:r>
    <w:r>
      <w:rPr>
        <w:rFonts w:ascii="Calibri" w:hAnsi="Calibri" w:cs="Calibri"/>
        <w:color w:val="000000"/>
      </w:rPr>
      <w:tab/>
    </w:r>
    <w:r>
      <w:rPr>
        <w:rFonts w:ascii="Calibri" w:hAnsi="Calibri" w:cs="Calibri"/>
        <w:color w:val="000000"/>
      </w:rPr>
      <w:tab/>
    </w:r>
    <w:r>
      <w:rPr>
        <w:noProof/>
      </w:rPr>
      <w:tab/>
    </w:r>
    <w:r w:rsidR="00B237AC">
      <w:rPr>
        <w:noProof/>
      </w:rPr>
      <mc:AlternateContent>
        <mc:Choice Requires="wps">
          <w:drawing>
            <wp:anchor distT="0" distB="0" distL="114300" distR="114300" simplePos="0" relativeHeight="251657216" behindDoc="0" locked="0" layoutInCell="0" allowOverlap="1" wp14:anchorId="475BE78E" wp14:editId="29452DD3">
              <wp:simplePos x="0" y="0"/>
              <wp:positionH relativeFrom="page">
                <wp:posOffset>0</wp:posOffset>
              </wp:positionH>
              <wp:positionV relativeFrom="page">
                <wp:posOffset>9594215</wp:posOffset>
              </wp:positionV>
              <wp:extent cx="7772400" cy="273685"/>
              <wp:effectExtent l="0" t="2540" r="0" b="0"/>
              <wp:wrapNone/>
              <wp:docPr id="8" name="MSIPCM6e1c4ae9bb68bcc40527ef41" descr="{&quot;HashCode&quot;:-324040364,&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CDF9FE" w14:textId="4A625D82" w:rsidR="00FE2D84" w:rsidRPr="00AF569A" w:rsidRDefault="00692F01" w:rsidP="00692F01">
                          <w:pPr>
                            <w:rPr>
                              <w:rFonts w:ascii="Calibri" w:hAnsi="Calibri" w:cs="Calibri"/>
                              <w:color w:val="000000"/>
                            </w:rPr>
                          </w:pPr>
                          <w:r>
                            <w:rPr>
                              <w:rFonts w:ascii="Calibri" w:hAnsi="Calibri" w:cs="Calibri"/>
                              <w:color w:val="000000"/>
                            </w:rPr>
                            <w:t>Pública</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475BE78E" id="_x0000_t202" coordsize="21600,21600" o:spt="202" path="m,l,21600r21600,l21600,xe">
              <v:stroke joinstyle="miter"/>
              <v:path gradientshapeok="t" o:connecttype="rect"/>
            </v:shapetype>
            <v:shape id="MSIPCM6e1c4ae9bb68bcc40527ef41" o:spid="_x0000_s1026" type="#_x0000_t202" alt="{&quot;HashCode&quot;:-324040364,&quot;Height&quot;:792.0,&quot;Width&quot;:612.0,&quot;Placement&quot;:&quot;Footer&quot;,&quot;Index&quot;:&quot;Primary&quot;,&quot;Section&quot;:1,&quot;Top&quot;:0.0,&quot;Left&quot;:0.0}" style="position:absolute;left:0;text-align:left;margin-left:0;margin-top:755.45pt;width:612pt;height:21.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" o:allowincell="f" filled="f" stroked="f">
              <v:textbox inset="20pt,0,,0">
                <w:txbxContent>
                  <w:p w14:paraId="21CDF9FE" w14:textId="4A625D82" w:rsidR="00FE2D84" w:rsidRPr="00AF569A" w:rsidRDefault="00692F01" w:rsidP="00692F01">
                    <w:pPr>
                      <w:rPr>
                        <w:rFonts w:ascii="Calibri" w:hAnsi="Calibri" w:cs="Calibri"/>
                        <w:color w:val="000000"/>
                      </w:rPr>
                    </w:pPr>
                    <w:r>
                      <w:rPr>
                        <w:rFonts w:ascii="Calibri" w:hAnsi="Calibri" w:cs="Calibri"/>
                        <w:color w:val="000000"/>
                      </w:rPr>
                      <w:t>Pública</w:t>
                    </w:r>
                  </w:p>
                </w:txbxContent>
              </v:textbox>
              <w10:wrap anchorx="page" anchory="page"/>
            </v:shape>
          </w:pict>
        </mc:Fallback>
      </mc:AlternateContent>
    </w:r>
  </w:p>
  <w:p w14:paraId="089230A1" w14:textId="4395C5FA" w:rsidR="00F07A7D" w:rsidRPr="0084294E" w:rsidRDefault="00F07A7D" w:rsidP="008C703D">
    <w:pPr>
      <w:pStyle w:val="Piedepgina"/>
      <w:ind w:left="-851"/>
      <w:rPr>
        <w:sz w:val="18"/>
        <w:szCs w:val="18"/>
        <w:lang w:val="es-C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EE956" w14:textId="13516AA7" w:rsidR="00AF569A" w:rsidRDefault="00F77DB8" w:rsidP="003650D5">
    <w:pPr>
      <w:pStyle w:val="Piedepgina"/>
      <w:ind w:left="-709"/>
      <w:rPr>
        <w:rFonts w:ascii="Calibri" w:hAnsi="Calibri" w:cs="Calibri"/>
        <w:color w:val="000000"/>
      </w:rPr>
    </w:pPr>
    <w:r>
      <w:rPr>
        <w:noProof/>
      </w:rPr>
      <w:tab/>
    </w:r>
    <w:r>
      <w:rPr>
        <w:noProof/>
      </w:rPr>
      <w:tab/>
    </w:r>
  </w:p>
  <w:p w14:paraId="7E9BB38D" w14:textId="6A6E08F1" w:rsidR="00F77DB8" w:rsidRDefault="00F77DB8" w:rsidP="00F77DB8">
    <w:pPr>
      <w:pStyle w:val="Piedepgina"/>
      <w:tabs>
        <w:tab w:val="clear" w:pos="8504"/>
      </w:tabs>
      <w:ind w:left="-709"/>
      <w:rPr>
        <w:rFonts w:ascii="Calibri" w:hAnsi="Calibri" w:cs="Calibri"/>
        <w:color w:val="000000"/>
      </w:rPr>
    </w:pPr>
    <w:r>
      <w:rPr>
        <w:noProof/>
      </w:rPr>
      <w:tab/>
    </w:r>
    <w:r>
      <w:rPr>
        <w:noProof/>
      </w:rPr>
      <w:tab/>
    </w:r>
    <w:r>
      <w:rPr>
        <w:noProof/>
      </w:rPr>
      <w:tab/>
    </w:r>
    <w:r>
      <w:rPr>
        <w:noProof/>
      </w:rPr>
      <w:tab/>
      <w:t xml:space="preserve">    </w:t>
    </w:r>
    <w:r>
      <w:rPr>
        <w:noProof/>
      </w:rPr>
      <w:tab/>
      <w:t xml:space="preserve">                       </w:t>
    </w:r>
    <w:r>
      <w:rPr>
        <w:rFonts w:ascii="Calibri" w:hAnsi="Calibri" w:cs="Calibri"/>
        <w:color w:val="000000"/>
      </w:rPr>
      <w:t>GJU-TIC-FM-010</w:t>
    </w:r>
  </w:p>
  <w:p w14:paraId="0D0AAF29" w14:textId="3D3F049B" w:rsidR="00F77DB8" w:rsidRDefault="00F77DB8" w:rsidP="00F77DB8">
    <w:pPr>
      <w:pStyle w:val="Piedepgina"/>
      <w:tabs>
        <w:tab w:val="clear" w:pos="8504"/>
      </w:tabs>
      <w:ind w:left="-709"/>
    </w:pP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t xml:space="preserve">                      V2</w:t>
    </w:r>
    <w:r>
      <w:rPr>
        <w:noProof/>
      </w:rPr>
      <w:tab/>
    </w:r>
    <w:r>
      <w:rPr>
        <w:noProof/>
      </w:rPr>
      <w:tab/>
    </w:r>
    <w:r>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98EF0" w14:textId="77777777" w:rsidR="00864ABF" w:rsidRDefault="00864ABF">
      <w:r>
        <w:separator/>
      </w:r>
    </w:p>
  </w:footnote>
  <w:footnote w:type="continuationSeparator" w:id="0">
    <w:p w14:paraId="2540AA95" w14:textId="77777777" w:rsidR="00864ABF" w:rsidRDefault="00864A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FCA40" w14:textId="77777777" w:rsidR="00416865" w:rsidRDefault="0041686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B03BF" w14:textId="77777777" w:rsidR="00F07A7D" w:rsidRDefault="00F07A7D">
    <w:pPr>
      <w:pStyle w:val="Encabezado"/>
    </w:pPr>
  </w:p>
  <w:tbl>
    <w:tblPr>
      <w:tblW w:w="10798" w:type="dxa"/>
      <w:tblInd w:w="-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4"/>
      <w:gridCol w:w="5775"/>
      <w:gridCol w:w="1449"/>
    </w:tblGrid>
    <w:tr w:rsidR="008C703D" w14:paraId="190BE4D9" w14:textId="77777777" w:rsidTr="008C703D">
      <w:tc>
        <w:tcPr>
          <w:tcW w:w="3574" w:type="dxa"/>
        </w:tcPr>
        <w:p w14:paraId="09BB7B8D" w14:textId="74D00299" w:rsidR="008C703D" w:rsidRPr="00366F75" w:rsidRDefault="00B237AC" w:rsidP="00366F75">
          <w:pPr>
            <w:rPr>
              <w:rFonts w:ascii="Times New Roman" w:hAnsi="Times New Roman"/>
              <w:sz w:val="24"/>
              <w:szCs w:val="24"/>
              <w:lang w:val="es-CO" w:eastAsia="es-CO"/>
            </w:rPr>
          </w:pPr>
          <w:r>
            <w:rPr>
              <w:noProof/>
            </w:rPr>
            <w:drawing>
              <wp:inline distT="0" distB="0" distL="0" distR="0" wp14:anchorId="075A7932" wp14:editId="6A19A4B1">
                <wp:extent cx="2095500" cy="571500"/>
                <wp:effectExtent l="0" t="0" r="0" b="0"/>
                <wp:docPr id="81" name="Imagen 81" descr="71B3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1B32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571500"/>
                        </a:xfrm>
                        <a:prstGeom prst="rect">
                          <a:avLst/>
                        </a:prstGeom>
                        <a:noFill/>
                        <a:ln>
                          <a:noFill/>
                        </a:ln>
                      </pic:spPr>
                    </pic:pic>
                  </a:graphicData>
                </a:graphic>
              </wp:inline>
            </w:drawing>
          </w:r>
        </w:p>
      </w:tc>
      <w:tc>
        <w:tcPr>
          <w:tcW w:w="5775" w:type="dxa"/>
          <w:vAlign w:val="center"/>
        </w:tcPr>
        <w:p w14:paraId="787F766F" w14:textId="77777777" w:rsidR="008C703D" w:rsidRDefault="008C703D" w:rsidP="001447C1">
          <w:pPr>
            <w:pStyle w:val="Ttulo2"/>
            <w:ind w:left="72" w:right="72"/>
          </w:pPr>
          <w:r w:rsidRPr="00FD3D04">
            <w:rPr>
              <w:rFonts w:cs="Arial"/>
              <w:bCs/>
              <w:color w:val="000000"/>
              <w:sz w:val="24"/>
              <w:szCs w:val="24"/>
            </w:rPr>
            <w:t>FORMATO MEMORIA JUSTIFICATIVA</w:t>
          </w:r>
        </w:p>
      </w:tc>
      <w:tc>
        <w:tcPr>
          <w:tcW w:w="1449" w:type="dxa"/>
          <w:vAlign w:val="center"/>
        </w:tcPr>
        <w:p w14:paraId="4CEF7297" w14:textId="7E6064B0" w:rsidR="008C703D" w:rsidRDefault="00B237AC" w:rsidP="008C703D">
          <w:pPr>
            <w:pStyle w:val="Ttulo2"/>
            <w:ind w:right="72"/>
          </w:pPr>
          <w:r>
            <w:rPr>
              <w:noProof/>
            </w:rPr>
            <w:drawing>
              <wp:inline distT="0" distB="0" distL="0" distR="0" wp14:anchorId="34E81AE1" wp14:editId="47C57D30">
                <wp:extent cx="647700" cy="609600"/>
                <wp:effectExtent l="0" t="0" r="0" b="0"/>
                <wp:docPr id="82" name="Imagen 82" descr="M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609600"/>
                        </a:xfrm>
                        <a:prstGeom prst="rect">
                          <a:avLst/>
                        </a:prstGeom>
                        <a:noFill/>
                        <a:ln>
                          <a:noFill/>
                        </a:ln>
                      </pic:spPr>
                    </pic:pic>
                  </a:graphicData>
                </a:graphic>
              </wp:inline>
            </w:drawing>
          </w:r>
        </w:p>
      </w:tc>
    </w:tr>
  </w:tbl>
  <w:p w14:paraId="78571213" w14:textId="77777777" w:rsidR="00F07A7D" w:rsidRDefault="00F07A7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98" w:type="dxa"/>
      <w:tblInd w:w="-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7"/>
      <w:gridCol w:w="5752"/>
      <w:gridCol w:w="1979"/>
    </w:tblGrid>
    <w:tr w:rsidR="008C703D" w14:paraId="20778B37" w14:textId="77777777" w:rsidTr="00D97F1C">
      <w:trPr>
        <w:trHeight w:val="1408"/>
      </w:trPr>
      <w:tc>
        <w:tcPr>
          <w:tcW w:w="3067" w:type="dxa"/>
        </w:tcPr>
        <w:p w14:paraId="69C28DE1" w14:textId="716EAEEE" w:rsidR="008C703D" w:rsidRPr="00366F75" w:rsidRDefault="002B5285" w:rsidP="00D97F1C">
          <w:pPr>
            <w:jc w:val="center"/>
            <w:rPr>
              <w:rFonts w:ascii="Times New Roman" w:hAnsi="Times New Roman"/>
              <w:sz w:val="24"/>
              <w:szCs w:val="24"/>
              <w:lang w:val="es-CO" w:eastAsia="es-CO"/>
            </w:rPr>
          </w:pPr>
          <w:r>
            <w:rPr>
              <w:rFonts w:ascii="Times New Roman" w:hAnsi="Times New Roman"/>
              <w:noProof/>
              <w:sz w:val="24"/>
              <w:szCs w:val="24"/>
              <w:lang w:val="es-CO" w:eastAsia="es-CO"/>
            </w:rPr>
            <w:drawing>
              <wp:inline distT="0" distB="0" distL="0" distR="0" wp14:anchorId="3E39D739" wp14:editId="535DE86C">
                <wp:extent cx="478790" cy="857250"/>
                <wp:effectExtent l="0" t="0" r="0" b="0"/>
                <wp:docPr id="2004918440" name="Imagen 4" descr="Imagen que contiene competencia de atletismo, dibujo, tabla, balonces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918440" name="Imagen 4" descr="Imagen que contiene competencia de atletismo, dibujo, tabla, balonces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479415" cy="858369"/>
                        </a:xfrm>
                        <a:prstGeom prst="rect">
                          <a:avLst/>
                        </a:prstGeom>
                      </pic:spPr>
                    </pic:pic>
                  </a:graphicData>
                </a:graphic>
              </wp:inline>
            </w:drawing>
          </w:r>
        </w:p>
      </w:tc>
      <w:tc>
        <w:tcPr>
          <w:tcW w:w="5752" w:type="dxa"/>
          <w:vAlign w:val="center"/>
        </w:tcPr>
        <w:p w14:paraId="67C9E327" w14:textId="77777777" w:rsidR="008C703D" w:rsidRDefault="008C703D" w:rsidP="00FD3D04">
          <w:pPr>
            <w:pStyle w:val="Ttulo2"/>
            <w:ind w:left="72" w:right="72"/>
          </w:pPr>
          <w:r w:rsidRPr="00FD3D04">
            <w:rPr>
              <w:rFonts w:cs="Arial"/>
              <w:bCs/>
              <w:color w:val="000000"/>
              <w:sz w:val="24"/>
              <w:szCs w:val="24"/>
            </w:rPr>
            <w:t>FORMATO MEMORIA JUSTIFICATIVA</w:t>
          </w:r>
        </w:p>
      </w:tc>
      <w:tc>
        <w:tcPr>
          <w:tcW w:w="1979" w:type="dxa"/>
          <w:vAlign w:val="center"/>
        </w:tcPr>
        <w:p w14:paraId="471C3705" w14:textId="1AC9FB15" w:rsidR="008C703D" w:rsidRDefault="00B237AC" w:rsidP="008C703D">
          <w:pPr>
            <w:pStyle w:val="Ttulo2"/>
            <w:ind w:right="72"/>
          </w:pPr>
          <w:r>
            <w:rPr>
              <w:noProof/>
            </w:rPr>
            <w:drawing>
              <wp:inline distT="0" distB="0" distL="0" distR="0" wp14:anchorId="2F43C1A8" wp14:editId="4D56ECDF">
                <wp:extent cx="647700" cy="609600"/>
                <wp:effectExtent l="0" t="0" r="0" b="0"/>
                <wp:docPr id="85" name="Imagen 85" descr="M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I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609600"/>
                        </a:xfrm>
                        <a:prstGeom prst="rect">
                          <a:avLst/>
                        </a:prstGeom>
                        <a:noFill/>
                        <a:ln>
                          <a:noFill/>
                        </a:ln>
                      </pic:spPr>
                    </pic:pic>
                  </a:graphicData>
                </a:graphic>
              </wp:inline>
            </w:drawing>
          </w:r>
        </w:p>
      </w:tc>
    </w:tr>
  </w:tbl>
  <w:p w14:paraId="25249300" w14:textId="77777777" w:rsidR="00350767" w:rsidRDefault="0035076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F1F71"/>
    <w:multiLevelType w:val="hybridMultilevel"/>
    <w:tmpl w:val="E220938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9937E34"/>
    <w:multiLevelType w:val="hybridMultilevel"/>
    <w:tmpl w:val="EBC2F2E6"/>
    <w:lvl w:ilvl="0" w:tplc="D3C24856">
      <w:numFmt w:val="bullet"/>
      <w:lvlText w:val="-"/>
      <w:lvlJc w:val="left"/>
      <w:pPr>
        <w:ind w:left="360" w:hanging="360"/>
      </w:pPr>
      <w:rPr>
        <w:rFonts w:ascii="Arial" w:eastAsia="Arial Unicode MS" w:hAnsi="Arial" w:cs="Arial" w:hint="default"/>
      </w:rPr>
    </w:lvl>
    <w:lvl w:ilvl="1" w:tplc="240A000D">
      <w:start w:val="1"/>
      <w:numFmt w:val="bullet"/>
      <w:lvlText w:val=""/>
      <w:lvlJc w:val="left"/>
      <w:pPr>
        <w:ind w:left="1080" w:hanging="360"/>
      </w:pPr>
      <w:rPr>
        <w:rFonts w:ascii="Wingdings" w:hAnsi="Wingdings"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2" w15:restartNumberingAfterBreak="0">
    <w:nsid w:val="0DE945B7"/>
    <w:multiLevelType w:val="hybridMultilevel"/>
    <w:tmpl w:val="9BA8E9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F7F2FD2"/>
    <w:multiLevelType w:val="hybridMultilevel"/>
    <w:tmpl w:val="23780C54"/>
    <w:lvl w:ilvl="0" w:tplc="7122AF36">
      <w:start w:val="1"/>
      <w:numFmt w:val="decimal"/>
      <w:lvlText w:val="%1."/>
      <w:lvlJc w:val="left"/>
      <w:pPr>
        <w:ind w:left="720" w:hanging="360"/>
      </w:pPr>
      <w:rPr>
        <w:rFonts w:ascii="Arial" w:eastAsia="Calibri" w:hAnsi="Arial" w:cs="Arial" w:hint="default"/>
        <w:b/>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78D43E1"/>
    <w:multiLevelType w:val="hybridMultilevel"/>
    <w:tmpl w:val="3E3C0C3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80077F4"/>
    <w:multiLevelType w:val="hybridMultilevel"/>
    <w:tmpl w:val="471ED7F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1B331E40"/>
    <w:multiLevelType w:val="hybridMultilevel"/>
    <w:tmpl w:val="7EB8E86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9225D5"/>
    <w:multiLevelType w:val="hybridMultilevel"/>
    <w:tmpl w:val="2752FB6E"/>
    <w:lvl w:ilvl="0" w:tplc="0C0A0017">
      <w:start w:val="1"/>
      <w:numFmt w:val="lowerLetter"/>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8" w15:restartNumberingAfterBreak="0">
    <w:nsid w:val="1F7F7418"/>
    <w:multiLevelType w:val="hybridMultilevel"/>
    <w:tmpl w:val="561034C0"/>
    <w:lvl w:ilvl="0" w:tplc="C688F994">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25CC3AAB"/>
    <w:multiLevelType w:val="hybridMultilevel"/>
    <w:tmpl w:val="C72A38F8"/>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E30D56"/>
    <w:multiLevelType w:val="hybridMultilevel"/>
    <w:tmpl w:val="B512F1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C7D6525"/>
    <w:multiLevelType w:val="hybridMultilevel"/>
    <w:tmpl w:val="14323D5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C8D575C"/>
    <w:multiLevelType w:val="hybridMultilevel"/>
    <w:tmpl w:val="903E42D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FC438A4"/>
    <w:multiLevelType w:val="hybridMultilevel"/>
    <w:tmpl w:val="CC544A2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917AA6"/>
    <w:multiLevelType w:val="hybridMultilevel"/>
    <w:tmpl w:val="78BE8B20"/>
    <w:lvl w:ilvl="0" w:tplc="D10EA2F8">
      <w:start w:val="1"/>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8333F05"/>
    <w:multiLevelType w:val="hybridMultilevel"/>
    <w:tmpl w:val="DBDC35E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96341FF"/>
    <w:multiLevelType w:val="multilevel"/>
    <w:tmpl w:val="078847B8"/>
    <w:lvl w:ilvl="0">
      <w:start w:val="2"/>
      <w:numFmt w:val="decimal"/>
      <w:lvlText w:val="%1"/>
      <w:lvlJc w:val="left"/>
      <w:pPr>
        <w:tabs>
          <w:tab w:val="num" w:pos="375"/>
        </w:tabs>
        <w:ind w:left="375" w:hanging="375"/>
      </w:pPr>
      <w:rPr>
        <w:rFonts w:hint="default"/>
      </w:rPr>
    </w:lvl>
    <w:lvl w:ilvl="1">
      <w:start w:val="3"/>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A7C7321"/>
    <w:multiLevelType w:val="hybridMultilevel"/>
    <w:tmpl w:val="EF704034"/>
    <w:lvl w:ilvl="0" w:tplc="3AAE91AA">
      <w:start w:val="1"/>
      <w:numFmt w:val="bullet"/>
      <w:lvlText w:val=""/>
      <w:lvlJc w:val="left"/>
      <w:pPr>
        <w:tabs>
          <w:tab w:val="num" w:pos="720"/>
        </w:tabs>
        <w:ind w:left="720" w:hanging="360"/>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F32023"/>
    <w:multiLevelType w:val="hybridMultilevel"/>
    <w:tmpl w:val="E91C692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40A3792D"/>
    <w:multiLevelType w:val="hybridMultilevel"/>
    <w:tmpl w:val="1150A7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4BC1A61"/>
    <w:multiLevelType w:val="hybridMultilevel"/>
    <w:tmpl w:val="9C96BFC6"/>
    <w:lvl w:ilvl="0" w:tplc="AE5A3DCC">
      <w:start w:val="4"/>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9127B63"/>
    <w:multiLevelType w:val="hybridMultilevel"/>
    <w:tmpl w:val="7BC80F2C"/>
    <w:lvl w:ilvl="0" w:tplc="FFFFFFFF">
      <w:start w:val="1"/>
      <w:numFmt w:val="bullet"/>
      <w:lvlText w:val=""/>
      <w:lvlJc w:val="left"/>
      <w:pPr>
        <w:tabs>
          <w:tab w:val="num" w:pos="720"/>
        </w:tabs>
        <w:ind w:left="720" w:hanging="360"/>
      </w:pPr>
      <w:rPr>
        <w:rFonts w:ascii="Wingdings" w:hAnsi="Wingdings" w:hint="default"/>
      </w:rPr>
    </w:lvl>
    <w:lvl w:ilvl="1" w:tplc="0C0A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FE38A9"/>
    <w:multiLevelType w:val="hybridMultilevel"/>
    <w:tmpl w:val="B6C654B2"/>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3" w15:restartNumberingAfterBreak="0">
    <w:nsid w:val="4D811299"/>
    <w:multiLevelType w:val="hybridMultilevel"/>
    <w:tmpl w:val="4CAE1F3E"/>
    <w:lvl w:ilvl="0" w:tplc="C5F83004">
      <w:start w:val="1440"/>
      <w:numFmt w:val="bullet"/>
      <w:lvlText w:val="-"/>
      <w:lvlJc w:val="left"/>
      <w:pPr>
        <w:ind w:left="720" w:hanging="360"/>
      </w:pPr>
      <w:rPr>
        <w:rFonts w:ascii="Arial" w:eastAsia="Arial Unicode MS"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2820AD0"/>
    <w:multiLevelType w:val="hybridMultilevel"/>
    <w:tmpl w:val="44084084"/>
    <w:lvl w:ilvl="0" w:tplc="240A000D">
      <w:start w:val="1"/>
      <w:numFmt w:val="bullet"/>
      <w:lvlText w:val=""/>
      <w:lvlJc w:val="left"/>
      <w:pPr>
        <w:ind w:left="-1020" w:hanging="360"/>
      </w:pPr>
      <w:rPr>
        <w:rFonts w:ascii="Wingdings" w:hAnsi="Wingdings" w:hint="default"/>
      </w:rPr>
    </w:lvl>
    <w:lvl w:ilvl="1" w:tplc="240A0003" w:tentative="1">
      <w:start w:val="1"/>
      <w:numFmt w:val="bullet"/>
      <w:lvlText w:val="o"/>
      <w:lvlJc w:val="left"/>
      <w:pPr>
        <w:ind w:left="-300" w:hanging="360"/>
      </w:pPr>
      <w:rPr>
        <w:rFonts w:ascii="Courier New" w:hAnsi="Courier New" w:cs="Courier New" w:hint="default"/>
      </w:rPr>
    </w:lvl>
    <w:lvl w:ilvl="2" w:tplc="240A0005" w:tentative="1">
      <w:start w:val="1"/>
      <w:numFmt w:val="bullet"/>
      <w:lvlText w:val=""/>
      <w:lvlJc w:val="left"/>
      <w:pPr>
        <w:ind w:left="420" w:hanging="360"/>
      </w:pPr>
      <w:rPr>
        <w:rFonts w:ascii="Wingdings" w:hAnsi="Wingdings" w:hint="default"/>
      </w:rPr>
    </w:lvl>
    <w:lvl w:ilvl="3" w:tplc="240A0001" w:tentative="1">
      <w:start w:val="1"/>
      <w:numFmt w:val="bullet"/>
      <w:lvlText w:val=""/>
      <w:lvlJc w:val="left"/>
      <w:pPr>
        <w:ind w:left="1140" w:hanging="360"/>
      </w:pPr>
      <w:rPr>
        <w:rFonts w:ascii="Symbol" w:hAnsi="Symbol" w:hint="default"/>
      </w:rPr>
    </w:lvl>
    <w:lvl w:ilvl="4" w:tplc="240A0003" w:tentative="1">
      <w:start w:val="1"/>
      <w:numFmt w:val="bullet"/>
      <w:lvlText w:val="o"/>
      <w:lvlJc w:val="left"/>
      <w:pPr>
        <w:ind w:left="1860" w:hanging="360"/>
      </w:pPr>
      <w:rPr>
        <w:rFonts w:ascii="Courier New" w:hAnsi="Courier New" w:cs="Courier New" w:hint="default"/>
      </w:rPr>
    </w:lvl>
    <w:lvl w:ilvl="5" w:tplc="240A0005" w:tentative="1">
      <w:start w:val="1"/>
      <w:numFmt w:val="bullet"/>
      <w:lvlText w:val=""/>
      <w:lvlJc w:val="left"/>
      <w:pPr>
        <w:ind w:left="2580" w:hanging="360"/>
      </w:pPr>
      <w:rPr>
        <w:rFonts w:ascii="Wingdings" w:hAnsi="Wingdings" w:hint="default"/>
      </w:rPr>
    </w:lvl>
    <w:lvl w:ilvl="6" w:tplc="240A0001" w:tentative="1">
      <w:start w:val="1"/>
      <w:numFmt w:val="bullet"/>
      <w:lvlText w:val=""/>
      <w:lvlJc w:val="left"/>
      <w:pPr>
        <w:ind w:left="3300" w:hanging="360"/>
      </w:pPr>
      <w:rPr>
        <w:rFonts w:ascii="Symbol" w:hAnsi="Symbol" w:hint="default"/>
      </w:rPr>
    </w:lvl>
    <w:lvl w:ilvl="7" w:tplc="240A0003" w:tentative="1">
      <w:start w:val="1"/>
      <w:numFmt w:val="bullet"/>
      <w:lvlText w:val="o"/>
      <w:lvlJc w:val="left"/>
      <w:pPr>
        <w:ind w:left="4020" w:hanging="360"/>
      </w:pPr>
      <w:rPr>
        <w:rFonts w:ascii="Courier New" w:hAnsi="Courier New" w:cs="Courier New" w:hint="default"/>
      </w:rPr>
    </w:lvl>
    <w:lvl w:ilvl="8" w:tplc="240A0005" w:tentative="1">
      <w:start w:val="1"/>
      <w:numFmt w:val="bullet"/>
      <w:lvlText w:val=""/>
      <w:lvlJc w:val="left"/>
      <w:pPr>
        <w:ind w:left="4740" w:hanging="360"/>
      </w:pPr>
      <w:rPr>
        <w:rFonts w:ascii="Wingdings" w:hAnsi="Wingdings" w:hint="default"/>
      </w:rPr>
    </w:lvl>
  </w:abstractNum>
  <w:abstractNum w:abstractNumId="25" w15:restartNumberingAfterBreak="0">
    <w:nsid w:val="55612A01"/>
    <w:multiLevelType w:val="hybridMultilevel"/>
    <w:tmpl w:val="516C2342"/>
    <w:lvl w:ilvl="0" w:tplc="240A0003">
      <w:start w:val="1"/>
      <w:numFmt w:val="bullet"/>
      <w:lvlText w:val="o"/>
      <w:lvlJc w:val="left"/>
      <w:pPr>
        <w:ind w:left="1068" w:hanging="360"/>
      </w:pPr>
      <w:rPr>
        <w:rFonts w:ascii="Courier New" w:hAnsi="Courier New" w:cs="Courier New"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6" w15:restartNumberingAfterBreak="0">
    <w:nsid w:val="56C63FAB"/>
    <w:multiLevelType w:val="hybridMultilevel"/>
    <w:tmpl w:val="4B2669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988006D"/>
    <w:multiLevelType w:val="hybridMultilevel"/>
    <w:tmpl w:val="1F986C7A"/>
    <w:lvl w:ilvl="0" w:tplc="240A000D">
      <w:start w:val="1"/>
      <w:numFmt w:val="bullet"/>
      <w:lvlText w:val=""/>
      <w:lvlJc w:val="left"/>
      <w:pPr>
        <w:ind w:left="1068" w:hanging="360"/>
      </w:pPr>
      <w:rPr>
        <w:rFonts w:ascii="Wingdings" w:hAnsi="Wingdings"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8" w15:restartNumberingAfterBreak="0">
    <w:nsid w:val="599274BB"/>
    <w:multiLevelType w:val="hybridMultilevel"/>
    <w:tmpl w:val="19B6D61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9" w15:restartNumberingAfterBreak="0">
    <w:nsid w:val="5AC27BD1"/>
    <w:multiLevelType w:val="hybridMultilevel"/>
    <w:tmpl w:val="B00A22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D4163EC"/>
    <w:multiLevelType w:val="hybridMultilevel"/>
    <w:tmpl w:val="2B166F1E"/>
    <w:lvl w:ilvl="0" w:tplc="0C0A0017">
      <w:start w:val="1"/>
      <w:numFmt w:val="lowerLetter"/>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1" w15:restartNumberingAfterBreak="0">
    <w:nsid w:val="5F423FF4"/>
    <w:multiLevelType w:val="multilevel"/>
    <w:tmpl w:val="60C2505A"/>
    <w:lvl w:ilvl="0">
      <w:start w:val="2"/>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2" w15:restartNumberingAfterBreak="0">
    <w:nsid w:val="60682FB7"/>
    <w:multiLevelType w:val="hybridMultilevel"/>
    <w:tmpl w:val="6EB8E7D0"/>
    <w:lvl w:ilvl="0" w:tplc="0C0A000F">
      <w:start w:val="1"/>
      <w:numFmt w:val="decimal"/>
      <w:lvlText w:val="%1."/>
      <w:lvlJc w:val="left"/>
      <w:pPr>
        <w:tabs>
          <w:tab w:val="num" w:pos="720"/>
        </w:tabs>
        <w:ind w:left="720" w:hanging="360"/>
      </w:pPr>
      <w:rPr>
        <w:rFonts w:cs="Times New Roman" w:hint="default"/>
        <w:color w:val="auto"/>
        <w:sz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60A438E4"/>
    <w:multiLevelType w:val="hybridMultilevel"/>
    <w:tmpl w:val="1602CE3A"/>
    <w:lvl w:ilvl="0" w:tplc="BB08A936">
      <w:numFmt w:val="bullet"/>
      <w:lvlText w:val="-"/>
      <w:lvlJc w:val="left"/>
      <w:pPr>
        <w:ind w:left="322" w:hanging="360"/>
      </w:pPr>
      <w:rPr>
        <w:rFonts w:ascii="Arial" w:eastAsia="Times" w:hAnsi="Arial" w:cs="Arial" w:hint="default"/>
      </w:rPr>
    </w:lvl>
    <w:lvl w:ilvl="1" w:tplc="240A0003" w:tentative="1">
      <w:start w:val="1"/>
      <w:numFmt w:val="bullet"/>
      <w:lvlText w:val="o"/>
      <w:lvlJc w:val="left"/>
      <w:pPr>
        <w:ind w:left="1042" w:hanging="360"/>
      </w:pPr>
      <w:rPr>
        <w:rFonts w:ascii="Courier New" w:hAnsi="Courier New" w:cs="Courier New" w:hint="default"/>
      </w:rPr>
    </w:lvl>
    <w:lvl w:ilvl="2" w:tplc="240A0005" w:tentative="1">
      <w:start w:val="1"/>
      <w:numFmt w:val="bullet"/>
      <w:lvlText w:val=""/>
      <w:lvlJc w:val="left"/>
      <w:pPr>
        <w:ind w:left="1762" w:hanging="360"/>
      </w:pPr>
      <w:rPr>
        <w:rFonts w:ascii="Wingdings" w:hAnsi="Wingdings" w:hint="default"/>
      </w:rPr>
    </w:lvl>
    <w:lvl w:ilvl="3" w:tplc="240A0001" w:tentative="1">
      <w:start w:val="1"/>
      <w:numFmt w:val="bullet"/>
      <w:lvlText w:val=""/>
      <w:lvlJc w:val="left"/>
      <w:pPr>
        <w:ind w:left="2482" w:hanging="360"/>
      </w:pPr>
      <w:rPr>
        <w:rFonts w:ascii="Symbol" w:hAnsi="Symbol" w:hint="default"/>
      </w:rPr>
    </w:lvl>
    <w:lvl w:ilvl="4" w:tplc="240A0003" w:tentative="1">
      <w:start w:val="1"/>
      <w:numFmt w:val="bullet"/>
      <w:lvlText w:val="o"/>
      <w:lvlJc w:val="left"/>
      <w:pPr>
        <w:ind w:left="3202" w:hanging="360"/>
      </w:pPr>
      <w:rPr>
        <w:rFonts w:ascii="Courier New" w:hAnsi="Courier New" w:cs="Courier New" w:hint="default"/>
      </w:rPr>
    </w:lvl>
    <w:lvl w:ilvl="5" w:tplc="240A0005" w:tentative="1">
      <w:start w:val="1"/>
      <w:numFmt w:val="bullet"/>
      <w:lvlText w:val=""/>
      <w:lvlJc w:val="left"/>
      <w:pPr>
        <w:ind w:left="3922" w:hanging="360"/>
      </w:pPr>
      <w:rPr>
        <w:rFonts w:ascii="Wingdings" w:hAnsi="Wingdings" w:hint="default"/>
      </w:rPr>
    </w:lvl>
    <w:lvl w:ilvl="6" w:tplc="240A0001" w:tentative="1">
      <w:start w:val="1"/>
      <w:numFmt w:val="bullet"/>
      <w:lvlText w:val=""/>
      <w:lvlJc w:val="left"/>
      <w:pPr>
        <w:ind w:left="4642" w:hanging="360"/>
      </w:pPr>
      <w:rPr>
        <w:rFonts w:ascii="Symbol" w:hAnsi="Symbol" w:hint="default"/>
      </w:rPr>
    </w:lvl>
    <w:lvl w:ilvl="7" w:tplc="240A0003" w:tentative="1">
      <w:start w:val="1"/>
      <w:numFmt w:val="bullet"/>
      <w:lvlText w:val="o"/>
      <w:lvlJc w:val="left"/>
      <w:pPr>
        <w:ind w:left="5362" w:hanging="360"/>
      </w:pPr>
      <w:rPr>
        <w:rFonts w:ascii="Courier New" w:hAnsi="Courier New" w:cs="Courier New" w:hint="default"/>
      </w:rPr>
    </w:lvl>
    <w:lvl w:ilvl="8" w:tplc="240A0005" w:tentative="1">
      <w:start w:val="1"/>
      <w:numFmt w:val="bullet"/>
      <w:lvlText w:val=""/>
      <w:lvlJc w:val="left"/>
      <w:pPr>
        <w:ind w:left="6082" w:hanging="360"/>
      </w:pPr>
      <w:rPr>
        <w:rFonts w:ascii="Wingdings" w:hAnsi="Wingdings" w:hint="default"/>
      </w:rPr>
    </w:lvl>
  </w:abstractNum>
  <w:abstractNum w:abstractNumId="34" w15:restartNumberingAfterBreak="0">
    <w:nsid w:val="64573526"/>
    <w:multiLevelType w:val="hybridMultilevel"/>
    <w:tmpl w:val="665E973A"/>
    <w:lvl w:ilvl="0" w:tplc="2C08755A">
      <w:start w:val="1"/>
      <w:numFmt w:val="bullet"/>
      <w:lvlText w:val="•"/>
      <w:lvlJc w:val="left"/>
      <w:pPr>
        <w:tabs>
          <w:tab w:val="num" w:pos="999"/>
        </w:tabs>
        <w:ind w:left="999" w:hanging="360"/>
      </w:pPr>
      <w:rPr>
        <w:rFonts w:ascii="Arial" w:hAnsi="Arial" w:hint="default"/>
      </w:rPr>
    </w:lvl>
    <w:lvl w:ilvl="1" w:tplc="5AD0665A" w:tentative="1">
      <w:start w:val="1"/>
      <w:numFmt w:val="bullet"/>
      <w:lvlText w:val="•"/>
      <w:lvlJc w:val="left"/>
      <w:pPr>
        <w:tabs>
          <w:tab w:val="num" w:pos="1719"/>
        </w:tabs>
        <w:ind w:left="1719" w:hanging="360"/>
      </w:pPr>
      <w:rPr>
        <w:rFonts w:ascii="Arial" w:hAnsi="Arial" w:hint="default"/>
      </w:rPr>
    </w:lvl>
    <w:lvl w:ilvl="2" w:tplc="2AD44A04" w:tentative="1">
      <w:start w:val="1"/>
      <w:numFmt w:val="bullet"/>
      <w:lvlText w:val="•"/>
      <w:lvlJc w:val="left"/>
      <w:pPr>
        <w:tabs>
          <w:tab w:val="num" w:pos="2439"/>
        </w:tabs>
        <w:ind w:left="2439" w:hanging="360"/>
      </w:pPr>
      <w:rPr>
        <w:rFonts w:ascii="Arial" w:hAnsi="Arial" w:hint="default"/>
      </w:rPr>
    </w:lvl>
    <w:lvl w:ilvl="3" w:tplc="07082974" w:tentative="1">
      <w:start w:val="1"/>
      <w:numFmt w:val="bullet"/>
      <w:lvlText w:val="•"/>
      <w:lvlJc w:val="left"/>
      <w:pPr>
        <w:tabs>
          <w:tab w:val="num" w:pos="3159"/>
        </w:tabs>
        <w:ind w:left="3159" w:hanging="360"/>
      </w:pPr>
      <w:rPr>
        <w:rFonts w:ascii="Arial" w:hAnsi="Arial" w:hint="default"/>
      </w:rPr>
    </w:lvl>
    <w:lvl w:ilvl="4" w:tplc="CD76DC7C" w:tentative="1">
      <w:start w:val="1"/>
      <w:numFmt w:val="bullet"/>
      <w:lvlText w:val="•"/>
      <w:lvlJc w:val="left"/>
      <w:pPr>
        <w:tabs>
          <w:tab w:val="num" w:pos="3879"/>
        </w:tabs>
        <w:ind w:left="3879" w:hanging="360"/>
      </w:pPr>
      <w:rPr>
        <w:rFonts w:ascii="Arial" w:hAnsi="Arial" w:hint="default"/>
      </w:rPr>
    </w:lvl>
    <w:lvl w:ilvl="5" w:tplc="3D28A6E6" w:tentative="1">
      <w:start w:val="1"/>
      <w:numFmt w:val="bullet"/>
      <w:lvlText w:val="•"/>
      <w:lvlJc w:val="left"/>
      <w:pPr>
        <w:tabs>
          <w:tab w:val="num" w:pos="4599"/>
        </w:tabs>
        <w:ind w:left="4599" w:hanging="360"/>
      </w:pPr>
      <w:rPr>
        <w:rFonts w:ascii="Arial" w:hAnsi="Arial" w:hint="default"/>
      </w:rPr>
    </w:lvl>
    <w:lvl w:ilvl="6" w:tplc="590A4E18" w:tentative="1">
      <w:start w:val="1"/>
      <w:numFmt w:val="bullet"/>
      <w:lvlText w:val="•"/>
      <w:lvlJc w:val="left"/>
      <w:pPr>
        <w:tabs>
          <w:tab w:val="num" w:pos="5319"/>
        </w:tabs>
        <w:ind w:left="5319" w:hanging="360"/>
      </w:pPr>
      <w:rPr>
        <w:rFonts w:ascii="Arial" w:hAnsi="Arial" w:hint="default"/>
      </w:rPr>
    </w:lvl>
    <w:lvl w:ilvl="7" w:tplc="56BA76D8" w:tentative="1">
      <w:start w:val="1"/>
      <w:numFmt w:val="bullet"/>
      <w:lvlText w:val="•"/>
      <w:lvlJc w:val="left"/>
      <w:pPr>
        <w:tabs>
          <w:tab w:val="num" w:pos="6039"/>
        </w:tabs>
        <w:ind w:left="6039" w:hanging="360"/>
      </w:pPr>
      <w:rPr>
        <w:rFonts w:ascii="Arial" w:hAnsi="Arial" w:hint="default"/>
      </w:rPr>
    </w:lvl>
    <w:lvl w:ilvl="8" w:tplc="D56AD64E" w:tentative="1">
      <w:start w:val="1"/>
      <w:numFmt w:val="bullet"/>
      <w:lvlText w:val="•"/>
      <w:lvlJc w:val="left"/>
      <w:pPr>
        <w:tabs>
          <w:tab w:val="num" w:pos="6759"/>
        </w:tabs>
        <w:ind w:left="6759" w:hanging="360"/>
      </w:pPr>
      <w:rPr>
        <w:rFonts w:ascii="Arial" w:hAnsi="Arial" w:hint="default"/>
      </w:rPr>
    </w:lvl>
  </w:abstractNum>
  <w:abstractNum w:abstractNumId="35" w15:restartNumberingAfterBreak="0">
    <w:nsid w:val="65C86972"/>
    <w:multiLevelType w:val="hybridMultilevel"/>
    <w:tmpl w:val="EF60E5B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682B19CB"/>
    <w:multiLevelType w:val="hybridMultilevel"/>
    <w:tmpl w:val="359E384C"/>
    <w:lvl w:ilvl="0" w:tplc="48043108">
      <w:start w:val="1"/>
      <w:numFmt w:val="decimal"/>
      <w:lvlText w:val="%1."/>
      <w:lvlJc w:val="left"/>
      <w:pPr>
        <w:ind w:left="360" w:hanging="360"/>
      </w:pPr>
      <w:rPr>
        <w:strike w:val="0"/>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37" w15:restartNumberingAfterBreak="0">
    <w:nsid w:val="6AFA48A5"/>
    <w:multiLevelType w:val="hybridMultilevel"/>
    <w:tmpl w:val="3E2221D4"/>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D8547E6"/>
    <w:multiLevelType w:val="hybridMultilevel"/>
    <w:tmpl w:val="9F3404D0"/>
    <w:lvl w:ilvl="0" w:tplc="89D2AEF6">
      <w:start w:val="1"/>
      <w:numFmt w:val="upperRoman"/>
      <w:lvlText w:val="%1."/>
      <w:lvlJc w:val="left"/>
      <w:pPr>
        <w:tabs>
          <w:tab w:val="num" w:pos="1080"/>
        </w:tabs>
        <w:ind w:left="1080" w:hanging="720"/>
      </w:pPr>
      <w:rPr>
        <w:rFonts w:cs="Times New Roman" w:hint="default"/>
        <w:color w:val="auto"/>
        <w:sz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6DFA64E9"/>
    <w:multiLevelType w:val="hybridMultilevel"/>
    <w:tmpl w:val="70E22AB2"/>
    <w:lvl w:ilvl="0" w:tplc="645EFEFA">
      <w:start w:val="1"/>
      <w:numFmt w:val="upperRoman"/>
      <w:lvlText w:val="%1."/>
      <w:lvlJc w:val="left"/>
      <w:pPr>
        <w:tabs>
          <w:tab w:val="num" w:pos="1080"/>
        </w:tabs>
        <w:ind w:left="1080" w:hanging="720"/>
      </w:pPr>
      <w:rPr>
        <w:rFonts w:cs="Times New Roman" w:hint="default"/>
        <w:color w:val="auto"/>
        <w:sz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7074639D"/>
    <w:multiLevelType w:val="hybridMultilevel"/>
    <w:tmpl w:val="F692C1A2"/>
    <w:lvl w:ilvl="0" w:tplc="240A000D">
      <w:start w:val="1"/>
      <w:numFmt w:val="bullet"/>
      <w:lvlText w:val=""/>
      <w:lvlJc w:val="left"/>
      <w:pPr>
        <w:ind w:left="1500" w:hanging="360"/>
      </w:pPr>
      <w:rPr>
        <w:rFonts w:ascii="Wingdings" w:hAnsi="Wingdings" w:hint="default"/>
      </w:rPr>
    </w:lvl>
    <w:lvl w:ilvl="1" w:tplc="240A0003">
      <w:start w:val="1"/>
      <w:numFmt w:val="bullet"/>
      <w:lvlText w:val="o"/>
      <w:lvlJc w:val="left"/>
      <w:pPr>
        <w:ind w:left="2220" w:hanging="360"/>
      </w:pPr>
      <w:rPr>
        <w:rFonts w:ascii="Courier New" w:hAnsi="Courier New" w:cs="Courier New" w:hint="default"/>
      </w:rPr>
    </w:lvl>
    <w:lvl w:ilvl="2" w:tplc="240A0005">
      <w:start w:val="1"/>
      <w:numFmt w:val="bullet"/>
      <w:lvlText w:val=""/>
      <w:lvlJc w:val="left"/>
      <w:pPr>
        <w:ind w:left="2940" w:hanging="360"/>
      </w:pPr>
      <w:rPr>
        <w:rFonts w:ascii="Wingdings" w:hAnsi="Wingdings" w:hint="default"/>
      </w:rPr>
    </w:lvl>
    <w:lvl w:ilvl="3" w:tplc="240A0001">
      <w:start w:val="1"/>
      <w:numFmt w:val="bullet"/>
      <w:lvlText w:val=""/>
      <w:lvlJc w:val="left"/>
      <w:pPr>
        <w:ind w:left="3660" w:hanging="360"/>
      </w:pPr>
      <w:rPr>
        <w:rFonts w:ascii="Symbol" w:hAnsi="Symbol" w:hint="default"/>
      </w:rPr>
    </w:lvl>
    <w:lvl w:ilvl="4" w:tplc="240A0003">
      <w:start w:val="1"/>
      <w:numFmt w:val="bullet"/>
      <w:lvlText w:val="o"/>
      <w:lvlJc w:val="left"/>
      <w:pPr>
        <w:ind w:left="4380" w:hanging="360"/>
      </w:pPr>
      <w:rPr>
        <w:rFonts w:ascii="Courier New" w:hAnsi="Courier New" w:cs="Courier New" w:hint="default"/>
      </w:rPr>
    </w:lvl>
    <w:lvl w:ilvl="5" w:tplc="240A0005">
      <w:start w:val="1"/>
      <w:numFmt w:val="bullet"/>
      <w:lvlText w:val=""/>
      <w:lvlJc w:val="left"/>
      <w:pPr>
        <w:ind w:left="5100" w:hanging="360"/>
      </w:pPr>
      <w:rPr>
        <w:rFonts w:ascii="Wingdings" w:hAnsi="Wingdings" w:hint="default"/>
      </w:rPr>
    </w:lvl>
    <w:lvl w:ilvl="6" w:tplc="240A0001">
      <w:start w:val="1"/>
      <w:numFmt w:val="bullet"/>
      <w:lvlText w:val=""/>
      <w:lvlJc w:val="left"/>
      <w:pPr>
        <w:ind w:left="5820" w:hanging="360"/>
      </w:pPr>
      <w:rPr>
        <w:rFonts w:ascii="Symbol" w:hAnsi="Symbol" w:hint="default"/>
      </w:rPr>
    </w:lvl>
    <w:lvl w:ilvl="7" w:tplc="240A0003">
      <w:start w:val="1"/>
      <w:numFmt w:val="bullet"/>
      <w:lvlText w:val="o"/>
      <w:lvlJc w:val="left"/>
      <w:pPr>
        <w:ind w:left="6540" w:hanging="360"/>
      </w:pPr>
      <w:rPr>
        <w:rFonts w:ascii="Courier New" w:hAnsi="Courier New" w:cs="Courier New" w:hint="default"/>
      </w:rPr>
    </w:lvl>
    <w:lvl w:ilvl="8" w:tplc="240A0005">
      <w:start w:val="1"/>
      <w:numFmt w:val="bullet"/>
      <w:lvlText w:val=""/>
      <w:lvlJc w:val="left"/>
      <w:pPr>
        <w:ind w:left="7260" w:hanging="360"/>
      </w:pPr>
      <w:rPr>
        <w:rFonts w:ascii="Wingdings" w:hAnsi="Wingdings" w:hint="default"/>
      </w:rPr>
    </w:lvl>
  </w:abstractNum>
  <w:abstractNum w:abstractNumId="41" w15:restartNumberingAfterBreak="0">
    <w:nsid w:val="72044BA6"/>
    <w:multiLevelType w:val="hybridMultilevel"/>
    <w:tmpl w:val="07EEA1E4"/>
    <w:lvl w:ilvl="0" w:tplc="FEE66116">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7A7813B2"/>
    <w:multiLevelType w:val="hybridMultilevel"/>
    <w:tmpl w:val="C8E461B0"/>
    <w:lvl w:ilvl="0" w:tplc="A26EE73E">
      <w:numFmt w:val="bullet"/>
      <w:lvlText w:val="-"/>
      <w:lvlJc w:val="left"/>
      <w:pPr>
        <w:ind w:left="720" w:hanging="360"/>
      </w:pPr>
      <w:rPr>
        <w:rFonts w:ascii="Calibri" w:eastAsia="Calibri" w:hAnsi="Calibri" w:cs="Calibri" w:hint="default"/>
        <w:sz w:val="24"/>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9764210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8235821">
    <w:abstractNumId w:val="7"/>
  </w:num>
  <w:num w:numId="3" w16cid:durableId="1114012470">
    <w:abstractNumId w:val="37"/>
  </w:num>
  <w:num w:numId="4" w16cid:durableId="1495878750">
    <w:abstractNumId w:val="8"/>
  </w:num>
  <w:num w:numId="5" w16cid:durableId="557397461">
    <w:abstractNumId w:val="16"/>
  </w:num>
  <w:num w:numId="6" w16cid:durableId="1452363128">
    <w:abstractNumId w:val="31"/>
  </w:num>
  <w:num w:numId="7" w16cid:durableId="2077507905">
    <w:abstractNumId w:val="9"/>
  </w:num>
  <w:num w:numId="8" w16cid:durableId="723873387">
    <w:abstractNumId w:val="17"/>
  </w:num>
  <w:num w:numId="9" w16cid:durableId="1274945304">
    <w:abstractNumId w:val="6"/>
  </w:num>
  <w:num w:numId="10" w16cid:durableId="1682467277">
    <w:abstractNumId w:val="21"/>
  </w:num>
  <w:num w:numId="11" w16cid:durableId="295569971">
    <w:abstractNumId w:val="13"/>
  </w:num>
  <w:num w:numId="12" w16cid:durableId="2041587928">
    <w:abstractNumId w:val="32"/>
  </w:num>
  <w:num w:numId="13" w16cid:durableId="1143962759">
    <w:abstractNumId w:val="38"/>
  </w:num>
  <w:num w:numId="14" w16cid:durableId="1810778263">
    <w:abstractNumId w:val="39"/>
  </w:num>
  <w:num w:numId="15" w16cid:durableId="203448388">
    <w:abstractNumId w:val="1"/>
  </w:num>
  <w:num w:numId="16" w16cid:durableId="330059455">
    <w:abstractNumId w:val="22"/>
  </w:num>
  <w:num w:numId="17" w16cid:durableId="1056273102">
    <w:abstractNumId w:val="4"/>
  </w:num>
  <w:num w:numId="18" w16cid:durableId="1453358682">
    <w:abstractNumId w:val="24"/>
  </w:num>
  <w:num w:numId="19" w16cid:durableId="1318607125">
    <w:abstractNumId w:val="27"/>
  </w:num>
  <w:num w:numId="20" w16cid:durableId="1493982206">
    <w:abstractNumId w:val="0"/>
  </w:num>
  <w:num w:numId="21" w16cid:durableId="1404764881">
    <w:abstractNumId w:val="10"/>
  </w:num>
  <w:num w:numId="22" w16cid:durableId="1919055955">
    <w:abstractNumId w:val="19"/>
  </w:num>
  <w:num w:numId="23" w16cid:durableId="8388698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64796250">
    <w:abstractNumId w:val="36"/>
  </w:num>
  <w:num w:numId="25" w16cid:durableId="1019695677">
    <w:abstractNumId w:val="11"/>
  </w:num>
  <w:num w:numId="26" w16cid:durableId="102964004">
    <w:abstractNumId w:val="29"/>
  </w:num>
  <w:num w:numId="27" w16cid:durableId="1155758818">
    <w:abstractNumId w:val="26"/>
  </w:num>
  <w:num w:numId="28" w16cid:durableId="2067606572">
    <w:abstractNumId w:val="40"/>
  </w:num>
  <w:num w:numId="29" w16cid:durableId="553347100">
    <w:abstractNumId w:val="1"/>
  </w:num>
  <w:num w:numId="30" w16cid:durableId="673649708">
    <w:abstractNumId w:val="42"/>
  </w:num>
  <w:num w:numId="31" w16cid:durableId="279722129">
    <w:abstractNumId w:val="23"/>
  </w:num>
  <w:num w:numId="32" w16cid:durableId="151995985">
    <w:abstractNumId w:val="35"/>
  </w:num>
  <w:num w:numId="33" w16cid:durableId="1907762944">
    <w:abstractNumId w:val="25"/>
  </w:num>
  <w:num w:numId="34" w16cid:durableId="299191416">
    <w:abstractNumId w:val="34"/>
  </w:num>
  <w:num w:numId="35" w16cid:durableId="525797091">
    <w:abstractNumId w:val="14"/>
  </w:num>
  <w:num w:numId="36" w16cid:durableId="467937655">
    <w:abstractNumId w:val="5"/>
  </w:num>
  <w:num w:numId="37" w16cid:durableId="966008284">
    <w:abstractNumId w:val="2"/>
  </w:num>
  <w:num w:numId="38" w16cid:durableId="1033503056">
    <w:abstractNumId w:val="28"/>
  </w:num>
  <w:num w:numId="39" w16cid:durableId="203366704">
    <w:abstractNumId w:val="33"/>
  </w:num>
  <w:num w:numId="40" w16cid:durableId="628248666">
    <w:abstractNumId w:val="15"/>
  </w:num>
  <w:num w:numId="41" w16cid:durableId="1310479933">
    <w:abstractNumId w:val="41"/>
  </w:num>
  <w:num w:numId="42" w16cid:durableId="1873301327">
    <w:abstractNumId w:val="18"/>
  </w:num>
  <w:num w:numId="43" w16cid:durableId="2075932516">
    <w:abstractNumId w:val="3"/>
  </w:num>
  <w:num w:numId="44" w16cid:durableId="1847743704">
    <w:abstractNumId w:val="12"/>
  </w:num>
  <w:num w:numId="45" w16cid:durableId="157038199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980"/>
    <w:rsid w:val="00003D24"/>
    <w:rsid w:val="00006F83"/>
    <w:rsid w:val="00007F07"/>
    <w:rsid w:val="00012600"/>
    <w:rsid w:val="00013C42"/>
    <w:rsid w:val="00014D67"/>
    <w:rsid w:val="00016A94"/>
    <w:rsid w:val="00021FCC"/>
    <w:rsid w:val="00024F34"/>
    <w:rsid w:val="0002546A"/>
    <w:rsid w:val="00032CBF"/>
    <w:rsid w:val="00040A1A"/>
    <w:rsid w:val="0004205E"/>
    <w:rsid w:val="00047A6E"/>
    <w:rsid w:val="00050524"/>
    <w:rsid w:val="00063BE3"/>
    <w:rsid w:val="00066463"/>
    <w:rsid w:val="00071CC0"/>
    <w:rsid w:val="000762A9"/>
    <w:rsid w:val="0007636F"/>
    <w:rsid w:val="00080C9B"/>
    <w:rsid w:val="00081CEE"/>
    <w:rsid w:val="00084B49"/>
    <w:rsid w:val="00086B16"/>
    <w:rsid w:val="00092C0A"/>
    <w:rsid w:val="00094D9F"/>
    <w:rsid w:val="000971EA"/>
    <w:rsid w:val="000A35DA"/>
    <w:rsid w:val="000A3E34"/>
    <w:rsid w:val="000B30A6"/>
    <w:rsid w:val="000B39C5"/>
    <w:rsid w:val="000B50F1"/>
    <w:rsid w:val="000C41BE"/>
    <w:rsid w:val="000C614C"/>
    <w:rsid w:val="000C6C52"/>
    <w:rsid w:val="000D1904"/>
    <w:rsid w:val="000D2DA8"/>
    <w:rsid w:val="000D512E"/>
    <w:rsid w:val="000D6E5F"/>
    <w:rsid w:val="000E0152"/>
    <w:rsid w:val="000E1C6F"/>
    <w:rsid w:val="000E370D"/>
    <w:rsid w:val="000E65A4"/>
    <w:rsid w:val="00105533"/>
    <w:rsid w:val="001072FB"/>
    <w:rsid w:val="001113EF"/>
    <w:rsid w:val="00112B18"/>
    <w:rsid w:val="00112EF1"/>
    <w:rsid w:val="00114054"/>
    <w:rsid w:val="00116659"/>
    <w:rsid w:val="001175AA"/>
    <w:rsid w:val="00125A3A"/>
    <w:rsid w:val="00126916"/>
    <w:rsid w:val="00126980"/>
    <w:rsid w:val="00126D20"/>
    <w:rsid w:val="001303DD"/>
    <w:rsid w:val="001348DA"/>
    <w:rsid w:val="001365B5"/>
    <w:rsid w:val="00136CD0"/>
    <w:rsid w:val="0013737F"/>
    <w:rsid w:val="00142BF2"/>
    <w:rsid w:val="001447C1"/>
    <w:rsid w:val="00144FF8"/>
    <w:rsid w:val="00145BCA"/>
    <w:rsid w:val="0015216F"/>
    <w:rsid w:val="00153523"/>
    <w:rsid w:val="00157729"/>
    <w:rsid w:val="00164587"/>
    <w:rsid w:val="001665A3"/>
    <w:rsid w:val="00173095"/>
    <w:rsid w:val="001743EF"/>
    <w:rsid w:val="00174A31"/>
    <w:rsid w:val="00177232"/>
    <w:rsid w:val="0018200A"/>
    <w:rsid w:val="00187186"/>
    <w:rsid w:val="001978EB"/>
    <w:rsid w:val="001A2AF1"/>
    <w:rsid w:val="001A7E48"/>
    <w:rsid w:val="001C013E"/>
    <w:rsid w:val="001D1743"/>
    <w:rsid w:val="001D17CF"/>
    <w:rsid w:val="001E2543"/>
    <w:rsid w:val="001E6C60"/>
    <w:rsid w:val="001F238A"/>
    <w:rsid w:val="00207F93"/>
    <w:rsid w:val="00216EF0"/>
    <w:rsid w:val="002171A2"/>
    <w:rsid w:val="002217D1"/>
    <w:rsid w:val="00224684"/>
    <w:rsid w:val="002264B8"/>
    <w:rsid w:val="00235361"/>
    <w:rsid w:val="00236F62"/>
    <w:rsid w:val="00237D76"/>
    <w:rsid w:val="00251FCE"/>
    <w:rsid w:val="00252F13"/>
    <w:rsid w:val="00254313"/>
    <w:rsid w:val="0026513E"/>
    <w:rsid w:val="002729A5"/>
    <w:rsid w:val="002862C1"/>
    <w:rsid w:val="00286449"/>
    <w:rsid w:val="00287EC3"/>
    <w:rsid w:val="00293F29"/>
    <w:rsid w:val="002941D1"/>
    <w:rsid w:val="002A1048"/>
    <w:rsid w:val="002A18A5"/>
    <w:rsid w:val="002A2A12"/>
    <w:rsid w:val="002B5285"/>
    <w:rsid w:val="002C05D0"/>
    <w:rsid w:val="002C481E"/>
    <w:rsid w:val="002C6429"/>
    <w:rsid w:val="002D06D0"/>
    <w:rsid w:val="002D096D"/>
    <w:rsid w:val="002D11FE"/>
    <w:rsid w:val="002D2CB2"/>
    <w:rsid w:val="002D35EC"/>
    <w:rsid w:val="002D3FE3"/>
    <w:rsid w:val="002D5E8B"/>
    <w:rsid w:val="002E4A97"/>
    <w:rsid w:val="002E5189"/>
    <w:rsid w:val="002E71C4"/>
    <w:rsid w:val="002F226A"/>
    <w:rsid w:val="002F582D"/>
    <w:rsid w:val="00301DC2"/>
    <w:rsid w:val="003227FD"/>
    <w:rsid w:val="00325A55"/>
    <w:rsid w:val="0033384E"/>
    <w:rsid w:val="003343DB"/>
    <w:rsid w:val="00336655"/>
    <w:rsid w:val="00340F19"/>
    <w:rsid w:val="00342B3C"/>
    <w:rsid w:val="00345A1C"/>
    <w:rsid w:val="00346554"/>
    <w:rsid w:val="003503EB"/>
    <w:rsid w:val="00350767"/>
    <w:rsid w:val="00350E4B"/>
    <w:rsid w:val="003533A1"/>
    <w:rsid w:val="003650D5"/>
    <w:rsid w:val="003651DE"/>
    <w:rsid w:val="00366F75"/>
    <w:rsid w:val="00367CB8"/>
    <w:rsid w:val="00367FB3"/>
    <w:rsid w:val="003711C0"/>
    <w:rsid w:val="0037195C"/>
    <w:rsid w:val="00373197"/>
    <w:rsid w:val="00375BFA"/>
    <w:rsid w:val="003761E4"/>
    <w:rsid w:val="0038390A"/>
    <w:rsid w:val="003A0BBF"/>
    <w:rsid w:val="003A3C08"/>
    <w:rsid w:val="003A6449"/>
    <w:rsid w:val="003A73D2"/>
    <w:rsid w:val="003B3F46"/>
    <w:rsid w:val="003B4DDE"/>
    <w:rsid w:val="003B625C"/>
    <w:rsid w:val="003B69ED"/>
    <w:rsid w:val="003C0C28"/>
    <w:rsid w:val="003C0F32"/>
    <w:rsid w:val="003C6CAC"/>
    <w:rsid w:val="003D3516"/>
    <w:rsid w:val="003E1394"/>
    <w:rsid w:val="003E582F"/>
    <w:rsid w:val="003F7C19"/>
    <w:rsid w:val="003F7FB3"/>
    <w:rsid w:val="00401B59"/>
    <w:rsid w:val="00405CE5"/>
    <w:rsid w:val="0041604F"/>
    <w:rsid w:val="00416865"/>
    <w:rsid w:val="00427DD9"/>
    <w:rsid w:val="004317DB"/>
    <w:rsid w:val="00432C5C"/>
    <w:rsid w:val="00435701"/>
    <w:rsid w:val="00437C19"/>
    <w:rsid w:val="00461D1F"/>
    <w:rsid w:val="0046422D"/>
    <w:rsid w:val="00470148"/>
    <w:rsid w:val="00470526"/>
    <w:rsid w:val="004724CB"/>
    <w:rsid w:val="004848A4"/>
    <w:rsid w:val="004965F6"/>
    <w:rsid w:val="004A0755"/>
    <w:rsid w:val="004A6BE3"/>
    <w:rsid w:val="004B078F"/>
    <w:rsid w:val="004C4371"/>
    <w:rsid w:val="004C7D38"/>
    <w:rsid w:val="004D0D86"/>
    <w:rsid w:val="004D10C6"/>
    <w:rsid w:val="004D2643"/>
    <w:rsid w:val="004D294E"/>
    <w:rsid w:val="004D3D03"/>
    <w:rsid w:val="004D4586"/>
    <w:rsid w:val="004D6329"/>
    <w:rsid w:val="004E034B"/>
    <w:rsid w:val="004E17FC"/>
    <w:rsid w:val="004E274E"/>
    <w:rsid w:val="004E517F"/>
    <w:rsid w:val="004F778E"/>
    <w:rsid w:val="004F7A38"/>
    <w:rsid w:val="00500D07"/>
    <w:rsid w:val="0050148F"/>
    <w:rsid w:val="00502F91"/>
    <w:rsid w:val="0051658D"/>
    <w:rsid w:val="00520AAA"/>
    <w:rsid w:val="00520B2A"/>
    <w:rsid w:val="005271BE"/>
    <w:rsid w:val="005338E4"/>
    <w:rsid w:val="0054286C"/>
    <w:rsid w:val="00543E5A"/>
    <w:rsid w:val="00545A32"/>
    <w:rsid w:val="0054645F"/>
    <w:rsid w:val="005616ED"/>
    <w:rsid w:val="005629D0"/>
    <w:rsid w:val="00564A4E"/>
    <w:rsid w:val="005815B6"/>
    <w:rsid w:val="00584E85"/>
    <w:rsid w:val="005871DA"/>
    <w:rsid w:val="00587695"/>
    <w:rsid w:val="0059054D"/>
    <w:rsid w:val="0059316B"/>
    <w:rsid w:val="005949A8"/>
    <w:rsid w:val="005A077D"/>
    <w:rsid w:val="005A4320"/>
    <w:rsid w:val="005A487C"/>
    <w:rsid w:val="005A498D"/>
    <w:rsid w:val="005C19CA"/>
    <w:rsid w:val="005C4522"/>
    <w:rsid w:val="005C491D"/>
    <w:rsid w:val="005C6811"/>
    <w:rsid w:val="005D1A8F"/>
    <w:rsid w:val="005D49BF"/>
    <w:rsid w:val="005D4FE0"/>
    <w:rsid w:val="005D5BCC"/>
    <w:rsid w:val="005F30C3"/>
    <w:rsid w:val="005F7863"/>
    <w:rsid w:val="0060353B"/>
    <w:rsid w:val="00620876"/>
    <w:rsid w:val="00624FD0"/>
    <w:rsid w:val="00630C5E"/>
    <w:rsid w:val="006315B4"/>
    <w:rsid w:val="00635AC3"/>
    <w:rsid w:val="006360D5"/>
    <w:rsid w:val="00636FFB"/>
    <w:rsid w:val="00654CCF"/>
    <w:rsid w:val="00665F82"/>
    <w:rsid w:val="0067067C"/>
    <w:rsid w:val="0067186C"/>
    <w:rsid w:val="00671E11"/>
    <w:rsid w:val="006738E9"/>
    <w:rsid w:val="006779DA"/>
    <w:rsid w:val="0068420F"/>
    <w:rsid w:val="00687EB3"/>
    <w:rsid w:val="00692980"/>
    <w:rsid w:val="00692F01"/>
    <w:rsid w:val="00693246"/>
    <w:rsid w:val="0069506F"/>
    <w:rsid w:val="00696582"/>
    <w:rsid w:val="006A1DBB"/>
    <w:rsid w:val="006A7ADC"/>
    <w:rsid w:val="006B4E40"/>
    <w:rsid w:val="006C103A"/>
    <w:rsid w:val="006C295D"/>
    <w:rsid w:val="006C4E6A"/>
    <w:rsid w:val="006C50E8"/>
    <w:rsid w:val="006D464D"/>
    <w:rsid w:val="006E6F11"/>
    <w:rsid w:val="006F0B6B"/>
    <w:rsid w:val="006F144D"/>
    <w:rsid w:val="006F461B"/>
    <w:rsid w:val="006F622C"/>
    <w:rsid w:val="00700FF6"/>
    <w:rsid w:val="00704D44"/>
    <w:rsid w:val="00707D62"/>
    <w:rsid w:val="00715A68"/>
    <w:rsid w:val="00715DD5"/>
    <w:rsid w:val="00715ECF"/>
    <w:rsid w:val="00716282"/>
    <w:rsid w:val="00717A04"/>
    <w:rsid w:val="00717BFE"/>
    <w:rsid w:val="007208C5"/>
    <w:rsid w:val="00724AE5"/>
    <w:rsid w:val="00725BB4"/>
    <w:rsid w:val="0073180A"/>
    <w:rsid w:val="00732997"/>
    <w:rsid w:val="007336C3"/>
    <w:rsid w:val="00735033"/>
    <w:rsid w:val="007451AB"/>
    <w:rsid w:val="00756485"/>
    <w:rsid w:val="0075705D"/>
    <w:rsid w:val="007626E1"/>
    <w:rsid w:val="00767F65"/>
    <w:rsid w:val="00770D6C"/>
    <w:rsid w:val="007760F3"/>
    <w:rsid w:val="00783515"/>
    <w:rsid w:val="007874F3"/>
    <w:rsid w:val="00787C94"/>
    <w:rsid w:val="00791BCB"/>
    <w:rsid w:val="007921BD"/>
    <w:rsid w:val="00792DDB"/>
    <w:rsid w:val="00793A02"/>
    <w:rsid w:val="00795C6B"/>
    <w:rsid w:val="007A1566"/>
    <w:rsid w:val="007A3995"/>
    <w:rsid w:val="007A5AC5"/>
    <w:rsid w:val="007B622D"/>
    <w:rsid w:val="007C4288"/>
    <w:rsid w:val="007C484E"/>
    <w:rsid w:val="007D4853"/>
    <w:rsid w:val="007D57C4"/>
    <w:rsid w:val="007E0429"/>
    <w:rsid w:val="007E2F48"/>
    <w:rsid w:val="007E41DE"/>
    <w:rsid w:val="007E4CE3"/>
    <w:rsid w:val="007F2B1F"/>
    <w:rsid w:val="007F3F76"/>
    <w:rsid w:val="008029A1"/>
    <w:rsid w:val="00802F7A"/>
    <w:rsid w:val="00806A1C"/>
    <w:rsid w:val="0080773A"/>
    <w:rsid w:val="008173F3"/>
    <w:rsid w:val="0082092A"/>
    <w:rsid w:val="0082117C"/>
    <w:rsid w:val="008227E9"/>
    <w:rsid w:val="008252C5"/>
    <w:rsid w:val="00831860"/>
    <w:rsid w:val="00832F2D"/>
    <w:rsid w:val="00836C6A"/>
    <w:rsid w:val="00841C9F"/>
    <w:rsid w:val="0084294E"/>
    <w:rsid w:val="00843EFF"/>
    <w:rsid w:val="008442A5"/>
    <w:rsid w:val="008477A9"/>
    <w:rsid w:val="0085416A"/>
    <w:rsid w:val="00856B0F"/>
    <w:rsid w:val="00864ABF"/>
    <w:rsid w:val="00867AC6"/>
    <w:rsid w:val="00871097"/>
    <w:rsid w:val="0087186A"/>
    <w:rsid w:val="00872C56"/>
    <w:rsid w:val="00874F67"/>
    <w:rsid w:val="00876AC2"/>
    <w:rsid w:val="00880B46"/>
    <w:rsid w:val="00883F43"/>
    <w:rsid w:val="00884C98"/>
    <w:rsid w:val="00884CE2"/>
    <w:rsid w:val="00885E7D"/>
    <w:rsid w:val="0089363F"/>
    <w:rsid w:val="00894D05"/>
    <w:rsid w:val="00896ED8"/>
    <w:rsid w:val="008A209D"/>
    <w:rsid w:val="008A2436"/>
    <w:rsid w:val="008A4E8C"/>
    <w:rsid w:val="008A563D"/>
    <w:rsid w:val="008B1443"/>
    <w:rsid w:val="008B211F"/>
    <w:rsid w:val="008B3B0A"/>
    <w:rsid w:val="008C2BA0"/>
    <w:rsid w:val="008C69F2"/>
    <w:rsid w:val="008C703D"/>
    <w:rsid w:val="008D1D44"/>
    <w:rsid w:val="008D3E6C"/>
    <w:rsid w:val="008E04EC"/>
    <w:rsid w:val="008E43F4"/>
    <w:rsid w:val="008F42F6"/>
    <w:rsid w:val="008F5282"/>
    <w:rsid w:val="00912BAC"/>
    <w:rsid w:val="00923606"/>
    <w:rsid w:val="00925058"/>
    <w:rsid w:val="00926CDB"/>
    <w:rsid w:val="00930113"/>
    <w:rsid w:val="00932391"/>
    <w:rsid w:val="009356EC"/>
    <w:rsid w:val="00937FB2"/>
    <w:rsid w:val="0094114F"/>
    <w:rsid w:val="00945DDF"/>
    <w:rsid w:val="00955F42"/>
    <w:rsid w:val="0095690D"/>
    <w:rsid w:val="009609C5"/>
    <w:rsid w:val="00965B1A"/>
    <w:rsid w:val="00971B57"/>
    <w:rsid w:val="00973208"/>
    <w:rsid w:val="00976933"/>
    <w:rsid w:val="00981893"/>
    <w:rsid w:val="00984974"/>
    <w:rsid w:val="00986438"/>
    <w:rsid w:val="00987DBF"/>
    <w:rsid w:val="009970F9"/>
    <w:rsid w:val="009A5590"/>
    <w:rsid w:val="009C3837"/>
    <w:rsid w:val="009C44BD"/>
    <w:rsid w:val="009C537F"/>
    <w:rsid w:val="009D0585"/>
    <w:rsid w:val="009D2BB3"/>
    <w:rsid w:val="009D49F9"/>
    <w:rsid w:val="009E0846"/>
    <w:rsid w:val="009E1EF4"/>
    <w:rsid w:val="009E1F32"/>
    <w:rsid w:val="009E4BD5"/>
    <w:rsid w:val="009F1BE0"/>
    <w:rsid w:val="009F7CED"/>
    <w:rsid w:val="00A04569"/>
    <w:rsid w:val="00A0736A"/>
    <w:rsid w:val="00A07DE7"/>
    <w:rsid w:val="00A120D6"/>
    <w:rsid w:val="00A1301A"/>
    <w:rsid w:val="00A14C37"/>
    <w:rsid w:val="00A161B9"/>
    <w:rsid w:val="00A219D7"/>
    <w:rsid w:val="00A26A06"/>
    <w:rsid w:val="00A2785C"/>
    <w:rsid w:val="00A27D3B"/>
    <w:rsid w:val="00A33DCF"/>
    <w:rsid w:val="00A377FE"/>
    <w:rsid w:val="00A40521"/>
    <w:rsid w:val="00A4128C"/>
    <w:rsid w:val="00A41AEF"/>
    <w:rsid w:val="00A447B3"/>
    <w:rsid w:val="00A500DD"/>
    <w:rsid w:val="00A52C3F"/>
    <w:rsid w:val="00A55DB6"/>
    <w:rsid w:val="00A61784"/>
    <w:rsid w:val="00A64120"/>
    <w:rsid w:val="00A64B79"/>
    <w:rsid w:val="00A72973"/>
    <w:rsid w:val="00A74AFD"/>
    <w:rsid w:val="00A80613"/>
    <w:rsid w:val="00A818E5"/>
    <w:rsid w:val="00A83A98"/>
    <w:rsid w:val="00A85AEA"/>
    <w:rsid w:val="00A93A83"/>
    <w:rsid w:val="00A94019"/>
    <w:rsid w:val="00AA28E8"/>
    <w:rsid w:val="00AB0708"/>
    <w:rsid w:val="00AB0C45"/>
    <w:rsid w:val="00AB134B"/>
    <w:rsid w:val="00AB6652"/>
    <w:rsid w:val="00AC1AF8"/>
    <w:rsid w:val="00AC447D"/>
    <w:rsid w:val="00AC7138"/>
    <w:rsid w:val="00AD5446"/>
    <w:rsid w:val="00AD623F"/>
    <w:rsid w:val="00AE03F3"/>
    <w:rsid w:val="00AE4153"/>
    <w:rsid w:val="00AE7713"/>
    <w:rsid w:val="00AF569A"/>
    <w:rsid w:val="00AF5E71"/>
    <w:rsid w:val="00B13AE3"/>
    <w:rsid w:val="00B237AC"/>
    <w:rsid w:val="00B25550"/>
    <w:rsid w:val="00B30DCD"/>
    <w:rsid w:val="00B377D3"/>
    <w:rsid w:val="00B4178F"/>
    <w:rsid w:val="00B4216E"/>
    <w:rsid w:val="00B448DC"/>
    <w:rsid w:val="00B463AC"/>
    <w:rsid w:val="00B51095"/>
    <w:rsid w:val="00B6123C"/>
    <w:rsid w:val="00B61CA6"/>
    <w:rsid w:val="00B65F1B"/>
    <w:rsid w:val="00B66D03"/>
    <w:rsid w:val="00B7000F"/>
    <w:rsid w:val="00B71978"/>
    <w:rsid w:val="00B729FC"/>
    <w:rsid w:val="00B73EC6"/>
    <w:rsid w:val="00B766E4"/>
    <w:rsid w:val="00B8326D"/>
    <w:rsid w:val="00B84AF8"/>
    <w:rsid w:val="00B937B6"/>
    <w:rsid w:val="00BA450F"/>
    <w:rsid w:val="00BA5416"/>
    <w:rsid w:val="00BB545F"/>
    <w:rsid w:val="00BC2C98"/>
    <w:rsid w:val="00BD4B65"/>
    <w:rsid w:val="00BE26E5"/>
    <w:rsid w:val="00BE280C"/>
    <w:rsid w:val="00BE7618"/>
    <w:rsid w:val="00BF054E"/>
    <w:rsid w:val="00BF0DB9"/>
    <w:rsid w:val="00C01AAE"/>
    <w:rsid w:val="00C12B93"/>
    <w:rsid w:val="00C134C3"/>
    <w:rsid w:val="00C26C14"/>
    <w:rsid w:val="00C27D76"/>
    <w:rsid w:val="00C31D59"/>
    <w:rsid w:val="00C3205D"/>
    <w:rsid w:val="00C36892"/>
    <w:rsid w:val="00C4009A"/>
    <w:rsid w:val="00C401C2"/>
    <w:rsid w:val="00C43BD2"/>
    <w:rsid w:val="00C46330"/>
    <w:rsid w:val="00C47F73"/>
    <w:rsid w:val="00C52E86"/>
    <w:rsid w:val="00C54A97"/>
    <w:rsid w:val="00C54FFC"/>
    <w:rsid w:val="00C6077B"/>
    <w:rsid w:val="00C61441"/>
    <w:rsid w:val="00C7294E"/>
    <w:rsid w:val="00C81BED"/>
    <w:rsid w:val="00C91F90"/>
    <w:rsid w:val="00C935ED"/>
    <w:rsid w:val="00CA57DF"/>
    <w:rsid w:val="00CB0063"/>
    <w:rsid w:val="00CB4D37"/>
    <w:rsid w:val="00CB66F7"/>
    <w:rsid w:val="00CC0C62"/>
    <w:rsid w:val="00CC259C"/>
    <w:rsid w:val="00CC42D1"/>
    <w:rsid w:val="00CC5B3E"/>
    <w:rsid w:val="00CE1A87"/>
    <w:rsid w:val="00CE26A9"/>
    <w:rsid w:val="00CE6766"/>
    <w:rsid w:val="00CF25EF"/>
    <w:rsid w:val="00D01A38"/>
    <w:rsid w:val="00D04A96"/>
    <w:rsid w:val="00D05B67"/>
    <w:rsid w:val="00D05D52"/>
    <w:rsid w:val="00D06342"/>
    <w:rsid w:val="00D24980"/>
    <w:rsid w:val="00D26D53"/>
    <w:rsid w:val="00D31F43"/>
    <w:rsid w:val="00D40E59"/>
    <w:rsid w:val="00D415E6"/>
    <w:rsid w:val="00D444C5"/>
    <w:rsid w:val="00D530DC"/>
    <w:rsid w:val="00D62023"/>
    <w:rsid w:val="00D7070F"/>
    <w:rsid w:val="00D709DD"/>
    <w:rsid w:val="00D8294A"/>
    <w:rsid w:val="00D83F98"/>
    <w:rsid w:val="00D84A75"/>
    <w:rsid w:val="00D85F90"/>
    <w:rsid w:val="00D90649"/>
    <w:rsid w:val="00D91E89"/>
    <w:rsid w:val="00D9213D"/>
    <w:rsid w:val="00D965B1"/>
    <w:rsid w:val="00D97DF9"/>
    <w:rsid w:val="00D97F1C"/>
    <w:rsid w:val="00DA6526"/>
    <w:rsid w:val="00DA6C54"/>
    <w:rsid w:val="00DC54A3"/>
    <w:rsid w:val="00DD181C"/>
    <w:rsid w:val="00DD2F2C"/>
    <w:rsid w:val="00DD48D9"/>
    <w:rsid w:val="00DE1540"/>
    <w:rsid w:val="00DE520C"/>
    <w:rsid w:val="00DF1E66"/>
    <w:rsid w:val="00DF60FD"/>
    <w:rsid w:val="00DF6410"/>
    <w:rsid w:val="00E007F7"/>
    <w:rsid w:val="00E0174F"/>
    <w:rsid w:val="00E05F18"/>
    <w:rsid w:val="00E06A27"/>
    <w:rsid w:val="00E07AD4"/>
    <w:rsid w:val="00E12202"/>
    <w:rsid w:val="00E1559A"/>
    <w:rsid w:val="00E20331"/>
    <w:rsid w:val="00E20B76"/>
    <w:rsid w:val="00E242C5"/>
    <w:rsid w:val="00E24673"/>
    <w:rsid w:val="00E24F26"/>
    <w:rsid w:val="00E25BBE"/>
    <w:rsid w:val="00E261B4"/>
    <w:rsid w:val="00E31E85"/>
    <w:rsid w:val="00E407FF"/>
    <w:rsid w:val="00E40C34"/>
    <w:rsid w:val="00E41E2C"/>
    <w:rsid w:val="00E44207"/>
    <w:rsid w:val="00E66C57"/>
    <w:rsid w:val="00E66D00"/>
    <w:rsid w:val="00E7224C"/>
    <w:rsid w:val="00E729F2"/>
    <w:rsid w:val="00E74EAA"/>
    <w:rsid w:val="00E75DBD"/>
    <w:rsid w:val="00E805D3"/>
    <w:rsid w:val="00E80826"/>
    <w:rsid w:val="00E8100B"/>
    <w:rsid w:val="00E84DA1"/>
    <w:rsid w:val="00E91332"/>
    <w:rsid w:val="00E9482D"/>
    <w:rsid w:val="00EA2BDC"/>
    <w:rsid w:val="00EA3045"/>
    <w:rsid w:val="00EB355F"/>
    <w:rsid w:val="00EC1DE8"/>
    <w:rsid w:val="00EC35AE"/>
    <w:rsid w:val="00EC5A6B"/>
    <w:rsid w:val="00ED4708"/>
    <w:rsid w:val="00EE0D69"/>
    <w:rsid w:val="00EE0F26"/>
    <w:rsid w:val="00EE2ABB"/>
    <w:rsid w:val="00EE4DE8"/>
    <w:rsid w:val="00EF1267"/>
    <w:rsid w:val="00EF192B"/>
    <w:rsid w:val="00F06B8A"/>
    <w:rsid w:val="00F070C1"/>
    <w:rsid w:val="00F07A7D"/>
    <w:rsid w:val="00F11163"/>
    <w:rsid w:val="00F134CB"/>
    <w:rsid w:val="00F153C1"/>
    <w:rsid w:val="00F16839"/>
    <w:rsid w:val="00F211E7"/>
    <w:rsid w:val="00F21D37"/>
    <w:rsid w:val="00F221F0"/>
    <w:rsid w:val="00F26136"/>
    <w:rsid w:val="00F2713B"/>
    <w:rsid w:val="00F305D8"/>
    <w:rsid w:val="00F37106"/>
    <w:rsid w:val="00F44A2E"/>
    <w:rsid w:val="00F47D57"/>
    <w:rsid w:val="00F546F3"/>
    <w:rsid w:val="00F553E4"/>
    <w:rsid w:val="00F55DC4"/>
    <w:rsid w:val="00F576B3"/>
    <w:rsid w:val="00F741AF"/>
    <w:rsid w:val="00F745E1"/>
    <w:rsid w:val="00F75A79"/>
    <w:rsid w:val="00F7620E"/>
    <w:rsid w:val="00F775AD"/>
    <w:rsid w:val="00F77DB8"/>
    <w:rsid w:val="00F80E07"/>
    <w:rsid w:val="00F83188"/>
    <w:rsid w:val="00F90326"/>
    <w:rsid w:val="00F90F86"/>
    <w:rsid w:val="00F92DF0"/>
    <w:rsid w:val="00FA0454"/>
    <w:rsid w:val="00FA4A9E"/>
    <w:rsid w:val="00FA4EC9"/>
    <w:rsid w:val="00FA7D61"/>
    <w:rsid w:val="00FB1248"/>
    <w:rsid w:val="00FB1453"/>
    <w:rsid w:val="00FB217D"/>
    <w:rsid w:val="00FB29CC"/>
    <w:rsid w:val="00FC0522"/>
    <w:rsid w:val="00FC2DE3"/>
    <w:rsid w:val="00FC7D27"/>
    <w:rsid w:val="00FD3D04"/>
    <w:rsid w:val="00FD49A0"/>
    <w:rsid w:val="00FE0B9B"/>
    <w:rsid w:val="00FE27DE"/>
    <w:rsid w:val="00FE2D84"/>
    <w:rsid w:val="00FF66C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122209"/>
  <w15:chartTrackingRefBased/>
  <w15:docId w15:val="{D384484D-7BE7-4959-BF57-480776446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2D84"/>
    <w:rPr>
      <w:rFonts w:ascii="Arial" w:hAnsi="Arial"/>
      <w:lang w:val="es-ES" w:eastAsia="es-ES"/>
    </w:rPr>
  </w:style>
  <w:style w:type="paragraph" w:styleId="Ttulo1">
    <w:name w:val="heading 1"/>
    <w:basedOn w:val="Normal"/>
    <w:next w:val="Normal"/>
    <w:qFormat/>
    <w:pPr>
      <w:keepNext/>
      <w:spacing w:before="240" w:after="60"/>
      <w:outlineLvl w:val="0"/>
    </w:pPr>
    <w:rPr>
      <w:b/>
      <w:color w:val="000080"/>
      <w:spacing w:val="-8"/>
      <w:kern w:val="28"/>
      <w:sz w:val="28"/>
      <w:lang w:val="es-CO"/>
    </w:rPr>
  </w:style>
  <w:style w:type="paragraph" w:styleId="Ttulo2">
    <w:name w:val="heading 2"/>
    <w:basedOn w:val="Normal"/>
    <w:next w:val="Normal"/>
    <w:qFormat/>
    <w:pPr>
      <w:keepNext/>
      <w:jc w:val="center"/>
      <w:outlineLvl w:val="1"/>
    </w:pPr>
    <w:rPr>
      <w:b/>
    </w:rPr>
  </w:style>
  <w:style w:type="paragraph" w:styleId="Ttulo3">
    <w:name w:val="heading 3"/>
    <w:basedOn w:val="Normal"/>
    <w:next w:val="Normal"/>
    <w:qFormat/>
    <w:pPr>
      <w:keepNext/>
      <w:jc w:val="center"/>
      <w:outlineLvl w:val="2"/>
    </w:pPr>
    <w:rPr>
      <w:rFonts w:ascii="Tahoma" w:hAnsi="Tahoma" w:cs="Tahoma"/>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independiente21">
    <w:name w:val="Texto independiente 21"/>
    <w:basedOn w:val="Normal"/>
    <w:pPr>
      <w:overflowPunct w:val="0"/>
      <w:autoSpaceDE w:val="0"/>
      <w:autoSpaceDN w:val="0"/>
      <w:adjustRightInd w:val="0"/>
      <w:ind w:right="902"/>
      <w:textAlignment w:val="baseline"/>
    </w:pPr>
    <w:rPr>
      <w:rFonts w:ascii="Verdana" w:hAnsi="Verdana"/>
      <w:sz w:val="18"/>
      <w:lang w:val="es-CO"/>
    </w:rPr>
  </w:style>
  <w:style w:type="paragraph" w:styleId="Sangra3detindependiente">
    <w:name w:val="Body Text Indent 3"/>
    <w:basedOn w:val="Normal"/>
    <w:pPr>
      <w:overflowPunct w:val="0"/>
      <w:autoSpaceDE w:val="0"/>
      <w:autoSpaceDN w:val="0"/>
      <w:adjustRightInd w:val="0"/>
      <w:ind w:left="709" w:hanging="349"/>
      <w:jc w:val="both"/>
      <w:textAlignment w:val="baseline"/>
    </w:pPr>
    <w:rPr>
      <w:rFonts w:ascii="Tahoma" w:hAnsi="Tahoma" w:cs="Tahoma"/>
      <w:bCs/>
      <w:sz w:val="22"/>
      <w:lang w:val="es-CO"/>
    </w:rPr>
  </w:style>
  <w:style w:type="paragraph" w:styleId="Textoindependiente">
    <w:name w:val="Body Text"/>
    <w:basedOn w:val="Normal"/>
    <w:pPr>
      <w:jc w:val="both"/>
    </w:pPr>
    <w:rPr>
      <w:rFonts w:ascii="Tahoma" w:hAnsi="Tahoma" w:cs="Tahoma"/>
      <w:iCs/>
      <w:sz w:val="18"/>
    </w:rPr>
  </w:style>
  <w:style w:type="paragraph" w:customStyle="1" w:styleId="Textoindependiente31">
    <w:name w:val="Texto independiente 31"/>
    <w:basedOn w:val="Normal"/>
    <w:pPr>
      <w:widowControl w:val="0"/>
      <w:overflowPunct w:val="0"/>
      <w:autoSpaceDE w:val="0"/>
      <w:autoSpaceDN w:val="0"/>
      <w:adjustRightInd w:val="0"/>
      <w:jc w:val="both"/>
      <w:textAlignment w:val="baseline"/>
    </w:pPr>
    <w:rPr>
      <w:b/>
      <w:sz w:val="24"/>
      <w:lang w:val="es-CO"/>
    </w:rPr>
  </w:style>
  <w:style w:type="character" w:customStyle="1" w:styleId="InitialStyle">
    <w:name w:val="InitialStyle"/>
    <w:rPr>
      <w:rFonts w:ascii="Courier New" w:hAnsi="Courier New"/>
      <w:color w:val="auto"/>
      <w:spacing w:val="0"/>
      <w:sz w:val="28"/>
    </w:rPr>
  </w:style>
  <w:style w:type="paragraph" w:styleId="Textoindependiente2">
    <w:name w:val="Body Text 2"/>
    <w:basedOn w:val="Normal"/>
    <w:rsid w:val="003227FD"/>
    <w:pPr>
      <w:spacing w:after="120" w:line="480" w:lineRule="auto"/>
    </w:pPr>
  </w:style>
  <w:style w:type="paragraph" w:styleId="Encabezado">
    <w:name w:val="header"/>
    <w:basedOn w:val="Normal"/>
    <w:rsid w:val="00A2785C"/>
    <w:pPr>
      <w:tabs>
        <w:tab w:val="center" w:pos="4252"/>
        <w:tab w:val="right" w:pos="8504"/>
      </w:tabs>
    </w:pPr>
  </w:style>
  <w:style w:type="paragraph" w:styleId="Piedepgina">
    <w:name w:val="footer"/>
    <w:basedOn w:val="Normal"/>
    <w:link w:val="PiedepginaCar"/>
    <w:uiPriority w:val="99"/>
    <w:rsid w:val="00A2785C"/>
    <w:pPr>
      <w:tabs>
        <w:tab w:val="center" w:pos="4252"/>
        <w:tab w:val="right" w:pos="8504"/>
      </w:tabs>
    </w:pPr>
  </w:style>
  <w:style w:type="character" w:styleId="Nmerodepgina">
    <w:name w:val="page number"/>
    <w:basedOn w:val="Fuentedeprrafopredeter"/>
    <w:rsid w:val="0080773A"/>
  </w:style>
  <w:style w:type="paragraph" w:styleId="NormalWeb">
    <w:name w:val="Normal (Web)"/>
    <w:basedOn w:val="Normal"/>
    <w:uiPriority w:val="99"/>
    <w:rsid w:val="00BA450F"/>
    <w:pPr>
      <w:spacing w:before="100" w:beforeAutospacing="1" w:after="100" w:afterAutospacing="1"/>
    </w:pPr>
    <w:rPr>
      <w:rFonts w:ascii="Arial Unicode MS" w:eastAsia="Arial Unicode MS" w:hAnsi="Arial Unicode MS" w:cs="Arial Unicode MS"/>
      <w:sz w:val="24"/>
      <w:szCs w:val="24"/>
    </w:rPr>
  </w:style>
  <w:style w:type="character" w:styleId="Refdecomentario">
    <w:name w:val="annotation reference"/>
    <w:semiHidden/>
    <w:rsid w:val="00885E7D"/>
    <w:rPr>
      <w:sz w:val="16"/>
      <w:szCs w:val="16"/>
    </w:rPr>
  </w:style>
  <w:style w:type="paragraph" w:styleId="Textocomentario">
    <w:name w:val="annotation text"/>
    <w:basedOn w:val="Normal"/>
    <w:semiHidden/>
    <w:rsid w:val="00885E7D"/>
  </w:style>
  <w:style w:type="paragraph" w:styleId="Asuntodelcomentario">
    <w:name w:val="annotation subject"/>
    <w:basedOn w:val="Textocomentario"/>
    <w:next w:val="Textocomentario"/>
    <w:semiHidden/>
    <w:rsid w:val="00885E7D"/>
    <w:rPr>
      <w:b/>
      <w:bCs/>
    </w:rPr>
  </w:style>
  <w:style w:type="paragraph" w:styleId="Textodeglobo">
    <w:name w:val="Balloon Text"/>
    <w:basedOn w:val="Normal"/>
    <w:semiHidden/>
    <w:rsid w:val="00885E7D"/>
    <w:rPr>
      <w:rFonts w:ascii="Tahoma" w:hAnsi="Tahoma" w:cs="Tahoma"/>
      <w:sz w:val="16"/>
      <w:szCs w:val="16"/>
    </w:rPr>
  </w:style>
  <w:style w:type="paragraph" w:customStyle="1" w:styleId="Listavistosa-nfasis11">
    <w:name w:val="Lista vistosa - Énfasis 11"/>
    <w:aliases w:val="Normal. Viñetas"/>
    <w:basedOn w:val="Normal"/>
    <w:link w:val="Listavistosa-nfasis1Car"/>
    <w:uiPriority w:val="34"/>
    <w:qFormat/>
    <w:rsid w:val="009C537F"/>
    <w:pPr>
      <w:spacing w:after="200" w:line="276" w:lineRule="auto"/>
      <w:ind w:left="720"/>
      <w:contextualSpacing/>
    </w:pPr>
    <w:rPr>
      <w:rFonts w:ascii="Calibri" w:hAnsi="Calibri"/>
      <w:sz w:val="22"/>
      <w:szCs w:val="22"/>
      <w:lang w:val="es-CO" w:eastAsia="es-CO"/>
    </w:rPr>
  </w:style>
  <w:style w:type="paragraph" w:customStyle="1" w:styleId="Default">
    <w:name w:val="Default"/>
    <w:rsid w:val="00DF1E66"/>
    <w:pPr>
      <w:autoSpaceDE w:val="0"/>
      <w:autoSpaceDN w:val="0"/>
      <w:adjustRightInd w:val="0"/>
    </w:pPr>
    <w:rPr>
      <w:rFonts w:ascii="Arial" w:hAnsi="Arial" w:cs="Arial"/>
      <w:color w:val="000000"/>
      <w:sz w:val="24"/>
      <w:szCs w:val="24"/>
    </w:rPr>
  </w:style>
  <w:style w:type="paragraph" w:customStyle="1" w:styleId="Cuerpo">
    <w:name w:val="Cuerpo"/>
    <w:rsid w:val="00DF1E66"/>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character" w:customStyle="1" w:styleId="PiedepginaCar">
    <w:name w:val="Pie de página Car"/>
    <w:link w:val="Piedepgina"/>
    <w:uiPriority w:val="99"/>
    <w:rsid w:val="00B4178F"/>
    <w:rPr>
      <w:rFonts w:ascii="Arial" w:hAnsi="Arial"/>
      <w:lang w:val="es-ES" w:eastAsia="es-ES"/>
    </w:rPr>
  </w:style>
  <w:style w:type="paragraph" w:customStyle="1" w:styleId="xmsonormal">
    <w:name w:val="x_msonormal"/>
    <w:basedOn w:val="Normal"/>
    <w:rsid w:val="00715DD5"/>
    <w:pPr>
      <w:spacing w:before="100" w:beforeAutospacing="1" w:after="100" w:afterAutospacing="1"/>
    </w:pPr>
    <w:rPr>
      <w:rFonts w:ascii="Times New Roman" w:hAnsi="Times New Roman"/>
      <w:sz w:val="24"/>
      <w:szCs w:val="24"/>
      <w:lang w:val="es-CO" w:eastAsia="es-CO"/>
    </w:rPr>
  </w:style>
  <w:style w:type="paragraph" w:customStyle="1" w:styleId="xmsolistparagraph">
    <w:name w:val="x_msolistparagraph"/>
    <w:basedOn w:val="Normal"/>
    <w:rsid w:val="00715DD5"/>
    <w:pPr>
      <w:spacing w:before="100" w:beforeAutospacing="1" w:after="100" w:afterAutospacing="1"/>
    </w:pPr>
    <w:rPr>
      <w:rFonts w:ascii="Times New Roman" w:hAnsi="Times New Roman"/>
      <w:sz w:val="24"/>
      <w:szCs w:val="24"/>
      <w:lang w:val="es-CO" w:eastAsia="es-CO"/>
    </w:rPr>
  </w:style>
  <w:style w:type="character" w:customStyle="1" w:styleId="apple-converted-space">
    <w:name w:val="apple-converted-space"/>
    <w:basedOn w:val="Fuentedeprrafopredeter"/>
    <w:rsid w:val="00715DD5"/>
  </w:style>
  <w:style w:type="paragraph" w:customStyle="1" w:styleId="xcuerpo">
    <w:name w:val="x_cuerpo"/>
    <w:basedOn w:val="Normal"/>
    <w:rsid w:val="00715DD5"/>
    <w:pPr>
      <w:spacing w:before="100" w:beforeAutospacing="1" w:after="100" w:afterAutospacing="1"/>
    </w:pPr>
    <w:rPr>
      <w:rFonts w:ascii="Times New Roman" w:hAnsi="Times New Roman"/>
      <w:sz w:val="24"/>
      <w:szCs w:val="24"/>
      <w:lang w:val="es-CO" w:eastAsia="es-CO"/>
    </w:rPr>
  </w:style>
  <w:style w:type="paragraph" w:styleId="Textonotapie">
    <w:name w:val="footnote text"/>
    <w:basedOn w:val="Normal"/>
    <w:link w:val="TextonotapieCar"/>
    <w:uiPriority w:val="99"/>
    <w:rsid w:val="00925058"/>
    <w:rPr>
      <w:rFonts w:ascii="Times" w:eastAsia="Times" w:hAnsi="Times"/>
      <w:lang w:val="en-US"/>
    </w:rPr>
  </w:style>
  <w:style w:type="character" w:customStyle="1" w:styleId="TextonotapieCar">
    <w:name w:val="Texto nota pie Car"/>
    <w:link w:val="Textonotapie"/>
    <w:uiPriority w:val="99"/>
    <w:rsid w:val="00925058"/>
    <w:rPr>
      <w:rFonts w:ascii="Times" w:eastAsia="Times" w:hAnsi="Times"/>
      <w:lang w:val="en-US" w:eastAsia="es-ES"/>
    </w:rPr>
  </w:style>
  <w:style w:type="character" w:styleId="Refdenotaalpie">
    <w:name w:val="footnote reference"/>
    <w:uiPriority w:val="99"/>
    <w:rsid w:val="00925058"/>
    <w:rPr>
      <w:vertAlign w:val="superscript"/>
    </w:rPr>
  </w:style>
  <w:style w:type="paragraph" w:customStyle="1" w:styleId="Cuadrculamedia21">
    <w:name w:val="Cuadrícula media 21"/>
    <w:qFormat/>
    <w:rsid w:val="00236F62"/>
    <w:rPr>
      <w:rFonts w:ascii="Calibri" w:eastAsia="Calibri" w:hAnsi="Calibri"/>
      <w:sz w:val="22"/>
      <w:szCs w:val="22"/>
      <w:lang w:eastAsia="en-US"/>
    </w:rPr>
  </w:style>
  <w:style w:type="character" w:styleId="Textoennegrita">
    <w:name w:val="Strong"/>
    <w:uiPriority w:val="22"/>
    <w:qFormat/>
    <w:rsid w:val="002D2CB2"/>
    <w:rPr>
      <w:b/>
      <w:bCs/>
    </w:rPr>
  </w:style>
  <w:style w:type="paragraph" w:styleId="Ttulo">
    <w:name w:val="Title"/>
    <w:basedOn w:val="Normal"/>
    <w:link w:val="TtuloCar"/>
    <w:qFormat/>
    <w:rsid w:val="00AE03F3"/>
    <w:pPr>
      <w:jc w:val="center"/>
    </w:pPr>
    <w:rPr>
      <w:rFonts w:cs="Arial"/>
      <w:b/>
      <w:bCs/>
      <w:sz w:val="32"/>
      <w:szCs w:val="24"/>
    </w:rPr>
  </w:style>
  <w:style w:type="character" w:customStyle="1" w:styleId="TtuloCar">
    <w:name w:val="Título Car"/>
    <w:link w:val="Ttulo"/>
    <w:rsid w:val="00AE03F3"/>
    <w:rPr>
      <w:rFonts w:ascii="Arial" w:hAnsi="Arial" w:cs="Arial"/>
      <w:b/>
      <w:bCs/>
      <w:sz w:val="32"/>
      <w:szCs w:val="24"/>
      <w:lang w:val="es-ES" w:eastAsia="es-ES"/>
    </w:rPr>
  </w:style>
  <w:style w:type="character" w:customStyle="1" w:styleId="Listavistosa-nfasis1Car">
    <w:name w:val="Lista vistosa - Énfasis 1 Car"/>
    <w:aliases w:val="Normal. Viñetas Car"/>
    <w:link w:val="Listavistosa-nfasis11"/>
    <w:uiPriority w:val="34"/>
    <w:locked/>
    <w:rsid w:val="005629D0"/>
    <w:rPr>
      <w:rFonts w:ascii="Calibri" w:hAnsi="Calibri"/>
      <w:sz w:val="22"/>
      <w:szCs w:val="22"/>
    </w:rPr>
  </w:style>
  <w:style w:type="character" w:styleId="Hipervnculo">
    <w:name w:val="Hyperlink"/>
    <w:uiPriority w:val="99"/>
    <w:unhideWhenUsed/>
    <w:rsid w:val="00F80E07"/>
    <w:rPr>
      <w:color w:val="0000FF"/>
      <w:u w:val="single"/>
    </w:rPr>
  </w:style>
  <w:style w:type="table" w:styleId="Tablaconcuadrcula">
    <w:name w:val="Table Grid"/>
    <w:basedOn w:val="Tablanormal"/>
    <w:rsid w:val="00350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rsid w:val="003650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061526">
      <w:bodyDiv w:val="1"/>
      <w:marLeft w:val="0"/>
      <w:marRight w:val="0"/>
      <w:marTop w:val="0"/>
      <w:marBottom w:val="0"/>
      <w:divBdr>
        <w:top w:val="none" w:sz="0" w:space="0" w:color="auto"/>
        <w:left w:val="none" w:sz="0" w:space="0" w:color="auto"/>
        <w:bottom w:val="none" w:sz="0" w:space="0" w:color="auto"/>
        <w:right w:val="none" w:sz="0" w:space="0" w:color="auto"/>
      </w:divBdr>
      <w:divsChild>
        <w:div w:id="1170489098">
          <w:marLeft w:val="0"/>
          <w:marRight w:val="0"/>
          <w:marTop w:val="0"/>
          <w:marBottom w:val="0"/>
          <w:divBdr>
            <w:top w:val="none" w:sz="0" w:space="0" w:color="auto"/>
            <w:left w:val="none" w:sz="0" w:space="0" w:color="auto"/>
            <w:bottom w:val="none" w:sz="0" w:space="0" w:color="auto"/>
            <w:right w:val="none" w:sz="0" w:space="0" w:color="auto"/>
          </w:divBdr>
        </w:div>
      </w:divsChild>
    </w:div>
    <w:div w:id="328604925">
      <w:bodyDiv w:val="1"/>
      <w:marLeft w:val="0"/>
      <w:marRight w:val="0"/>
      <w:marTop w:val="0"/>
      <w:marBottom w:val="0"/>
      <w:divBdr>
        <w:top w:val="none" w:sz="0" w:space="0" w:color="auto"/>
        <w:left w:val="none" w:sz="0" w:space="0" w:color="auto"/>
        <w:bottom w:val="none" w:sz="0" w:space="0" w:color="auto"/>
        <w:right w:val="none" w:sz="0" w:space="0" w:color="auto"/>
      </w:divBdr>
    </w:div>
    <w:div w:id="378747799">
      <w:bodyDiv w:val="1"/>
      <w:marLeft w:val="0"/>
      <w:marRight w:val="0"/>
      <w:marTop w:val="0"/>
      <w:marBottom w:val="0"/>
      <w:divBdr>
        <w:top w:val="none" w:sz="0" w:space="0" w:color="auto"/>
        <w:left w:val="none" w:sz="0" w:space="0" w:color="auto"/>
        <w:bottom w:val="none" w:sz="0" w:space="0" w:color="auto"/>
        <w:right w:val="none" w:sz="0" w:space="0" w:color="auto"/>
      </w:divBdr>
      <w:divsChild>
        <w:div w:id="576328906">
          <w:marLeft w:val="0"/>
          <w:marRight w:val="0"/>
          <w:marTop w:val="0"/>
          <w:marBottom w:val="0"/>
          <w:divBdr>
            <w:top w:val="none" w:sz="0" w:space="0" w:color="auto"/>
            <w:left w:val="none" w:sz="0" w:space="0" w:color="auto"/>
            <w:bottom w:val="none" w:sz="0" w:space="0" w:color="auto"/>
            <w:right w:val="none" w:sz="0" w:space="0" w:color="auto"/>
          </w:divBdr>
        </w:div>
      </w:divsChild>
    </w:div>
    <w:div w:id="522674520">
      <w:bodyDiv w:val="1"/>
      <w:marLeft w:val="0"/>
      <w:marRight w:val="0"/>
      <w:marTop w:val="0"/>
      <w:marBottom w:val="0"/>
      <w:divBdr>
        <w:top w:val="none" w:sz="0" w:space="0" w:color="auto"/>
        <w:left w:val="none" w:sz="0" w:space="0" w:color="auto"/>
        <w:bottom w:val="none" w:sz="0" w:space="0" w:color="auto"/>
        <w:right w:val="none" w:sz="0" w:space="0" w:color="auto"/>
      </w:divBdr>
    </w:div>
    <w:div w:id="959460742">
      <w:bodyDiv w:val="1"/>
      <w:marLeft w:val="0"/>
      <w:marRight w:val="0"/>
      <w:marTop w:val="0"/>
      <w:marBottom w:val="0"/>
      <w:divBdr>
        <w:top w:val="none" w:sz="0" w:space="0" w:color="auto"/>
        <w:left w:val="none" w:sz="0" w:space="0" w:color="auto"/>
        <w:bottom w:val="none" w:sz="0" w:space="0" w:color="auto"/>
        <w:right w:val="none" w:sz="0" w:space="0" w:color="auto"/>
      </w:divBdr>
    </w:div>
    <w:div w:id="1134756186">
      <w:bodyDiv w:val="1"/>
      <w:marLeft w:val="0"/>
      <w:marRight w:val="0"/>
      <w:marTop w:val="0"/>
      <w:marBottom w:val="0"/>
      <w:divBdr>
        <w:top w:val="none" w:sz="0" w:space="0" w:color="auto"/>
        <w:left w:val="none" w:sz="0" w:space="0" w:color="auto"/>
        <w:bottom w:val="none" w:sz="0" w:space="0" w:color="auto"/>
        <w:right w:val="none" w:sz="0" w:space="0" w:color="auto"/>
      </w:divBdr>
    </w:div>
    <w:div w:id="1275871350">
      <w:bodyDiv w:val="1"/>
      <w:marLeft w:val="0"/>
      <w:marRight w:val="0"/>
      <w:marTop w:val="0"/>
      <w:marBottom w:val="0"/>
      <w:divBdr>
        <w:top w:val="none" w:sz="0" w:space="0" w:color="auto"/>
        <w:left w:val="none" w:sz="0" w:space="0" w:color="auto"/>
        <w:bottom w:val="none" w:sz="0" w:space="0" w:color="auto"/>
        <w:right w:val="none" w:sz="0" w:space="0" w:color="auto"/>
      </w:divBdr>
    </w:div>
    <w:div w:id="1434084038">
      <w:bodyDiv w:val="1"/>
      <w:marLeft w:val="0"/>
      <w:marRight w:val="0"/>
      <w:marTop w:val="0"/>
      <w:marBottom w:val="0"/>
      <w:divBdr>
        <w:top w:val="none" w:sz="0" w:space="0" w:color="auto"/>
        <w:left w:val="none" w:sz="0" w:space="0" w:color="auto"/>
        <w:bottom w:val="none" w:sz="0" w:space="0" w:color="auto"/>
        <w:right w:val="none" w:sz="0" w:space="0" w:color="auto"/>
      </w:divBdr>
    </w:div>
    <w:div w:id="2062749975">
      <w:bodyDiv w:val="1"/>
      <w:marLeft w:val="0"/>
      <w:marRight w:val="0"/>
      <w:marTop w:val="0"/>
      <w:marBottom w:val="0"/>
      <w:divBdr>
        <w:top w:val="none" w:sz="0" w:space="0" w:color="auto"/>
        <w:left w:val="none" w:sz="0" w:space="0" w:color="auto"/>
        <w:bottom w:val="none" w:sz="0" w:space="0" w:color="auto"/>
        <w:right w:val="none" w:sz="0" w:space="0" w:color="auto"/>
      </w:divBdr>
    </w:div>
    <w:div w:id="209855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uncionpublica.gov.co/eva/gestornormativo/norma.php?i=6388"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9D0978E93353D479C8DC9570212469B" ma:contentTypeVersion="14" ma:contentTypeDescription="Crear nuevo documento." ma:contentTypeScope="" ma:versionID="4b9befa75a347ec10a62573a205a13ca">
  <xsd:schema xmlns:xsd="http://www.w3.org/2001/XMLSchema" xmlns:xs="http://www.w3.org/2001/XMLSchema" xmlns:p="http://schemas.microsoft.com/office/2006/metadata/properties" xmlns:ns3="4171c87d-3dc0-46bf-af47-d6e497ee0d41" xmlns:ns4="343a738a-e1be-4a84-8cf9-e13d3dd389bf" targetNamespace="http://schemas.microsoft.com/office/2006/metadata/properties" ma:root="true" ma:fieldsID="004ee174b04090ed933dad2e989209ce" ns3:_="" ns4:_="">
    <xsd:import namespace="4171c87d-3dc0-46bf-af47-d6e497ee0d41"/>
    <xsd:import namespace="343a738a-e1be-4a84-8cf9-e13d3dd389b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1c87d-3dc0-46bf-af47-d6e497ee0d41"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3a738a-e1be-4a84-8cf9-e13d3dd389b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43a738a-e1be-4a84-8cf9-e13d3dd389bf"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BAD9C4-874B-465E-8F6C-E5CCB23D4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1c87d-3dc0-46bf-af47-d6e497ee0d41"/>
    <ds:schemaRef ds:uri="343a738a-e1be-4a84-8cf9-e13d3dd389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4A2C0C-43A8-4E0A-B224-1B702EFA9AFB}">
  <ds:schemaRefs>
    <ds:schemaRef ds:uri="http://schemas.microsoft.com/sharepoint/v3/contenttype/forms"/>
  </ds:schemaRefs>
</ds:datastoreItem>
</file>

<file path=customXml/itemProps3.xml><?xml version="1.0" encoding="utf-8"?>
<ds:datastoreItem xmlns:ds="http://schemas.openxmlformats.org/officeDocument/2006/customXml" ds:itemID="{F4E3DD87-C0EE-4C7A-9939-5A0A5C323E27}">
  <ds:schemaRefs>
    <ds:schemaRef ds:uri="http://schemas.microsoft.com/office/2006/metadata/properties"/>
    <ds:schemaRef ds:uri="http://schemas.microsoft.com/office/infopath/2007/PartnerControls"/>
    <ds:schemaRef ds:uri="343a738a-e1be-4a84-8cf9-e13d3dd389bf"/>
  </ds:schemaRefs>
</ds:datastoreItem>
</file>

<file path=customXml/itemProps4.xml><?xml version="1.0" encoding="utf-8"?>
<ds:datastoreItem xmlns:ds="http://schemas.openxmlformats.org/officeDocument/2006/customXml" ds:itemID="{91144820-3BC2-4C6E-A2BA-EB9826C29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2827</Words>
  <Characters>15270</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dafp</Company>
  <LinksUpToDate>false</LinksUpToDate>
  <CharactersWithSpaces>18043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oficina de sistemas</dc:creator>
  <cp:keywords/>
  <dc:description/>
  <cp:lastModifiedBy>Erney Gonzalo Ramos Guataquira</cp:lastModifiedBy>
  <cp:revision>3</cp:revision>
  <cp:lastPrinted>2019-07-08T22:30:00Z</cp:lastPrinted>
  <dcterms:created xsi:type="dcterms:W3CDTF">2025-12-30T17:30:00Z</dcterms:created>
  <dcterms:modified xsi:type="dcterms:W3CDTF">2025-12-30T17:30:00Z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0x01010039D0978E93353D479C8DC9570212469B</vt:lpwstr>
  </property>
  <property fmtid="{D5CDD505-2E9C-101B-9397-08002B2CF9AE}" pid="3" name="MSIP_Label_f8da2c01-e402-4fc9-beb9-bac87f3a3b75_Enabled">
    <vt:lpwstr>true</vt:lpwstr>
  </property>
  <property fmtid="{D5CDD505-2E9C-101B-9397-08002B2CF9AE}" pid="4" name="MSIP_Label_f8da2c01-e402-4fc9-beb9-bac87f3a3b75_SetDate">
    <vt:lpwstr>2023-05-11T19:52:28Z</vt:lpwstr>
  </property>
  <property fmtid="{D5CDD505-2E9C-101B-9397-08002B2CF9AE}" pid="5" name="MSIP_Label_f8da2c01-e402-4fc9-beb9-bac87f3a3b75_Method">
    <vt:lpwstr>Privileged</vt:lpwstr>
  </property>
  <property fmtid="{D5CDD505-2E9C-101B-9397-08002B2CF9AE}" pid="6" name="MSIP_Label_f8da2c01-e402-4fc9-beb9-bac87f3a3b75_Name">
    <vt:lpwstr>f8da2c01-e402-4fc9-beb9-bac87f3a3b75</vt:lpwstr>
  </property>
  <property fmtid="{D5CDD505-2E9C-101B-9397-08002B2CF9AE}" pid="7" name="MSIP_Label_f8da2c01-e402-4fc9-beb9-bac87f3a3b75_SiteId">
    <vt:lpwstr>1a0673c6-24e1-476d-bb4d-ba6a91a3c588</vt:lpwstr>
  </property>
  <property fmtid="{D5CDD505-2E9C-101B-9397-08002B2CF9AE}" pid="8" name="MSIP_Label_f8da2c01-e402-4fc9-beb9-bac87f3a3b75_ActionId">
    <vt:lpwstr>0cfa8002-b063-4185-b394-62ab8b253e5f</vt:lpwstr>
  </property>
  <property fmtid="{D5CDD505-2E9C-101B-9397-08002B2CF9AE}" pid="9" name="MSIP_Label_f8da2c01-e402-4fc9-beb9-bac87f3a3b75_ContentBits">
    <vt:lpwstr>2</vt:lpwstr>
  </property>
</Properties>
</file>