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922" w:type="dxa"/>
        <w:tblBorders>
          <w:top w:val="single" w:sz="4" w:space="0" w:color="auto"/>
          <w:left w:val="single" w:sz="4" w:space="0" w:color="auto"/>
          <w:bottom w:val="single" w:sz="4" w:space="0" w:color="auto"/>
          <w:right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434"/>
        <w:gridCol w:w="4221"/>
        <w:gridCol w:w="3119"/>
      </w:tblGrid>
      <w:tr w:rsidR="005C4522" w:rsidRPr="009F7CED" w14:paraId="37976A32"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2221798A" w14:textId="77777777" w:rsidR="0026513E" w:rsidRPr="008C703D" w:rsidRDefault="00795C6B" w:rsidP="002264B8">
            <w:pPr>
              <w:pStyle w:val="Ttulo2"/>
              <w:ind w:right="72"/>
              <w:jc w:val="left"/>
              <w:rPr>
                <w:rFonts w:cs="Arial"/>
                <w:bCs/>
                <w:sz w:val="22"/>
                <w:szCs w:val="22"/>
              </w:rPr>
            </w:pPr>
            <w:r w:rsidRPr="008C703D">
              <w:rPr>
                <w:rFonts w:cs="Arial"/>
                <w:sz w:val="22"/>
                <w:szCs w:val="22"/>
                <w:lang w:val="es-CO"/>
              </w:rPr>
              <w:t>Entidad</w:t>
            </w:r>
            <w:r w:rsidR="00086B16" w:rsidRPr="008C703D">
              <w:rPr>
                <w:rFonts w:cs="Arial"/>
                <w:sz w:val="22"/>
                <w:szCs w:val="22"/>
                <w:lang w:val="es-CO"/>
              </w:rPr>
              <w:t xml:space="preserve"> </w:t>
            </w:r>
            <w:r w:rsidRPr="008C703D">
              <w:rPr>
                <w:rFonts w:cs="Arial"/>
                <w:sz w:val="22"/>
                <w:szCs w:val="22"/>
                <w:lang w:val="es-CO"/>
              </w:rPr>
              <w:t>originadora</w:t>
            </w:r>
            <w:r w:rsidR="00293F29" w:rsidRPr="008C703D">
              <w:rPr>
                <w:rFonts w:cs="Arial"/>
                <w:sz w:val="22"/>
                <w:szCs w:val="22"/>
                <w:lang w:val="es-CO"/>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9406CB6" w14:textId="1B2406D9" w:rsidR="0026513E" w:rsidRPr="00084B49" w:rsidRDefault="00734827" w:rsidP="00795C6B">
            <w:pPr>
              <w:pStyle w:val="Ttulo2"/>
              <w:ind w:left="72" w:right="72"/>
              <w:jc w:val="left"/>
              <w:rPr>
                <w:rFonts w:cs="Arial"/>
                <w:b w:val="0"/>
                <w:i/>
                <w:color w:val="808080"/>
                <w:sz w:val="22"/>
                <w:szCs w:val="22"/>
              </w:rPr>
            </w:pPr>
            <w:r w:rsidRPr="00F6179C">
              <w:rPr>
                <w:rFonts w:cs="Arial"/>
                <w:bCs/>
                <w:i/>
                <w:sz w:val="22"/>
                <w:szCs w:val="22"/>
              </w:rPr>
              <w:t>Ministerio de Tecnologías de la Información y las Comunicaciones</w:t>
            </w:r>
          </w:p>
        </w:tc>
      </w:tr>
      <w:tr w:rsidR="005C4522" w:rsidRPr="009F7CED" w14:paraId="53D25FCD"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46D1BF2E" w14:textId="77777777" w:rsidR="00C47F73" w:rsidRPr="008C703D" w:rsidRDefault="0026513E" w:rsidP="002264B8">
            <w:pPr>
              <w:pStyle w:val="Ttulo2"/>
              <w:ind w:right="72"/>
              <w:jc w:val="left"/>
              <w:rPr>
                <w:rFonts w:cs="Arial"/>
                <w:bCs/>
                <w:sz w:val="22"/>
                <w:szCs w:val="22"/>
              </w:rPr>
            </w:pPr>
            <w:r w:rsidRPr="008C703D">
              <w:rPr>
                <w:rFonts w:cs="Arial"/>
                <w:bCs/>
                <w:sz w:val="22"/>
                <w:szCs w:val="22"/>
              </w:rPr>
              <w:t>Fecha</w:t>
            </w:r>
            <w:r w:rsidR="00BB545F" w:rsidRPr="008C703D">
              <w:rPr>
                <w:rFonts w:cs="Arial"/>
                <w:bCs/>
                <w:sz w:val="22"/>
                <w:szCs w:val="22"/>
              </w:rPr>
              <w:t xml:space="preserve"> (</w:t>
            </w:r>
            <w:proofErr w:type="spellStart"/>
            <w:r w:rsidR="00BB545F" w:rsidRPr="008C703D">
              <w:rPr>
                <w:rFonts w:cs="Arial"/>
                <w:bCs/>
                <w:sz w:val="22"/>
                <w:szCs w:val="22"/>
              </w:rPr>
              <w:t>dd</w:t>
            </w:r>
            <w:proofErr w:type="spellEnd"/>
            <w:r w:rsidR="00BB545F" w:rsidRPr="008C703D">
              <w:rPr>
                <w:rFonts w:cs="Arial"/>
                <w:bCs/>
                <w:sz w:val="22"/>
                <w:szCs w:val="22"/>
              </w:rPr>
              <w:t>/mm/</w:t>
            </w:r>
            <w:proofErr w:type="spellStart"/>
            <w:r w:rsidR="00BB545F" w:rsidRPr="008C703D">
              <w:rPr>
                <w:rFonts w:cs="Arial"/>
                <w:bCs/>
                <w:sz w:val="22"/>
                <w:szCs w:val="22"/>
              </w:rPr>
              <w:t>aa</w:t>
            </w:r>
            <w:proofErr w:type="spellEnd"/>
            <w:r w:rsidR="00BB545F" w:rsidRPr="008C703D">
              <w:rPr>
                <w:rFonts w:cs="Arial"/>
                <w:bCs/>
                <w:sz w:val="22"/>
                <w:szCs w:val="22"/>
              </w:rPr>
              <w:t>)</w:t>
            </w:r>
            <w:r w:rsidR="00293F29" w:rsidRPr="008C703D">
              <w:rPr>
                <w:rFonts w:cs="Arial"/>
                <w:bCs/>
                <w:sz w:val="22"/>
                <w:szCs w:val="22"/>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7A01855" w14:textId="77777777" w:rsidR="00C47F73" w:rsidRPr="009F7CED" w:rsidRDefault="00795C6B" w:rsidP="005F30C3">
            <w:pPr>
              <w:pStyle w:val="Ttulo2"/>
              <w:ind w:left="72" w:right="72"/>
              <w:jc w:val="left"/>
              <w:rPr>
                <w:rFonts w:cs="Arial"/>
                <w:b w:val="0"/>
                <w:sz w:val="22"/>
                <w:szCs w:val="22"/>
              </w:rPr>
            </w:pPr>
            <w:r w:rsidRPr="00084B49">
              <w:rPr>
                <w:rFonts w:cs="Arial"/>
                <w:b w:val="0"/>
                <w:i/>
                <w:color w:val="808080"/>
                <w:sz w:val="22"/>
                <w:szCs w:val="22"/>
              </w:rPr>
              <w:t>Indique la fecha en que se presenta a Secretaría Jurídica de Presidencia</w:t>
            </w:r>
          </w:p>
        </w:tc>
      </w:tr>
      <w:tr w:rsidR="005C4522" w:rsidRPr="009F7CED" w14:paraId="26AE5D51"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48B21D1B" w14:textId="77777777" w:rsidR="0059316B" w:rsidRPr="008C703D" w:rsidRDefault="00A55DB6" w:rsidP="002264B8">
            <w:pPr>
              <w:pStyle w:val="Ttulo2"/>
              <w:ind w:right="72"/>
              <w:jc w:val="left"/>
              <w:rPr>
                <w:rFonts w:cs="Arial"/>
                <w:bCs/>
                <w:sz w:val="22"/>
                <w:szCs w:val="22"/>
              </w:rPr>
            </w:pPr>
            <w:r w:rsidRPr="008C703D">
              <w:rPr>
                <w:rFonts w:cs="Arial"/>
                <w:bCs/>
                <w:sz w:val="22"/>
                <w:szCs w:val="22"/>
              </w:rPr>
              <w:t xml:space="preserve">Proyecto de </w:t>
            </w:r>
            <w:r w:rsidR="00587695" w:rsidRPr="008C703D">
              <w:rPr>
                <w:rFonts w:cs="Arial"/>
                <w:bCs/>
                <w:sz w:val="22"/>
                <w:szCs w:val="22"/>
              </w:rPr>
              <w:t>D</w:t>
            </w:r>
            <w:r w:rsidRPr="008C703D">
              <w:rPr>
                <w:rFonts w:cs="Arial"/>
                <w:bCs/>
                <w:sz w:val="22"/>
                <w:szCs w:val="22"/>
              </w:rPr>
              <w:t>ecreto</w:t>
            </w:r>
            <w:r w:rsidR="00795C6B" w:rsidRPr="008C703D">
              <w:rPr>
                <w:rFonts w:cs="Arial"/>
                <w:bCs/>
                <w:sz w:val="22"/>
                <w:szCs w:val="22"/>
              </w:rPr>
              <w:t>/Resolución</w:t>
            </w:r>
            <w:r w:rsidR="00293F29" w:rsidRPr="008C703D">
              <w:rPr>
                <w:rFonts w:cs="Arial"/>
                <w:bCs/>
                <w:sz w:val="22"/>
                <w:szCs w:val="22"/>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4136248" w14:textId="5D2C2085" w:rsidR="001F238A" w:rsidRPr="00357BC8" w:rsidRDefault="00734827" w:rsidP="00734827">
            <w:pPr>
              <w:pStyle w:val="Ttulo2"/>
              <w:ind w:left="72" w:right="72"/>
              <w:jc w:val="both"/>
              <w:rPr>
                <w:rFonts w:cs="Arial"/>
                <w:i/>
                <w:lang w:val="es-ES_tradnl"/>
              </w:rPr>
            </w:pPr>
            <w:r w:rsidRPr="00357BC8">
              <w:rPr>
                <w:rFonts w:cs="Arial"/>
                <w:i/>
                <w:iCs/>
              </w:rPr>
              <w:t xml:space="preserve">“Por la cual se modifica la Resolución 1075 de 2020 y se le adicionan el capítulo V y los Anexos I, II III y IV para establecer requisitos, condiciones particulares, así como el procedimiento para participar en procesos de selección objetiva, para otorgar permisos de uso del espectro radioeléctrico </w:t>
            </w:r>
            <w:r w:rsidRPr="00357BC8">
              <w:rPr>
                <w:rFonts w:cs="Arial"/>
                <w:i/>
                <w:iCs/>
                <w:lang w:val="es-ES_tradnl"/>
              </w:rPr>
              <w:t xml:space="preserve">remanente </w:t>
            </w:r>
            <w:r w:rsidRPr="00357BC8">
              <w:rPr>
                <w:rFonts w:cs="Arial"/>
                <w:i/>
                <w:iCs/>
              </w:rPr>
              <w:t>a nivel nacional en las bandas atribuidas al servicio de radiocomunicaciones móviles e identificadas para las telecomunicaciones móviles internacionales (IMT)”</w:t>
            </w:r>
          </w:p>
        </w:tc>
      </w:tr>
      <w:tr w:rsidR="00DF60FD" w:rsidRPr="009F7CED" w14:paraId="421EB457" w14:textId="77777777" w:rsidTr="0075705D">
        <w:trPr>
          <w:trHeight w:val="674"/>
        </w:trPr>
        <w:tc>
          <w:tcPr>
            <w:tcW w:w="10774" w:type="dxa"/>
            <w:gridSpan w:val="3"/>
            <w:tcBorders>
              <w:top w:val="single" w:sz="4" w:space="0" w:color="auto"/>
            </w:tcBorders>
            <w:shd w:val="clear" w:color="auto" w:fill="FFFFFF"/>
            <w:vAlign w:val="center"/>
          </w:tcPr>
          <w:p w14:paraId="0A3EBB54" w14:textId="77777777" w:rsidR="006315B4" w:rsidRPr="009F7CED" w:rsidRDefault="006315B4" w:rsidP="0075705D">
            <w:pPr>
              <w:autoSpaceDE w:val="0"/>
              <w:autoSpaceDN w:val="0"/>
              <w:adjustRightInd w:val="0"/>
              <w:jc w:val="both"/>
              <w:rPr>
                <w:rFonts w:eastAsia="Calibri" w:cs="Arial"/>
                <w:sz w:val="22"/>
                <w:szCs w:val="22"/>
                <w:lang w:val="es-CO" w:eastAsia="en-US"/>
              </w:rPr>
            </w:pPr>
          </w:p>
          <w:p w14:paraId="6CC271FA" w14:textId="77777777" w:rsidR="00734827" w:rsidRPr="00DF4F7F" w:rsidRDefault="00734827" w:rsidP="00734827">
            <w:pPr>
              <w:numPr>
                <w:ilvl w:val="0"/>
                <w:numId w:val="44"/>
              </w:numPr>
              <w:ind w:left="494"/>
              <w:rPr>
                <w:rFonts w:cs="Arial"/>
                <w:b/>
                <w:bCs/>
                <w:color w:val="000000"/>
                <w:sz w:val="22"/>
                <w:szCs w:val="22"/>
                <w:lang w:val="es-CO"/>
              </w:rPr>
            </w:pPr>
            <w:r w:rsidRPr="043D31BE">
              <w:rPr>
                <w:rFonts w:cs="Arial"/>
                <w:b/>
                <w:bCs/>
                <w:color w:val="000000" w:themeColor="text1"/>
                <w:sz w:val="22"/>
                <w:szCs w:val="22"/>
                <w:lang w:val="es-CO"/>
              </w:rPr>
              <w:t>IDENTIFICACIÓN DEL PROBLEMA, NECESIDAD U OPORTUNIDAD QUE SE PRETENDE ABORDAR MEDIANTE UNA INTERVENCIÓN NORMATIVA.</w:t>
            </w:r>
          </w:p>
          <w:p w14:paraId="1863DDEB" w14:textId="77777777" w:rsidR="00734827" w:rsidRPr="005F30C3" w:rsidRDefault="00734827" w:rsidP="00734827">
            <w:pPr>
              <w:ind w:left="494"/>
              <w:rPr>
                <w:rFonts w:cs="Arial"/>
                <w:b/>
                <w:color w:val="000000"/>
                <w:sz w:val="22"/>
                <w:szCs w:val="22"/>
                <w:lang w:val="es-CO"/>
              </w:rPr>
            </w:pPr>
          </w:p>
          <w:p w14:paraId="7273F361" w14:textId="77777777" w:rsidR="00734827" w:rsidRDefault="00734827" w:rsidP="00734827">
            <w:pPr>
              <w:jc w:val="both"/>
              <w:rPr>
                <w:rFonts w:cs="Arial"/>
                <w:color w:val="000000" w:themeColor="text1"/>
                <w:sz w:val="22"/>
                <w:szCs w:val="22"/>
                <w:lang w:val="es-CO"/>
              </w:rPr>
            </w:pPr>
            <w:r>
              <w:rPr>
                <w:rFonts w:cs="Arial"/>
                <w:color w:val="000000" w:themeColor="text1"/>
                <w:sz w:val="22"/>
                <w:szCs w:val="22"/>
                <w:lang w:val="es-CO"/>
              </w:rPr>
              <w:t>De conformidad con lo dispuesto en</w:t>
            </w:r>
            <w:r w:rsidRPr="76DE0C70">
              <w:rPr>
                <w:rFonts w:cs="Arial"/>
                <w:color w:val="000000" w:themeColor="text1"/>
                <w:sz w:val="22"/>
                <w:szCs w:val="22"/>
                <w:lang w:val="es-CO"/>
              </w:rPr>
              <w:t xml:space="preserve"> los artículos 75, 101 y 102 de la Constitución Política</w:t>
            </w:r>
            <w:r>
              <w:rPr>
                <w:rFonts w:cs="Arial"/>
                <w:color w:val="000000" w:themeColor="text1"/>
                <w:sz w:val="22"/>
                <w:szCs w:val="22"/>
                <w:lang w:val="es-CO"/>
              </w:rPr>
              <w:t>,</w:t>
            </w:r>
            <w:r w:rsidRPr="76DE0C70">
              <w:rPr>
                <w:rFonts w:cs="Arial"/>
                <w:color w:val="000000" w:themeColor="text1"/>
                <w:sz w:val="22"/>
                <w:szCs w:val="22"/>
                <w:lang w:val="es-CO"/>
              </w:rPr>
              <w:t xml:space="preserve"> el espectro electromagnético es un bien público que pertenece a la Nación y como tal, es </w:t>
            </w:r>
            <w:r w:rsidRPr="3C44D529">
              <w:rPr>
                <w:rFonts w:cs="Arial"/>
                <w:color w:val="000000" w:themeColor="text1"/>
                <w:sz w:val="22"/>
                <w:szCs w:val="22"/>
                <w:lang w:val="es-CO"/>
              </w:rPr>
              <w:t>inalienable</w:t>
            </w:r>
            <w:r w:rsidRPr="76DE0C70">
              <w:rPr>
                <w:rFonts w:cs="Arial"/>
                <w:color w:val="000000" w:themeColor="text1"/>
                <w:sz w:val="22"/>
                <w:szCs w:val="22"/>
                <w:lang w:val="es-CO"/>
              </w:rPr>
              <w:t xml:space="preserve"> e imprescriptible y está sujeto a la gestión y control del Estado, por lo cual su uso debe responder al interés general. Así, de acuerdo con lo establecido en el artículo 75 de la Constitución Política, el proceso de asignación de permisos de uso del espectro electromagnético debe estar orientado a garantizar el libre acceso en condiciones de igualdad y a evitar prácticas que faciliten la concentración de medios o prácticas monopolísticas</w:t>
            </w:r>
            <w:r>
              <w:rPr>
                <w:rFonts w:cs="Arial"/>
                <w:color w:val="000000" w:themeColor="text1"/>
                <w:sz w:val="22"/>
                <w:szCs w:val="22"/>
                <w:lang w:val="es-CO"/>
              </w:rPr>
              <w:t>.</w:t>
            </w:r>
          </w:p>
          <w:p w14:paraId="654CCB0B" w14:textId="77777777" w:rsidR="00734827" w:rsidRDefault="00734827" w:rsidP="00734827">
            <w:pPr>
              <w:jc w:val="both"/>
              <w:rPr>
                <w:rFonts w:cs="Arial"/>
                <w:color w:val="000000" w:themeColor="text1"/>
                <w:sz w:val="22"/>
                <w:szCs w:val="22"/>
                <w:lang w:val="es-CO"/>
              </w:rPr>
            </w:pPr>
          </w:p>
          <w:p w14:paraId="4E165A1C" w14:textId="77777777" w:rsidR="00734827" w:rsidRPr="00176D22" w:rsidRDefault="00734827" w:rsidP="00734827">
            <w:pPr>
              <w:jc w:val="both"/>
              <w:rPr>
                <w:rFonts w:cs="Arial"/>
                <w:color w:val="000000" w:themeColor="text1"/>
                <w:sz w:val="22"/>
                <w:szCs w:val="22"/>
                <w:lang w:val="es-CO"/>
              </w:rPr>
            </w:pPr>
            <w:r w:rsidRPr="00176D22">
              <w:rPr>
                <w:rFonts w:cs="Arial"/>
                <w:color w:val="000000" w:themeColor="text1"/>
                <w:sz w:val="22"/>
                <w:szCs w:val="22"/>
                <w:lang w:val="es-CO"/>
              </w:rPr>
              <w:t xml:space="preserve">En este sentido, el artículo 2 de la Ley 1341 de 2009, modificado por el artículo 3 de la Ley 1978 de 2019, estableció los principios que orientan la intervención del Estado en la provisión de redes y servicios de telecomunicaciones y en el uso del espectro radioeléctrico, </w:t>
            </w:r>
            <w:r>
              <w:rPr>
                <w:rFonts w:cs="Arial"/>
                <w:color w:val="000000" w:themeColor="text1"/>
                <w:sz w:val="22"/>
                <w:szCs w:val="22"/>
                <w:lang w:val="es-CO"/>
              </w:rPr>
              <w:t>señalando,</w:t>
            </w:r>
            <w:r w:rsidRPr="00176D22">
              <w:rPr>
                <w:rFonts w:cs="Arial"/>
                <w:color w:val="000000" w:themeColor="text1"/>
                <w:sz w:val="22"/>
                <w:szCs w:val="22"/>
                <w:lang w:val="es-CO"/>
              </w:rPr>
              <w:t xml:space="preserve"> entre otros</w:t>
            </w:r>
            <w:r>
              <w:rPr>
                <w:rFonts w:cs="Arial"/>
                <w:color w:val="000000" w:themeColor="text1"/>
                <w:sz w:val="22"/>
                <w:szCs w:val="22"/>
                <w:lang w:val="es-CO"/>
              </w:rPr>
              <w:t>,</w:t>
            </w:r>
            <w:r w:rsidRPr="00176D22">
              <w:rPr>
                <w:rFonts w:cs="Arial"/>
                <w:color w:val="000000" w:themeColor="text1"/>
                <w:sz w:val="22"/>
                <w:szCs w:val="22"/>
                <w:lang w:val="es-CO"/>
              </w:rPr>
              <w:t xml:space="preserve"> que el Estado debe: </w:t>
            </w:r>
          </w:p>
          <w:p w14:paraId="4A8BBA57" w14:textId="77777777" w:rsidR="00734827" w:rsidRPr="00176D22" w:rsidRDefault="00734827" w:rsidP="00734827">
            <w:pPr>
              <w:jc w:val="both"/>
              <w:rPr>
                <w:rFonts w:cs="Arial"/>
                <w:color w:val="000000" w:themeColor="text1"/>
                <w:sz w:val="22"/>
                <w:szCs w:val="22"/>
                <w:lang w:val="es-CO"/>
              </w:rPr>
            </w:pPr>
          </w:p>
          <w:p w14:paraId="6D787119" w14:textId="77777777" w:rsidR="00734827" w:rsidRDefault="00734827" w:rsidP="00734827">
            <w:pPr>
              <w:pStyle w:val="Prrafodelista"/>
              <w:numPr>
                <w:ilvl w:val="0"/>
                <w:numId w:val="46"/>
              </w:numPr>
              <w:jc w:val="both"/>
              <w:rPr>
                <w:rFonts w:cs="Arial"/>
                <w:color w:val="000000" w:themeColor="text1"/>
                <w:sz w:val="22"/>
                <w:szCs w:val="22"/>
                <w:lang w:val="es-CO"/>
              </w:rPr>
            </w:pPr>
            <w:r>
              <w:rPr>
                <w:rFonts w:cs="Arial"/>
                <w:color w:val="000000" w:themeColor="text1"/>
                <w:sz w:val="22"/>
                <w:szCs w:val="22"/>
                <w:lang w:val="es-CO"/>
              </w:rPr>
              <w:t>P</w:t>
            </w:r>
            <w:r w:rsidRPr="00176D22">
              <w:rPr>
                <w:rFonts w:cs="Arial"/>
                <w:color w:val="000000" w:themeColor="text1"/>
                <w:sz w:val="22"/>
                <w:szCs w:val="22"/>
                <w:lang w:val="es-CO"/>
              </w:rPr>
              <w:t xml:space="preserve">ropiciar escenarios de libre competencia que incentiven la inversión actual y futura en el sector de las Tecnologías de la Información y las Comunicaciones (en adelante, las “TIC”) y la concurrencia de mercado en condiciones de igualdad; </w:t>
            </w:r>
          </w:p>
          <w:p w14:paraId="4097AF96" w14:textId="77777777" w:rsidR="00734827" w:rsidRDefault="00734827" w:rsidP="00734827">
            <w:pPr>
              <w:pStyle w:val="Prrafodelista"/>
              <w:numPr>
                <w:ilvl w:val="0"/>
                <w:numId w:val="46"/>
              </w:numPr>
              <w:jc w:val="both"/>
              <w:rPr>
                <w:rFonts w:cs="Arial"/>
                <w:color w:val="000000" w:themeColor="text1"/>
                <w:sz w:val="22"/>
                <w:szCs w:val="22"/>
                <w:lang w:val="es-CO"/>
              </w:rPr>
            </w:pPr>
            <w:r>
              <w:rPr>
                <w:rFonts w:cs="Arial"/>
                <w:color w:val="000000" w:themeColor="text1"/>
                <w:sz w:val="22"/>
                <w:szCs w:val="22"/>
                <w:lang w:val="es-CO"/>
              </w:rPr>
              <w:t>F</w:t>
            </w:r>
            <w:r w:rsidRPr="00176D22">
              <w:rPr>
                <w:rFonts w:cs="Arial"/>
                <w:color w:val="000000" w:themeColor="text1"/>
                <w:sz w:val="22"/>
                <w:szCs w:val="22"/>
                <w:lang w:val="es-CO"/>
              </w:rPr>
              <w:t xml:space="preserve">omentar el despliegue y uso eficiente de la infraestructura para la provisión de redes de telecomunicaciones y los servicios que a través de ellas se puedan prestar, como la promoción del óptimo aprovechamiento de un recurso escaso como el espectro radioeléctrico; </w:t>
            </w:r>
          </w:p>
          <w:p w14:paraId="1637EFBA" w14:textId="77777777" w:rsidR="00734827" w:rsidRDefault="00734827" w:rsidP="00734827">
            <w:pPr>
              <w:pStyle w:val="Prrafodelista"/>
              <w:numPr>
                <w:ilvl w:val="0"/>
                <w:numId w:val="46"/>
              </w:numPr>
              <w:jc w:val="both"/>
              <w:rPr>
                <w:rFonts w:cs="Arial"/>
                <w:color w:val="000000" w:themeColor="text1"/>
                <w:sz w:val="22"/>
                <w:szCs w:val="22"/>
                <w:lang w:val="es-CO"/>
              </w:rPr>
            </w:pPr>
            <w:r>
              <w:rPr>
                <w:rFonts w:cs="Arial"/>
                <w:color w:val="000000" w:themeColor="text1"/>
                <w:sz w:val="22"/>
                <w:szCs w:val="22"/>
                <w:lang w:val="es-CO"/>
              </w:rPr>
              <w:t>G</w:t>
            </w:r>
            <w:r w:rsidRPr="00176D22">
              <w:rPr>
                <w:rFonts w:cs="Arial"/>
                <w:color w:val="000000" w:themeColor="text1"/>
                <w:sz w:val="22"/>
                <w:szCs w:val="22"/>
                <w:lang w:val="es-CO"/>
              </w:rPr>
              <w:t xml:space="preserve">arantizar la libre adopción de tecnologías, teniendo en cuenta recomendaciones, conceptos y normativas de los organismos internacionales competentes e idóneos en la materia, que permitan fomentar la eficiente prestación de servicios, contenidos y aplicaciones que usen Tecnologías de la Información y las Comunicaciones y garantizar la libre y leal competencia, y que su adopción sea armónica con el desarrollo ambiental sostenible (neutralidad tecnológica); </w:t>
            </w:r>
          </w:p>
          <w:p w14:paraId="7AF46B10" w14:textId="77777777" w:rsidR="00734827" w:rsidRDefault="00734827" w:rsidP="00734827">
            <w:pPr>
              <w:pStyle w:val="Prrafodelista"/>
              <w:numPr>
                <w:ilvl w:val="0"/>
                <w:numId w:val="46"/>
              </w:numPr>
              <w:jc w:val="both"/>
              <w:rPr>
                <w:rFonts w:cs="Arial"/>
                <w:color w:val="000000" w:themeColor="text1"/>
                <w:sz w:val="22"/>
                <w:szCs w:val="22"/>
                <w:lang w:val="es-CO"/>
              </w:rPr>
            </w:pPr>
            <w:r>
              <w:rPr>
                <w:rFonts w:cs="Arial"/>
                <w:color w:val="000000" w:themeColor="text1"/>
                <w:sz w:val="22"/>
                <w:szCs w:val="22"/>
                <w:lang w:val="es-CO"/>
              </w:rPr>
              <w:t>P</w:t>
            </w:r>
            <w:r w:rsidRPr="00176D22">
              <w:rPr>
                <w:rFonts w:cs="Arial"/>
                <w:color w:val="000000" w:themeColor="text1"/>
                <w:sz w:val="22"/>
                <w:szCs w:val="22"/>
                <w:lang w:val="es-CO"/>
              </w:rPr>
              <w:t xml:space="preserve">romover el óptimo aprovechamiento de los recursos escasos para generar, entre otros aspectos, calidad y eficiencia en beneficio de los usuarios; </w:t>
            </w:r>
          </w:p>
          <w:p w14:paraId="0DBC435F" w14:textId="77777777" w:rsidR="00734827" w:rsidRPr="00176D22" w:rsidRDefault="00734827" w:rsidP="00734827">
            <w:pPr>
              <w:pStyle w:val="Prrafodelista"/>
              <w:numPr>
                <w:ilvl w:val="0"/>
                <w:numId w:val="46"/>
              </w:numPr>
              <w:jc w:val="both"/>
              <w:rPr>
                <w:rFonts w:cs="Arial"/>
                <w:color w:val="000000" w:themeColor="text1"/>
                <w:sz w:val="22"/>
                <w:szCs w:val="22"/>
                <w:lang w:val="es-CO"/>
              </w:rPr>
            </w:pPr>
            <w:r>
              <w:rPr>
                <w:rFonts w:cs="Arial"/>
                <w:color w:val="000000" w:themeColor="text1"/>
                <w:sz w:val="22"/>
                <w:szCs w:val="22"/>
                <w:lang w:val="es-CO"/>
              </w:rPr>
              <w:t>P</w:t>
            </w:r>
            <w:r w:rsidRPr="00176D22">
              <w:rPr>
                <w:rFonts w:cs="Arial"/>
                <w:color w:val="000000" w:themeColor="text1"/>
                <w:sz w:val="22"/>
                <w:szCs w:val="22"/>
                <w:lang w:val="es-CO"/>
              </w:rPr>
              <w:t>ropiciar a todo colombiano el derecho al acceso a las tecnologías de la información y las comunicaciones básicas, que permitan el ejercicio pleno de derechos fundamentales constitucionales como la libertad de expresión y de difundir su pensamiento y opiniones, el libre desarrollo de la personalidad, la libertad de informar y recibir información veraz e imparcial, la educación y el acceso al conocimiento, a la ciencia, a la técnica, y a los demás bienes y valores de la cultura; deber cuyo cumplimiento enmarca los objetivos perseguidos por la presente subasta.</w:t>
            </w:r>
          </w:p>
          <w:p w14:paraId="0A713F0C" w14:textId="77777777" w:rsidR="00734827" w:rsidRDefault="00734827" w:rsidP="00734827">
            <w:pPr>
              <w:jc w:val="both"/>
              <w:rPr>
                <w:rFonts w:cs="Arial"/>
                <w:color w:val="000000" w:themeColor="text1"/>
                <w:sz w:val="22"/>
                <w:szCs w:val="22"/>
                <w:lang w:val="es-CO"/>
              </w:rPr>
            </w:pPr>
          </w:p>
          <w:p w14:paraId="4F58D768" w14:textId="77777777" w:rsidR="00734827" w:rsidRPr="00F519FF" w:rsidRDefault="00734827" w:rsidP="00734827">
            <w:pPr>
              <w:jc w:val="both"/>
              <w:rPr>
                <w:rFonts w:cs="Arial"/>
                <w:color w:val="000000" w:themeColor="text1"/>
                <w:sz w:val="22"/>
                <w:szCs w:val="22"/>
              </w:rPr>
            </w:pPr>
            <w:r w:rsidRPr="00734827">
              <w:rPr>
                <w:rFonts w:cs="Arial"/>
                <w:color w:val="000000" w:themeColor="text1"/>
                <w:sz w:val="22"/>
                <w:szCs w:val="22"/>
              </w:rPr>
              <w:t>Por su parte, el artículo 11 de la Ley 1341 de 2009, modificado por el artículo 8 de la Ley 1978 de 2019, dispone que la asignación del permiso de uso del espectro radioeléctrico la hará el Ministerio mediante procesos de selección objetiva que procuren la maximización del bienestar social, el fomento de la inversión y la certidumbre de las condiciones de inversión. Igualmente, define la maximización del bienestar social en</w:t>
            </w:r>
            <w:r>
              <w:rPr>
                <w:rFonts w:cs="Arial"/>
                <w:color w:val="000000" w:themeColor="text1"/>
              </w:rPr>
              <w:t xml:space="preserve"> </w:t>
            </w:r>
            <w:r w:rsidRPr="00F3045C">
              <w:rPr>
                <w:rFonts w:cs="Arial"/>
                <w:color w:val="000000" w:themeColor="text1"/>
                <w:sz w:val="22"/>
                <w:szCs w:val="22"/>
              </w:rPr>
              <w:lastRenderedPageBreak/>
              <w:t xml:space="preserve">el acceso y uso del espectro radioeléctrico como </w:t>
            </w:r>
            <w:r w:rsidRPr="00F519FF">
              <w:rPr>
                <w:rFonts w:cs="Arial"/>
                <w:color w:val="000000" w:themeColor="text1"/>
                <w:sz w:val="22"/>
                <w:szCs w:val="22"/>
              </w:rPr>
              <w:t>“la reducción de la brecha digital, el acceso universal, la ampliación de cobertura, el despliegue y uso de redes e infraestructuras y la mejora en la calidad de la prestación de los servicios a los usuarios. Lo anterior, de acuerdo con las mejores prácticas internacionales y las recomendaciones de la UIT”.</w:t>
            </w:r>
          </w:p>
          <w:p w14:paraId="1E4C8EAB" w14:textId="77777777" w:rsidR="00734827" w:rsidRDefault="00734827" w:rsidP="00734827">
            <w:pPr>
              <w:jc w:val="both"/>
              <w:rPr>
                <w:rFonts w:cs="Arial"/>
                <w:color w:val="000000" w:themeColor="text1"/>
                <w:sz w:val="22"/>
                <w:szCs w:val="22"/>
              </w:rPr>
            </w:pPr>
          </w:p>
          <w:p w14:paraId="7A0A0072" w14:textId="77777777" w:rsidR="00734827" w:rsidRDefault="00734827" w:rsidP="00734827">
            <w:pPr>
              <w:jc w:val="both"/>
              <w:rPr>
                <w:rFonts w:cs="Arial"/>
                <w:color w:val="000000" w:themeColor="text1"/>
                <w:sz w:val="22"/>
                <w:szCs w:val="22"/>
              </w:rPr>
            </w:pPr>
            <w:r>
              <w:rPr>
                <w:rFonts w:cs="Arial"/>
                <w:color w:val="000000" w:themeColor="text1"/>
                <w:sz w:val="22"/>
                <w:szCs w:val="22"/>
              </w:rPr>
              <w:t>Así las cosas, l</w:t>
            </w:r>
            <w:r w:rsidRPr="007702F6">
              <w:rPr>
                <w:rFonts w:cs="Arial"/>
                <w:color w:val="000000" w:themeColor="text1"/>
                <w:sz w:val="22"/>
                <w:szCs w:val="22"/>
              </w:rPr>
              <w:t xml:space="preserve">a asignación del espectro radioeléctrico representa uno de los elementos más críticos en la política de telecomunicaciones, ya que impacta directamente en </w:t>
            </w:r>
            <w:r>
              <w:rPr>
                <w:rFonts w:cs="Arial"/>
                <w:color w:val="000000" w:themeColor="text1"/>
                <w:sz w:val="22"/>
                <w:szCs w:val="22"/>
              </w:rPr>
              <w:t xml:space="preserve">la </w:t>
            </w:r>
            <w:r w:rsidRPr="007702F6">
              <w:rPr>
                <w:rFonts w:cs="Arial"/>
                <w:color w:val="000000" w:themeColor="text1"/>
                <w:sz w:val="22"/>
                <w:szCs w:val="22"/>
              </w:rPr>
              <w:t xml:space="preserve">calidad del servicio, el potencial de las redes de telecomunicaciones y, en última instancia, </w:t>
            </w:r>
            <w:r>
              <w:rPr>
                <w:rFonts w:cs="Arial"/>
                <w:color w:val="000000" w:themeColor="text1"/>
                <w:sz w:val="22"/>
                <w:szCs w:val="22"/>
              </w:rPr>
              <w:t xml:space="preserve">en </w:t>
            </w:r>
            <w:r w:rsidRPr="007702F6">
              <w:rPr>
                <w:rFonts w:cs="Arial"/>
                <w:color w:val="000000" w:themeColor="text1"/>
                <w:sz w:val="22"/>
                <w:szCs w:val="22"/>
              </w:rPr>
              <w:t xml:space="preserve">el bienestar social. Esta relación entre la gestión del espectro y el bienestar económico ha sido ampliamente estudiada en la literatura, siendo el </w:t>
            </w:r>
            <w:r w:rsidRPr="00FA6112">
              <w:rPr>
                <w:rFonts w:cs="Arial"/>
                <w:color w:val="000000" w:themeColor="text1"/>
                <w:sz w:val="22"/>
                <w:szCs w:val="22"/>
              </w:rPr>
              <w:t>análisis de Hazlett y Muñoz</w:t>
            </w:r>
            <w:r w:rsidRPr="00FA6112">
              <w:rPr>
                <w:rStyle w:val="Refdenotaalpie"/>
                <w:rFonts w:cs="Arial"/>
                <w:color w:val="000000" w:themeColor="text1"/>
                <w:sz w:val="22"/>
                <w:szCs w:val="22"/>
              </w:rPr>
              <w:footnoteReference w:id="1"/>
            </w:r>
            <w:r>
              <w:rPr>
                <w:rFonts w:cs="Arial"/>
                <w:color w:val="000000" w:themeColor="text1"/>
                <w:sz w:val="22"/>
                <w:szCs w:val="22"/>
              </w:rPr>
              <w:t xml:space="preserve"> </w:t>
            </w:r>
            <w:r w:rsidRPr="007702F6">
              <w:rPr>
                <w:rFonts w:cs="Arial"/>
                <w:color w:val="000000" w:themeColor="text1"/>
                <w:sz w:val="22"/>
                <w:szCs w:val="22"/>
              </w:rPr>
              <w:t>una referencia fundamental que demuestra cómo las decisiones de asignación de espectro influyen significativamente en el excedente del consumidor y la eficiencia general del mercado. Este, como muchos otros trabajos concluyen que una mayor disponibilidad de espectro conduce a precios minoristas más bajos y un mayor rendimiento del mercado, al tiempo que destaca cómo los mecanismos de asignación</w:t>
            </w:r>
            <w:r>
              <w:rPr>
                <w:rFonts w:cs="Arial"/>
                <w:color w:val="000000" w:themeColor="text1"/>
                <w:sz w:val="22"/>
                <w:szCs w:val="22"/>
              </w:rPr>
              <w:t xml:space="preserve">, entre ellos </w:t>
            </w:r>
            <w:r w:rsidRPr="007702F6">
              <w:rPr>
                <w:rFonts w:cs="Arial"/>
                <w:color w:val="000000" w:themeColor="text1"/>
                <w:sz w:val="22"/>
                <w:szCs w:val="22"/>
              </w:rPr>
              <w:t>las subastas, cuando se centran únicamente en la maximización de ingresos, pueden entrar en conflicto con objetivos más amplios de bienestar.</w:t>
            </w:r>
          </w:p>
          <w:p w14:paraId="6CC01CCF" w14:textId="77777777" w:rsidR="00734827" w:rsidRDefault="00734827" w:rsidP="00734827">
            <w:pPr>
              <w:jc w:val="both"/>
              <w:rPr>
                <w:rFonts w:cs="Arial"/>
                <w:color w:val="000000" w:themeColor="text1"/>
                <w:sz w:val="22"/>
                <w:szCs w:val="22"/>
              </w:rPr>
            </w:pPr>
          </w:p>
          <w:p w14:paraId="211E13BB" w14:textId="77777777" w:rsidR="00734827" w:rsidRPr="00660155" w:rsidRDefault="00734827" w:rsidP="00734827">
            <w:pPr>
              <w:jc w:val="both"/>
              <w:rPr>
                <w:rFonts w:cs="Arial"/>
                <w:color w:val="000000" w:themeColor="text1"/>
                <w:sz w:val="22"/>
                <w:szCs w:val="22"/>
              </w:rPr>
            </w:pPr>
            <w:r w:rsidRPr="00660155">
              <w:rPr>
                <w:rFonts w:cs="Arial"/>
                <w:color w:val="000000" w:themeColor="text1"/>
                <w:sz w:val="22"/>
                <w:szCs w:val="22"/>
              </w:rPr>
              <w:t xml:space="preserve">Adicionalmente, se destaca que la discusión no se limita únicamente a cuánto espectro asignar, sino también a cuándo y bajo qué mecanismo hacerlo. Un diseño inadecuado o una asignación tardía pueden generar pérdidas de eficiencia y retrasos en la adopción tecnológica, mientras que una asignación prematura puede derivar en la subutilización del recurso y costos de oportunidad. </w:t>
            </w:r>
          </w:p>
          <w:p w14:paraId="19E7C161" w14:textId="77777777" w:rsidR="00734827" w:rsidRPr="00660155" w:rsidRDefault="00734827" w:rsidP="00734827">
            <w:pPr>
              <w:jc w:val="both"/>
              <w:rPr>
                <w:rFonts w:cs="Arial"/>
                <w:color w:val="000000" w:themeColor="text1"/>
                <w:sz w:val="22"/>
                <w:szCs w:val="22"/>
              </w:rPr>
            </w:pPr>
          </w:p>
          <w:p w14:paraId="6AF274E9" w14:textId="77777777" w:rsidR="00734827" w:rsidRDefault="00734827" w:rsidP="00734827">
            <w:pPr>
              <w:jc w:val="both"/>
              <w:rPr>
                <w:rFonts w:cs="Arial"/>
                <w:color w:val="000000" w:themeColor="text1"/>
                <w:sz w:val="22"/>
                <w:szCs w:val="22"/>
              </w:rPr>
            </w:pPr>
            <w:r w:rsidRPr="00660155">
              <w:rPr>
                <w:rFonts w:cs="Arial"/>
                <w:color w:val="000000" w:themeColor="text1"/>
                <w:sz w:val="22"/>
                <w:szCs w:val="22"/>
              </w:rPr>
              <w:t>Por ejemplo, Bahia y Castells (2022) encuentran que las políticas de asignación de espectro tienen efectos significativos sobre la cobertura poblacional de las redes 3G y 4G. En particular, el momento de la asignación del espectro tiene un efecto significativo sobre la expansión de la cobertura. Así, manteniendo constantes los demás factores, un operador que recibe espectro 4G con al menos dos años de anticipación respecto a otro alcanza, en promedio, niveles de cobertura entre 11 y 16 puntos porcentuales superiores. Así mismo, los autores encuentran evidencia de que la cantidad de espectro 4G asignado también influye en la cobertura, de modo que un incremento de 1 MHz en el espectro disponible se asocia con aumentos de entre 0,1 y 0,2 puntos porcentuales en la cobertura 4G. No obstante, estos resultados deben leerse en función de los supuestos metodológicos del análisis y del contexto en el que se estiman, por lo que su extrapolación a otros mercados requiere considerar sus particularidades institucionales.</w:t>
            </w:r>
          </w:p>
          <w:p w14:paraId="727C0434" w14:textId="77777777" w:rsidR="00734827" w:rsidRDefault="00734827" w:rsidP="00734827">
            <w:pPr>
              <w:jc w:val="both"/>
              <w:rPr>
                <w:rFonts w:cs="Arial"/>
                <w:color w:val="000000" w:themeColor="text1"/>
                <w:sz w:val="22"/>
                <w:szCs w:val="22"/>
              </w:rPr>
            </w:pPr>
          </w:p>
          <w:p w14:paraId="1ABA3EF2" w14:textId="77777777" w:rsidR="00734827" w:rsidRPr="00C915E6" w:rsidRDefault="00734827" w:rsidP="00734827">
            <w:pPr>
              <w:jc w:val="both"/>
              <w:rPr>
                <w:rFonts w:cs="Arial"/>
                <w:color w:val="000000" w:themeColor="text1"/>
                <w:sz w:val="22"/>
                <w:szCs w:val="22"/>
              </w:rPr>
            </w:pPr>
            <w:r>
              <w:rPr>
                <w:rFonts w:cs="Arial"/>
                <w:color w:val="000000" w:themeColor="text1"/>
                <w:sz w:val="22"/>
                <w:szCs w:val="22"/>
              </w:rPr>
              <w:t>L</w:t>
            </w:r>
            <w:r w:rsidRPr="00C915E6">
              <w:rPr>
                <w:rFonts w:cs="Arial"/>
                <w:color w:val="000000" w:themeColor="text1"/>
                <w:sz w:val="22"/>
                <w:szCs w:val="22"/>
              </w:rPr>
              <w:t xml:space="preserve">os aplazamientos o demoras en las asignaciones para el uso del espectro provocan una pérdida irrecuperable de bienestar debido a la ausencia de nuevos servicios </w:t>
            </w:r>
            <w:r>
              <w:rPr>
                <w:rFonts w:cs="Arial"/>
                <w:color w:val="000000" w:themeColor="text1"/>
                <w:sz w:val="22"/>
                <w:szCs w:val="22"/>
              </w:rPr>
              <w:t>par</w:t>
            </w:r>
            <w:r w:rsidRPr="00C915E6">
              <w:rPr>
                <w:rFonts w:cs="Arial"/>
                <w:color w:val="000000" w:themeColor="text1"/>
                <w:sz w:val="22"/>
                <w:szCs w:val="22"/>
              </w:rPr>
              <w:t>a los consumidores actuales y potenciales. Al asignar más espectro se podría tener un efecto en las variaciones de los excedentes del consumidor</w:t>
            </w:r>
            <w:r>
              <w:rPr>
                <w:rFonts w:cs="Arial"/>
                <w:color w:val="000000" w:themeColor="text1"/>
                <w:sz w:val="22"/>
                <w:szCs w:val="22"/>
              </w:rPr>
              <w:t>,</w:t>
            </w:r>
            <w:r w:rsidRPr="00C915E6">
              <w:rPr>
                <w:rFonts w:cs="Arial"/>
                <w:color w:val="000000" w:themeColor="text1"/>
                <w:sz w:val="22"/>
                <w:szCs w:val="22"/>
              </w:rPr>
              <w:t xml:space="preserve"> lo cual se tra</w:t>
            </w:r>
            <w:r>
              <w:rPr>
                <w:rFonts w:cs="Arial"/>
                <w:color w:val="000000" w:themeColor="text1"/>
                <w:sz w:val="22"/>
                <w:szCs w:val="22"/>
              </w:rPr>
              <w:t xml:space="preserve">duce </w:t>
            </w:r>
            <w:r w:rsidRPr="00C915E6">
              <w:rPr>
                <w:rFonts w:cs="Arial"/>
                <w:color w:val="000000" w:themeColor="text1"/>
                <w:sz w:val="22"/>
                <w:szCs w:val="22"/>
              </w:rPr>
              <w:t>en mayor competencia en el mercado y en la prestación de servicios a más consumidores.</w:t>
            </w:r>
          </w:p>
          <w:p w14:paraId="760D8DB9" w14:textId="77777777" w:rsidR="00734827" w:rsidRPr="00C915E6" w:rsidRDefault="00734827" w:rsidP="00734827">
            <w:pPr>
              <w:jc w:val="both"/>
              <w:rPr>
                <w:rFonts w:cs="Arial"/>
                <w:color w:val="000000" w:themeColor="text1"/>
                <w:sz w:val="22"/>
                <w:szCs w:val="22"/>
              </w:rPr>
            </w:pPr>
          </w:p>
          <w:p w14:paraId="36FB0BD0" w14:textId="77777777" w:rsidR="00734827" w:rsidRDefault="00734827" w:rsidP="00734827">
            <w:pPr>
              <w:jc w:val="both"/>
              <w:rPr>
                <w:rFonts w:cs="Arial"/>
                <w:color w:val="000000" w:themeColor="text1"/>
                <w:sz w:val="22"/>
                <w:szCs w:val="22"/>
              </w:rPr>
            </w:pPr>
            <w:r w:rsidRPr="00734827">
              <w:rPr>
                <w:rFonts w:cs="Arial"/>
                <w:color w:val="000000" w:themeColor="text1"/>
                <w:sz w:val="22"/>
                <w:szCs w:val="22"/>
              </w:rPr>
              <w:t>El espectro radioeléctrico es un recurso limitado y un insumo indispensable para el desarrollo de las comunicaciones móviles. Si no se asigna adecuadamente o se deja inactivo o infrautilizado, los costos de oportunidad pueden ser significativos y abarcar diversas dimensiones, como por ejemplo pérdidas económicas directas, retraso en la innovación tecnológica, brecha digital y exclusión social, reducción en la competitividad e impactos en el bienestar social, como calidad limitada de los servicios y costos asociados a</w:t>
            </w:r>
            <w:r>
              <w:rPr>
                <w:rFonts w:cs="Arial"/>
                <w:color w:val="000000" w:themeColor="text1"/>
              </w:rPr>
              <w:t xml:space="preserve"> </w:t>
            </w:r>
            <w:r w:rsidRPr="00C915E6">
              <w:rPr>
                <w:rFonts w:cs="Arial"/>
                <w:color w:val="000000" w:themeColor="text1"/>
                <w:sz w:val="22"/>
                <w:szCs w:val="22"/>
              </w:rPr>
              <w:t>la ineficiencia en sectores relevantes como la salud, seguridad y educación, que dependen cada vez más de la conectividad, entre otros.</w:t>
            </w:r>
          </w:p>
          <w:p w14:paraId="5800FC29" w14:textId="77777777" w:rsidR="00734827" w:rsidRDefault="00734827" w:rsidP="00734827">
            <w:pPr>
              <w:jc w:val="both"/>
              <w:rPr>
                <w:rFonts w:cs="Arial"/>
                <w:color w:val="000000" w:themeColor="text1"/>
                <w:sz w:val="22"/>
                <w:szCs w:val="22"/>
              </w:rPr>
            </w:pPr>
          </w:p>
          <w:p w14:paraId="38D68351" w14:textId="77777777" w:rsidR="00734827" w:rsidRPr="00E848D6" w:rsidRDefault="00734827" w:rsidP="00734827">
            <w:pPr>
              <w:jc w:val="both"/>
              <w:rPr>
                <w:rFonts w:cs="Arial"/>
                <w:color w:val="000000" w:themeColor="text1"/>
                <w:sz w:val="22"/>
                <w:szCs w:val="22"/>
                <w:lang w:val="es-ES_tradnl"/>
              </w:rPr>
            </w:pPr>
            <w:r w:rsidRPr="00E848D6">
              <w:rPr>
                <w:rFonts w:cs="Arial"/>
                <w:color w:val="000000" w:themeColor="text1"/>
                <w:sz w:val="22"/>
                <w:szCs w:val="22"/>
                <w:lang w:val="es-ES_tradnl"/>
              </w:rPr>
              <w:lastRenderedPageBreak/>
              <w:t>Así, al ser el espectro radioeléctrico un insumo indispensable para el desarrollo de las comunicaciones móviles, si no se asigna adecuadamente o se deja sin uso o infrautilizado, los costos de oportunidad pueden ser significativos y abarcan diversas dimensiones, como por ejemplo pérdidas económicas directas, retraso en la innovación tecnológica, brecha digital y exclusión social, reducción en la competitividad e impactos en el bienestar social como calidad limitada de los servicios y costos asociados a la ineficiencia en sectores relevantes como la salud, seguridad y educación, que dependen cada vez más de la conectividad, entre otros.</w:t>
            </w:r>
          </w:p>
          <w:p w14:paraId="18788CC6" w14:textId="77777777" w:rsidR="00734827" w:rsidRPr="00E848D6" w:rsidRDefault="00734827" w:rsidP="00734827">
            <w:pPr>
              <w:jc w:val="both"/>
              <w:rPr>
                <w:rFonts w:cs="Arial"/>
                <w:color w:val="000000" w:themeColor="text1"/>
                <w:sz w:val="22"/>
                <w:szCs w:val="22"/>
                <w:lang w:val="es-ES_tradnl"/>
              </w:rPr>
            </w:pPr>
          </w:p>
          <w:p w14:paraId="63BD534E" w14:textId="77777777" w:rsidR="00734827" w:rsidRPr="00E848D6" w:rsidRDefault="00734827" w:rsidP="00734827">
            <w:pPr>
              <w:jc w:val="both"/>
              <w:rPr>
                <w:rFonts w:cs="Arial"/>
                <w:color w:val="000000" w:themeColor="text1"/>
                <w:sz w:val="22"/>
                <w:szCs w:val="22"/>
                <w:lang w:val="es-ES_tradnl"/>
              </w:rPr>
            </w:pPr>
            <w:r w:rsidRPr="00E848D6">
              <w:rPr>
                <w:rFonts w:cs="Arial"/>
                <w:color w:val="000000" w:themeColor="text1"/>
                <w:sz w:val="22"/>
                <w:szCs w:val="22"/>
                <w:lang w:val="es-ES_tradnl"/>
              </w:rPr>
              <w:t xml:space="preserve">En este contexto, el Estado tiene la responsabilidad de adoptar todas las medidas necesarias para reducir las barreras de acceso al espectro radioeléctrico, promoviendo condiciones normativas, económicas y técnicas que faciliten su asignación oportuna, eficiente y competitiva. Esto implica, entre otros aspectos, diseñar mecanismos de asignación flexibles y frecuentes, así como esquemas que incentiven el uso efectivo del recurso. </w:t>
            </w:r>
          </w:p>
          <w:p w14:paraId="7131CD32" w14:textId="77777777" w:rsidR="00734827" w:rsidRPr="00E848D6" w:rsidRDefault="00734827" w:rsidP="00734827">
            <w:pPr>
              <w:jc w:val="both"/>
              <w:rPr>
                <w:rFonts w:cs="Arial"/>
                <w:color w:val="000000" w:themeColor="text1"/>
                <w:sz w:val="22"/>
                <w:szCs w:val="22"/>
                <w:lang w:val="es-ES_tradnl"/>
              </w:rPr>
            </w:pPr>
          </w:p>
          <w:p w14:paraId="1E99ECA7" w14:textId="77777777" w:rsidR="00734827" w:rsidRPr="00E848D6" w:rsidRDefault="00734827" w:rsidP="00734827">
            <w:pPr>
              <w:jc w:val="both"/>
              <w:rPr>
                <w:rFonts w:cs="Arial"/>
                <w:color w:val="000000" w:themeColor="text1"/>
                <w:sz w:val="22"/>
                <w:szCs w:val="22"/>
              </w:rPr>
            </w:pPr>
            <w:r w:rsidRPr="043D31BE">
              <w:rPr>
                <w:rFonts w:cs="Arial"/>
                <w:color w:val="000000" w:themeColor="text1"/>
                <w:sz w:val="22"/>
                <w:szCs w:val="22"/>
              </w:rPr>
              <w:t>Esto teniendo en cuenta que el espectro que permanece sin asignar o subutilizado representa un recurso “ocioso” que no contribuye a la generación de valor económico ni al cierre de brechas sociales, por lo que se genera una pérdida de bienestar social. Por el contrario, su asignación y uso productivo permiten maximizar los beneficios para la sociedad, al habilitar mayores niveles de conectividad, innovación y desarrollo económico.</w:t>
            </w:r>
          </w:p>
          <w:p w14:paraId="12189551" w14:textId="77777777" w:rsidR="00734827" w:rsidRPr="00880D89" w:rsidRDefault="00734827" w:rsidP="00734827">
            <w:pPr>
              <w:jc w:val="both"/>
              <w:rPr>
                <w:rFonts w:cs="Arial"/>
                <w:color w:val="000000" w:themeColor="text1"/>
                <w:sz w:val="22"/>
                <w:szCs w:val="22"/>
                <w:lang w:val="es-ES_tradnl"/>
              </w:rPr>
            </w:pPr>
          </w:p>
          <w:p w14:paraId="54250550" w14:textId="77777777" w:rsidR="00734827" w:rsidRDefault="00734827" w:rsidP="00734827">
            <w:pPr>
              <w:jc w:val="both"/>
              <w:rPr>
                <w:rFonts w:cs="Arial"/>
                <w:color w:val="000000" w:themeColor="text1"/>
                <w:sz w:val="22"/>
                <w:szCs w:val="22"/>
              </w:rPr>
            </w:pPr>
            <w:r>
              <w:rPr>
                <w:rFonts w:cs="Arial"/>
                <w:color w:val="000000" w:themeColor="text1"/>
                <w:sz w:val="22"/>
                <w:szCs w:val="22"/>
              </w:rPr>
              <w:t>En Colombia l</w:t>
            </w:r>
            <w:r w:rsidRPr="00023464">
              <w:rPr>
                <w:rFonts w:cs="Arial"/>
                <w:color w:val="000000" w:themeColor="text1"/>
                <w:sz w:val="22"/>
                <w:szCs w:val="22"/>
              </w:rPr>
              <w:t xml:space="preserve">a asignación total de espectro </w:t>
            </w:r>
            <w:r>
              <w:rPr>
                <w:rFonts w:cs="Arial"/>
                <w:color w:val="000000" w:themeColor="text1"/>
                <w:sz w:val="22"/>
                <w:szCs w:val="22"/>
              </w:rPr>
              <w:t xml:space="preserve">para </w:t>
            </w:r>
            <w:r w:rsidRPr="00854278">
              <w:rPr>
                <w:rFonts w:cs="Arial"/>
                <w:color w:val="000000" w:themeColor="text1"/>
                <w:sz w:val="22"/>
                <w:szCs w:val="22"/>
              </w:rPr>
              <w:t>Telecomunicaciones Móviles Internacionales</w:t>
            </w:r>
            <w:r w:rsidRPr="00023464">
              <w:rPr>
                <w:rFonts w:cs="Arial"/>
                <w:color w:val="000000" w:themeColor="text1"/>
                <w:sz w:val="22"/>
                <w:szCs w:val="22"/>
              </w:rPr>
              <w:t xml:space="preserve"> </w:t>
            </w:r>
            <w:r>
              <w:rPr>
                <w:rFonts w:cs="Arial"/>
                <w:color w:val="000000" w:themeColor="text1"/>
                <w:sz w:val="22"/>
                <w:szCs w:val="22"/>
              </w:rPr>
              <w:t>(</w:t>
            </w:r>
            <w:r w:rsidRPr="00023464">
              <w:rPr>
                <w:rFonts w:cs="Arial"/>
                <w:color w:val="000000" w:themeColor="text1"/>
                <w:sz w:val="22"/>
                <w:szCs w:val="22"/>
              </w:rPr>
              <w:t>IMT</w:t>
            </w:r>
            <w:r>
              <w:rPr>
                <w:rFonts w:cs="Arial"/>
                <w:color w:val="000000" w:themeColor="text1"/>
                <w:sz w:val="22"/>
                <w:szCs w:val="22"/>
              </w:rPr>
              <w:t>, por sus siglas en ingles),</w:t>
            </w:r>
            <w:r w:rsidRPr="00023464">
              <w:rPr>
                <w:rFonts w:cs="Arial"/>
                <w:color w:val="000000" w:themeColor="text1"/>
                <w:sz w:val="22"/>
                <w:szCs w:val="22"/>
              </w:rPr>
              <w:t xml:space="preserve"> actualmente</w:t>
            </w:r>
            <w:r>
              <w:rPr>
                <w:rFonts w:cs="Arial"/>
                <w:color w:val="000000" w:themeColor="text1"/>
                <w:sz w:val="22"/>
                <w:szCs w:val="22"/>
              </w:rPr>
              <w:t xml:space="preserve"> equivale a</w:t>
            </w:r>
            <w:r w:rsidRPr="00023464">
              <w:rPr>
                <w:rFonts w:cs="Arial"/>
                <w:color w:val="000000" w:themeColor="text1"/>
                <w:sz w:val="22"/>
                <w:szCs w:val="22"/>
              </w:rPr>
              <w:t xml:space="preserve"> </w:t>
            </w:r>
            <w:r>
              <w:rPr>
                <w:rFonts w:cs="Arial"/>
                <w:color w:val="000000" w:themeColor="text1"/>
                <w:sz w:val="22"/>
                <w:szCs w:val="22"/>
              </w:rPr>
              <w:t>675</w:t>
            </w:r>
            <w:r w:rsidRPr="00023464">
              <w:rPr>
                <w:rFonts w:cs="Arial"/>
                <w:color w:val="000000" w:themeColor="text1"/>
                <w:sz w:val="22"/>
                <w:szCs w:val="22"/>
              </w:rPr>
              <w:t xml:space="preserve"> MHz, </w:t>
            </w:r>
            <w:r>
              <w:rPr>
                <w:rFonts w:cs="Arial"/>
                <w:color w:val="000000" w:themeColor="text1"/>
                <w:sz w:val="22"/>
                <w:szCs w:val="22"/>
              </w:rPr>
              <w:t xml:space="preserve">lo que hace que </w:t>
            </w:r>
            <w:r w:rsidRPr="00023464">
              <w:rPr>
                <w:rFonts w:cs="Arial"/>
                <w:color w:val="000000" w:themeColor="text1"/>
                <w:sz w:val="22"/>
                <w:szCs w:val="22"/>
              </w:rPr>
              <w:t>se encuentr</w:t>
            </w:r>
            <w:r>
              <w:rPr>
                <w:rFonts w:cs="Arial"/>
                <w:color w:val="000000" w:themeColor="text1"/>
                <w:sz w:val="22"/>
                <w:szCs w:val="22"/>
              </w:rPr>
              <w:t>e</w:t>
            </w:r>
            <w:r w:rsidRPr="00023464">
              <w:rPr>
                <w:rFonts w:cs="Arial"/>
                <w:color w:val="000000" w:themeColor="text1"/>
                <w:sz w:val="22"/>
                <w:szCs w:val="22"/>
              </w:rPr>
              <w:t xml:space="preserve"> por encima del promedio (</w:t>
            </w:r>
            <w:r>
              <w:rPr>
                <w:rFonts w:cs="Arial"/>
                <w:color w:val="000000" w:themeColor="text1"/>
                <w:sz w:val="22"/>
                <w:szCs w:val="22"/>
              </w:rPr>
              <w:t>605</w:t>
            </w:r>
            <w:r w:rsidRPr="00023464">
              <w:rPr>
                <w:rFonts w:cs="Arial"/>
                <w:color w:val="000000" w:themeColor="text1"/>
                <w:sz w:val="22"/>
                <w:szCs w:val="22"/>
              </w:rPr>
              <w:t xml:space="preserve"> MHz) y por debajo de </w:t>
            </w:r>
            <w:r>
              <w:rPr>
                <w:rFonts w:cs="Arial"/>
                <w:color w:val="000000" w:themeColor="text1"/>
                <w:sz w:val="22"/>
                <w:szCs w:val="22"/>
              </w:rPr>
              <w:t>cinco</w:t>
            </w:r>
            <w:r w:rsidRPr="00023464">
              <w:rPr>
                <w:rFonts w:cs="Arial"/>
                <w:color w:val="000000" w:themeColor="text1"/>
                <w:sz w:val="22"/>
                <w:szCs w:val="22"/>
              </w:rPr>
              <w:t xml:space="preserve"> países de la región, incluyendo Perú</w:t>
            </w:r>
            <w:r>
              <w:rPr>
                <w:rFonts w:cs="Arial"/>
                <w:color w:val="000000" w:themeColor="text1"/>
                <w:sz w:val="22"/>
                <w:szCs w:val="22"/>
              </w:rPr>
              <w:t>, Costa Rica, Uruguay, Chile, y Paraguay.</w:t>
            </w:r>
            <w:r w:rsidRPr="00023464">
              <w:rPr>
                <w:rFonts w:cs="Arial"/>
                <w:color w:val="000000" w:themeColor="text1"/>
                <w:sz w:val="22"/>
                <w:szCs w:val="22"/>
              </w:rPr>
              <w:t xml:space="preserve"> </w:t>
            </w:r>
          </w:p>
          <w:p w14:paraId="2B49B371" w14:textId="77777777" w:rsidR="00734827" w:rsidRDefault="00734827" w:rsidP="00734827">
            <w:pPr>
              <w:jc w:val="both"/>
              <w:rPr>
                <w:rFonts w:cs="Arial"/>
                <w:color w:val="000000" w:themeColor="text1"/>
                <w:sz w:val="22"/>
                <w:szCs w:val="22"/>
              </w:rPr>
            </w:pPr>
          </w:p>
          <w:p w14:paraId="4575C6AC" w14:textId="77777777" w:rsidR="00734827" w:rsidRDefault="00734827" w:rsidP="00734827">
            <w:pPr>
              <w:jc w:val="both"/>
              <w:rPr>
                <w:rFonts w:cs="Arial"/>
                <w:color w:val="000000" w:themeColor="text1"/>
                <w:sz w:val="22"/>
                <w:szCs w:val="22"/>
              </w:rPr>
            </w:pPr>
            <w:r>
              <w:rPr>
                <w:rFonts w:cs="Arial"/>
                <w:color w:val="000000" w:themeColor="text1"/>
                <w:sz w:val="22"/>
                <w:szCs w:val="22"/>
              </w:rPr>
              <w:t xml:space="preserve">Por otra parte, </w:t>
            </w:r>
            <w:r w:rsidRPr="00215C48">
              <w:rPr>
                <w:rFonts w:cs="Arial"/>
                <w:color w:val="000000" w:themeColor="text1"/>
                <w:sz w:val="22"/>
                <w:szCs w:val="22"/>
              </w:rPr>
              <w:t xml:space="preserve">al analizar por segmentos de bandas, se identifica que Colombia presenta un rezago en la asignación de espectro en bandas bajas (hasta 1 GHz) y medias </w:t>
            </w:r>
            <w:r>
              <w:rPr>
                <w:rFonts w:cs="Arial"/>
                <w:color w:val="000000" w:themeColor="text1"/>
                <w:sz w:val="22"/>
                <w:szCs w:val="22"/>
              </w:rPr>
              <w:t>altas</w:t>
            </w:r>
            <w:r w:rsidRPr="00215C48">
              <w:rPr>
                <w:rFonts w:cs="Arial"/>
                <w:color w:val="000000" w:themeColor="text1"/>
                <w:sz w:val="22"/>
                <w:szCs w:val="22"/>
              </w:rPr>
              <w:t xml:space="preserve"> (</w:t>
            </w:r>
            <w:r>
              <w:rPr>
                <w:rFonts w:cs="Arial"/>
                <w:color w:val="000000" w:themeColor="text1"/>
                <w:sz w:val="22"/>
                <w:szCs w:val="22"/>
              </w:rPr>
              <w:t xml:space="preserve">entre </w:t>
            </w:r>
            <w:r w:rsidRPr="00215C48">
              <w:rPr>
                <w:rFonts w:cs="Arial"/>
                <w:color w:val="000000" w:themeColor="text1"/>
                <w:sz w:val="22"/>
                <w:szCs w:val="22"/>
              </w:rPr>
              <w:t>3</w:t>
            </w:r>
            <w:r>
              <w:rPr>
                <w:rFonts w:cs="Arial"/>
                <w:color w:val="000000" w:themeColor="text1"/>
                <w:sz w:val="22"/>
                <w:szCs w:val="22"/>
              </w:rPr>
              <w:t xml:space="preserve"> y 6</w:t>
            </w:r>
            <w:r w:rsidRPr="00215C48">
              <w:rPr>
                <w:rFonts w:cs="Arial"/>
                <w:color w:val="000000" w:themeColor="text1"/>
                <w:sz w:val="22"/>
                <w:szCs w:val="22"/>
              </w:rPr>
              <w:t xml:space="preserve"> GHz) ubicándose por debajo del promedio de la región en asignación de espectro</w:t>
            </w:r>
            <w:r>
              <w:rPr>
                <w:rFonts w:cs="Arial"/>
                <w:color w:val="000000" w:themeColor="text1"/>
                <w:sz w:val="22"/>
                <w:szCs w:val="22"/>
              </w:rPr>
              <w:t xml:space="preserve"> en cada segmento.</w:t>
            </w:r>
          </w:p>
          <w:p w14:paraId="7376E2D7" w14:textId="77777777" w:rsidR="002E4A97" w:rsidRDefault="002E4A97" w:rsidP="00734827">
            <w:pPr>
              <w:pStyle w:val="Listavistosa-nfasis11"/>
              <w:spacing w:line="240" w:lineRule="auto"/>
              <w:ind w:left="0"/>
              <w:jc w:val="both"/>
              <w:rPr>
                <w:rFonts w:ascii="Arial" w:hAnsi="Arial" w:cs="Arial"/>
                <w:color w:val="000000" w:themeColor="text1"/>
              </w:rPr>
            </w:pPr>
          </w:p>
          <w:p w14:paraId="3BE4F400" w14:textId="77777777" w:rsidR="00734827" w:rsidRDefault="00734827" w:rsidP="00734827">
            <w:pPr>
              <w:pStyle w:val="Descripcin"/>
              <w:jc w:val="center"/>
              <w:rPr>
                <w:rFonts w:ascii="Arial" w:hAnsi="Arial"/>
                <w:sz w:val="18"/>
                <w:szCs w:val="18"/>
              </w:rPr>
            </w:pPr>
            <w:r w:rsidRPr="00734827">
              <w:rPr>
                <w:rFonts w:ascii="Arial" w:hAnsi="Arial"/>
                <w:sz w:val="18"/>
                <w:szCs w:val="18"/>
              </w:rPr>
              <w:t xml:space="preserve">Gráfica </w:t>
            </w:r>
            <w:r w:rsidRPr="00734827">
              <w:rPr>
                <w:rFonts w:ascii="Arial" w:hAnsi="Arial"/>
                <w:i/>
                <w:iCs/>
                <w:sz w:val="18"/>
                <w:szCs w:val="18"/>
              </w:rPr>
              <w:fldChar w:fldCharType="begin"/>
            </w:r>
            <w:r w:rsidRPr="00734827">
              <w:rPr>
                <w:rFonts w:ascii="Arial" w:hAnsi="Arial"/>
                <w:sz w:val="18"/>
                <w:szCs w:val="18"/>
              </w:rPr>
              <w:instrText xml:space="preserve"> SEQ Gráfica \* ARABIC </w:instrText>
            </w:r>
            <w:r w:rsidRPr="00734827">
              <w:rPr>
                <w:rFonts w:ascii="Arial" w:hAnsi="Arial"/>
                <w:i/>
                <w:iCs/>
                <w:sz w:val="18"/>
                <w:szCs w:val="18"/>
              </w:rPr>
              <w:fldChar w:fldCharType="separate"/>
            </w:r>
            <w:r w:rsidRPr="00734827">
              <w:rPr>
                <w:rFonts w:ascii="Arial" w:hAnsi="Arial"/>
                <w:noProof/>
                <w:sz w:val="18"/>
                <w:szCs w:val="18"/>
              </w:rPr>
              <w:t>1</w:t>
            </w:r>
            <w:r w:rsidRPr="00734827">
              <w:rPr>
                <w:rFonts w:ascii="Arial" w:hAnsi="Arial"/>
                <w:i/>
                <w:iCs/>
                <w:sz w:val="18"/>
                <w:szCs w:val="18"/>
              </w:rPr>
              <w:fldChar w:fldCharType="end"/>
            </w:r>
            <w:r w:rsidRPr="00734827">
              <w:rPr>
                <w:rFonts w:ascii="Arial" w:hAnsi="Arial"/>
                <w:sz w:val="18"/>
                <w:szCs w:val="18"/>
              </w:rPr>
              <w:t>: Cantidad de espectro asignado en Colombia vs disponible para asignar</w:t>
            </w:r>
          </w:p>
          <w:p w14:paraId="5DFC6110" w14:textId="77777777" w:rsidR="00734827" w:rsidRPr="00734827" w:rsidRDefault="00734827" w:rsidP="00734827">
            <w:pPr>
              <w:rPr>
                <w:lang w:val="es-ES_tradnl"/>
              </w:rPr>
            </w:pPr>
          </w:p>
          <w:p w14:paraId="529968FC" w14:textId="77777777" w:rsidR="00734827" w:rsidRDefault="00734827" w:rsidP="00734827">
            <w:pPr>
              <w:pStyle w:val="Listavistosa-nfasis11"/>
              <w:spacing w:line="240" w:lineRule="auto"/>
              <w:ind w:left="0"/>
              <w:jc w:val="both"/>
              <w:rPr>
                <w:rFonts w:ascii="Arial" w:hAnsi="Arial" w:cs="Arial"/>
                <w:color w:val="000000" w:themeColor="text1"/>
              </w:rPr>
            </w:pPr>
            <w:r>
              <w:rPr>
                <w:noProof/>
              </w:rPr>
              <w:drawing>
                <wp:inline distT="0" distB="0" distL="0" distR="0" wp14:anchorId="253E5BB9" wp14:editId="5F4C9799">
                  <wp:extent cx="4674870" cy="2573440"/>
                  <wp:effectExtent l="0" t="0" r="0" b="0"/>
                  <wp:docPr id="99594806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3137" cy="2611020"/>
                          </a:xfrm>
                          <a:prstGeom prst="rect">
                            <a:avLst/>
                          </a:prstGeom>
                          <a:noFill/>
                          <a:ln>
                            <a:noFill/>
                          </a:ln>
                        </pic:spPr>
                      </pic:pic>
                    </a:graphicData>
                  </a:graphic>
                </wp:inline>
              </w:drawing>
            </w:r>
          </w:p>
          <w:p w14:paraId="10EEBBE1" w14:textId="77777777" w:rsidR="00734827" w:rsidRDefault="00734827" w:rsidP="00734827">
            <w:pPr>
              <w:pStyle w:val="Listavistosa-nfasis11"/>
              <w:spacing w:line="240" w:lineRule="auto"/>
              <w:ind w:left="0"/>
              <w:jc w:val="both"/>
              <w:rPr>
                <w:rFonts w:ascii="Arial" w:hAnsi="Arial" w:cs="Arial"/>
                <w:color w:val="000000" w:themeColor="text1"/>
              </w:rPr>
            </w:pPr>
          </w:p>
          <w:p w14:paraId="5CEE781E" w14:textId="77777777" w:rsidR="00734827" w:rsidRPr="00880D89" w:rsidRDefault="00734827" w:rsidP="00734827">
            <w:pPr>
              <w:jc w:val="both"/>
              <w:rPr>
                <w:rFonts w:cs="Arial"/>
                <w:color w:val="000000" w:themeColor="text1"/>
                <w:sz w:val="22"/>
                <w:szCs w:val="22"/>
                <w:lang w:val="es-CO"/>
              </w:rPr>
            </w:pPr>
            <w:r>
              <w:rPr>
                <w:rFonts w:cs="Arial"/>
                <w:color w:val="000000" w:themeColor="text1"/>
                <w:sz w:val="22"/>
                <w:szCs w:val="22"/>
                <w:lang w:val="es-CO"/>
              </w:rPr>
              <w:lastRenderedPageBreak/>
              <w:t>E</w:t>
            </w:r>
            <w:r w:rsidRPr="00880D89">
              <w:rPr>
                <w:rFonts w:cs="Arial"/>
                <w:color w:val="000000" w:themeColor="text1"/>
                <w:sz w:val="22"/>
                <w:szCs w:val="22"/>
                <w:lang w:val="es-CO"/>
              </w:rPr>
              <w:t>n Colombia existe una disponibilidad significativa de espectro IMT pendiente de asignación, equivalente a 285 MHz, lo que evidencia un rezago relativo frente a otros países de la región en términos de asignación de este recurso. A partir de este diagnóstico, y</w:t>
            </w:r>
            <w:r>
              <w:rPr>
                <w:rFonts w:cs="Arial"/>
                <w:color w:val="000000" w:themeColor="text1"/>
                <w:sz w:val="22"/>
                <w:szCs w:val="22"/>
                <w:lang w:val="es-CO"/>
              </w:rPr>
              <w:t xml:space="preserve"> teniendo en cuenta </w:t>
            </w:r>
            <w:r w:rsidRPr="00880D89">
              <w:rPr>
                <w:rFonts w:cs="Arial"/>
                <w:color w:val="000000" w:themeColor="text1"/>
                <w:sz w:val="22"/>
                <w:szCs w:val="22"/>
                <w:lang w:val="es-CO"/>
              </w:rPr>
              <w:t>los efectos del espectro en el bienestar social, la asignación de dicho recurso tiene el potencial de generar mejoras en términos de cobertura, calidad de los servicios y adopción tecnológica, bajo ciertas condiciones. En contraste, la no asignación oportuna del espectro puede traducirse en costos de oportunidad asociados a la pérdida de estos beneficios. En ese sentido, se identifica la necesidad de avanzar hacia mecanismos de asignación más ágiles y alineados con las condiciones del mercado, que faciliten el acceso al espectro, promuevan el despliegue de redes y maximicen los beneficios económicos y sociales derivados de su uso eficiente.</w:t>
            </w:r>
          </w:p>
          <w:p w14:paraId="43831095" w14:textId="77777777" w:rsidR="00734827" w:rsidRDefault="00734827" w:rsidP="00734827">
            <w:pPr>
              <w:jc w:val="both"/>
              <w:rPr>
                <w:rFonts w:cs="Arial"/>
                <w:color w:val="000000" w:themeColor="text1"/>
                <w:sz w:val="22"/>
                <w:szCs w:val="22"/>
              </w:rPr>
            </w:pPr>
          </w:p>
          <w:p w14:paraId="161FFD5F" w14:textId="77777777" w:rsidR="00734827" w:rsidRDefault="00734827" w:rsidP="00734827">
            <w:pPr>
              <w:jc w:val="both"/>
              <w:rPr>
                <w:rFonts w:cs="Arial"/>
                <w:color w:val="000000" w:themeColor="text1"/>
                <w:sz w:val="22"/>
                <w:szCs w:val="22"/>
                <w:lang w:val="es-CO"/>
              </w:rPr>
            </w:pPr>
            <w:r w:rsidRPr="043D31BE">
              <w:rPr>
                <w:rFonts w:cs="Arial"/>
                <w:color w:val="000000" w:themeColor="text1"/>
                <w:sz w:val="22"/>
                <w:szCs w:val="22"/>
                <w:lang w:val="es-CO"/>
              </w:rPr>
              <w:t>En conclusión, en Colombia existe una disponibilidad significativa de espectro IMT pendiente de asignación, equivalente a 285 MHz, lo que evidencia un rezago relativo frente a otros países de la región en términos de asignación de este recurso. A partir de este diagnóstico, y en línea con lo expuesto en secciones anteriores sobre los efectos del espectro en el bienestar social, la asignación de dicho recurso tiene el potencial de generar mejoras en términos de cobertura, calidad de los servicios y adopción tecnológica, bajo ciertas condiciones. En contraste, la no asignación oportuna del espectro puede traducirse en costos de oportunidad asociados a la pérdida de estos beneficios. En ese sentido, se identifica la necesidad de avanzar hacia mecanismos de asignación más ágiles y alineados con las condiciones del mercado, que faciliten el acceso al espectro, promuevan el despliegue de redes y maximicen los beneficios económicos y sociales derivados de su uso eficiente.</w:t>
            </w:r>
          </w:p>
          <w:p w14:paraId="149D002C" w14:textId="77777777" w:rsidR="00734827" w:rsidRDefault="00734827" w:rsidP="00734827">
            <w:pPr>
              <w:jc w:val="both"/>
              <w:rPr>
                <w:rFonts w:cs="Arial"/>
                <w:color w:val="000000" w:themeColor="text1"/>
                <w:sz w:val="22"/>
                <w:szCs w:val="22"/>
                <w:lang w:val="es-CO"/>
              </w:rPr>
            </w:pPr>
          </w:p>
          <w:p w14:paraId="68E133CB" w14:textId="7D8FAE15" w:rsidR="00734827" w:rsidRPr="00734827" w:rsidRDefault="00734827" w:rsidP="00734827">
            <w:pPr>
              <w:pStyle w:val="Prrafodelista"/>
              <w:numPr>
                <w:ilvl w:val="0"/>
                <w:numId w:val="44"/>
              </w:numPr>
              <w:rPr>
                <w:rFonts w:cs="Arial"/>
                <w:sz w:val="22"/>
                <w:szCs w:val="22"/>
              </w:rPr>
            </w:pPr>
            <w:r w:rsidRPr="00734827">
              <w:rPr>
                <w:rFonts w:cs="Arial"/>
                <w:b/>
                <w:bCs/>
                <w:sz w:val="22"/>
                <w:szCs w:val="22"/>
              </w:rPr>
              <w:t>IDENTIFICACIÓN DEL OBJETIVO PRINCIPAL DEL PROYECTO QUE SE PLANTEA PRODUCIR, Y DE CÓMO ESTE ABORDARÁ EL PROBLEMA IDENTIFICADO.</w:t>
            </w:r>
          </w:p>
          <w:p w14:paraId="0FD32F45" w14:textId="77777777" w:rsidR="00734827" w:rsidRPr="00734827" w:rsidRDefault="00734827" w:rsidP="00734827">
            <w:pPr>
              <w:pStyle w:val="Prrafodelista"/>
              <w:rPr>
                <w:rFonts w:cs="Arial"/>
                <w:sz w:val="22"/>
                <w:szCs w:val="22"/>
              </w:rPr>
            </w:pPr>
          </w:p>
          <w:p w14:paraId="6C226B73" w14:textId="77777777" w:rsidR="00734827" w:rsidRPr="00F519FF" w:rsidRDefault="00734827" w:rsidP="00734827">
            <w:pPr>
              <w:jc w:val="both"/>
              <w:rPr>
                <w:rFonts w:eastAsia="Verdana" w:cs="Arial"/>
                <w:sz w:val="22"/>
                <w:szCs w:val="22"/>
              </w:rPr>
            </w:pPr>
            <w:r w:rsidRPr="00F519FF">
              <w:rPr>
                <w:rFonts w:eastAsia="Verdana" w:cs="Arial"/>
                <w:sz w:val="22"/>
                <w:szCs w:val="22"/>
              </w:rPr>
              <w:t>La asignación del espectro radioeléctrico representa un elemento crítico en la política de telecomunicaciones, por su impacto en el bienestar social y en la calidad del servicio, y el potencial de las redes de</w:t>
            </w:r>
            <w:r>
              <w:rPr>
                <w:rFonts w:eastAsia="Verdana" w:cs="Arial"/>
                <w:sz w:val="22"/>
                <w:szCs w:val="22"/>
              </w:rPr>
              <w:t xml:space="preserve"> </w:t>
            </w:r>
            <w:r w:rsidRPr="00F519FF">
              <w:rPr>
                <w:rFonts w:eastAsia="Verdana" w:cs="Arial"/>
                <w:sz w:val="22"/>
                <w:szCs w:val="22"/>
              </w:rPr>
              <w:t>telecomunicaciones. La relación entre la gestión del espectro y el bienestar económico ha sido ampliamente estudiada en la literatura, siendo el análisis de Hazlett y Muñoz (2009) una referencia fundamental que demuestra cómo las decisiones de asignación de espectro influyen significativamente en el excedente del consumidor y la eficiencia general del mercado. Este, como muchos otros trabajos concluyen que una mayor disponibilidad de espectro conduce a precios minoristas más bajos y a un mayor rendimiento del mercado, al tiempo que destaca cómo los mecanismos de asignación como las subastas, cuando se centran únicamente en la maximización de ingresos, pueden entrar en conflicto con objetivos más amplios de bienestar.</w:t>
            </w:r>
          </w:p>
          <w:p w14:paraId="7F8108B2" w14:textId="77777777" w:rsidR="00734827" w:rsidRPr="00F519FF" w:rsidRDefault="00734827" w:rsidP="00734827">
            <w:pPr>
              <w:jc w:val="both"/>
              <w:rPr>
                <w:rFonts w:eastAsia="Verdana" w:cs="Arial"/>
                <w:sz w:val="22"/>
                <w:szCs w:val="22"/>
              </w:rPr>
            </w:pPr>
            <w:r w:rsidRPr="00F519FF">
              <w:rPr>
                <w:rFonts w:eastAsia="Verdana" w:cs="Arial"/>
                <w:sz w:val="22"/>
                <w:szCs w:val="22"/>
              </w:rPr>
              <w:t xml:space="preserve"> </w:t>
            </w:r>
          </w:p>
          <w:p w14:paraId="1437807D" w14:textId="77777777" w:rsidR="00734827" w:rsidRPr="00F519FF" w:rsidRDefault="00734827" w:rsidP="00734827">
            <w:pPr>
              <w:jc w:val="both"/>
              <w:rPr>
                <w:rFonts w:eastAsia="Verdana" w:cs="Arial"/>
                <w:sz w:val="22"/>
                <w:szCs w:val="22"/>
                <w:lang w:val="es"/>
              </w:rPr>
            </w:pPr>
            <w:r w:rsidRPr="00F519FF">
              <w:rPr>
                <w:rFonts w:eastAsia="Verdana" w:cs="Arial"/>
                <w:sz w:val="22"/>
                <w:szCs w:val="22"/>
                <w:lang w:val="es"/>
              </w:rPr>
              <w:t>En ese sentido, en aras de promover el uso eficiente del espectro radioeléctrico, se establece la estandarización en la asignación de permisos de uso de espectro radioeléctrico atribuido al servicio móvil, específicamente el identificado para las telecomunicaciones móviles internacionales (IMT por su sigla en inglés) y que sea remanente de procesos de asignación anteriores, como un método que promueve los preceptos constitucionales de uso eficiente y mejoras en la calidad del servicio, así como el uso eficiente de la infraestructura, entre otros objetivos de política pública.</w:t>
            </w:r>
          </w:p>
          <w:p w14:paraId="683F8BC0" w14:textId="3048FD93" w:rsidR="00734827" w:rsidRDefault="00734827" w:rsidP="00734827">
            <w:pPr>
              <w:jc w:val="both"/>
              <w:rPr>
                <w:rFonts w:cs="Arial"/>
                <w:color w:val="000000" w:themeColor="text1"/>
                <w:sz w:val="22"/>
                <w:szCs w:val="22"/>
                <w:lang w:val="es-CO"/>
              </w:rPr>
            </w:pPr>
          </w:p>
          <w:p w14:paraId="795380C5" w14:textId="77777777" w:rsidR="00734827" w:rsidRPr="00F519FF" w:rsidRDefault="00734827" w:rsidP="00734827">
            <w:pPr>
              <w:pStyle w:val="Prrafodelista"/>
              <w:numPr>
                <w:ilvl w:val="0"/>
                <w:numId w:val="49"/>
              </w:numPr>
              <w:jc w:val="both"/>
              <w:rPr>
                <w:rFonts w:eastAsia="Arial" w:cs="Arial"/>
                <w:color w:val="000000" w:themeColor="text1"/>
                <w:sz w:val="22"/>
                <w:szCs w:val="22"/>
              </w:rPr>
            </w:pPr>
            <w:r w:rsidRPr="00F519FF">
              <w:rPr>
                <w:rFonts w:eastAsia="Arial" w:cs="Arial"/>
                <w:b/>
                <w:bCs/>
                <w:color w:val="000000" w:themeColor="text1"/>
                <w:sz w:val="22"/>
                <w:szCs w:val="22"/>
                <w:lang w:val="es-CO"/>
              </w:rPr>
              <w:t>ANÁLISIS EXPRESO Y DETALLADO DE LAS NORMAS QUE OTORGAN LA COMPETENCIA PARA LA EXPEDICIÓN DEL CORRESPONDIENTE ACTO.</w:t>
            </w:r>
          </w:p>
          <w:p w14:paraId="13800CD1" w14:textId="77777777" w:rsidR="00734827" w:rsidRDefault="00734827" w:rsidP="00734827"/>
          <w:p w14:paraId="32785C28" w14:textId="77777777" w:rsidR="00734827" w:rsidRDefault="00734827" w:rsidP="00734827"/>
          <w:p w14:paraId="4E744724" w14:textId="77777777" w:rsidR="00734827" w:rsidRPr="00541F87" w:rsidRDefault="00734827" w:rsidP="00734827">
            <w:pPr>
              <w:jc w:val="both"/>
              <w:rPr>
                <w:rFonts w:eastAsia="Arial" w:cs="Arial"/>
                <w:color w:val="000000" w:themeColor="text1"/>
                <w:sz w:val="22"/>
                <w:szCs w:val="22"/>
              </w:rPr>
            </w:pPr>
            <w:r w:rsidRPr="00F519FF">
              <w:rPr>
                <w:rFonts w:eastAsia="Arial" w:cs="Arial"/>
                <w:color w:val="000000" w:themeColor="text1"/>
                <w:sz w:val="22"/>
                <w:szCs w:val="22"/>
                <w:lang w:val="es-CO"/>
              </w:rPr>
              <w:t xml:space="preserve">De conformidad con lo establecido en los artículos 75, 101 y 102 de la Carta Política de Colombia, </w:t>
            </w:r>
            <w:r w:rsidRPr="00F519FF">
              <w:rPr>
                <w:rFonts w:eastAsia="Arial" w:cs="Arial"/>
                <w:color w:val="000000" w:themeColor="text1"/>
                <w:sz w:val="22"/>
                <w:szCs w:val="22"/>
              </w:rPr>
              <w:t>el espectro electromagnético es un bien público que forma parte de Colombia, pertenece a la Nación y como tal, es inalienable e imprescriptible y está sujeto a la gestión y control del Estado, por lo cual su uso debe responder al interés general</w:t>
            </w:r>
            <w:r w:rsidRPr="00D567CA">
              <w:rPr>
                <w:rFonts w:eastAsia="Arial" w:cs="Arial"/>
                <w:color w:val="000000" w:themeColor="text1"/>
                <w:sz w:val="22"/>
                <w:szCs w:val="22"/>
              </w:rPr>
              <w:t>.</w:t>
            </w:r>
          </w:p>
          <w:p w14:paraId="5DDA1D66" w14:textId="77777777" w:rsidR="00734827" w:rsidRPr="00F519FF" w:rsidRDefault="00734827" w:rsidP="00734827">
            <w:pPr>
              <w:jc w:val="both"/>
              <w:rPr>
                <w:rFonts w:eastAsia="Arial" w:cs="Arial"/>
                <w:color w:val="000000" w:themeColor="text1"/>
                <w:sz w:val="22"/>
                <w:szCs w:val="22"/>
              </w:rPr>
            </w:pPr>
          </w:p>
          <w:p w14:paraId="13A6AC6C" w14:textId="77777777" w:rsidR="00734827" w:rsidRPr="00F519FF" w:rsidRDefault="00734827" w:rsidP="00734827">
            <w:pPr>
              <w:shd w:val="clear" w:color="auto" w:fill="FFFFFF" w:themeFill="background1"/>
              <w:contextualSpacing/>
              <w:jc w:val="both"/>
              <w:rPr>
                <w:rFonts w:eastAsia="Arial" w:cs="Arial"/>
                <w:color w:val="000000" w:themeColor="text1"/>
                <w:sz w:val="22"/>
                <w:szCs w:val="22"/>
              </w:rPr>
            </w:pPr>
            <w:r w:rsidRPr="00F519FF">
              <w:rPr>
                <w:rFonts w:eastAsia="Arial" w:cs="Arial"/>
                <w:color w:val="000000" w:themeColor="text1"/>
                <w:sz w:val="22"/>
                <w:szCs w:val="22"/>
              </w:rPr>
              <w:t>En virtud de lo establecido en el artículo 334 de la Constitución Política, el Estado debe intervenir, por mandato de la Ley, en los servicios públicos, entre otros, con el fin de conseguir el mejoramiento de la calidad de vida de los habitantes, la distribución equitativa de las oportunidades y los beneficios del desarrollo.</w:t>
            </w:r>
          </w:p>
          <w:p w14:paraId="7C3160F4" w14:textId="77777777" w:rsidR="00734827" w:rsidRPr="00F519FF" w:rsidRDefault="00734827" w:rsidP="00734827">
            <w:pPr>
              <w:jc w:val="both"/>
              <w:rPr>
                <w:rFonts w:eastAsia="Arial" w:cs="Arial"/>
                <w:color w:val="000000" w:themeColor="text1"/>
                <w:sz w:val="22"/>
                <w:szCs w:val="22"/>
              </w:rPr>
            </w:pPr>
          </w:p>
          <w:p w14:paraId="0D6179EA" w14:textId="77777777" w:rsidR="00734827" w:rsidRPr="00F519FF" w:rsidRDefault="00734827" w:rsidP="00734827">
            <w:pPr>
              <w:jc w:val="both"/>
              <w:rPr>
                <w:rFonts w:eastAsia="Arial" w:cs="Arial"/>
                <w:color w:val="000000" w:themeColor="text1"/>
                <w:sz w:val="22"/>
                <w:szCs w:val="22"/>
              </w:rPr>
            </w:pPr>
            <w:r w:rsidRPr="00F519FF">
              <w:rPr>
                <w:rFonts w:eastAsia="Arial" w:cs="Arial"/>
                <w:color w:val="000000" w:themeColor="text1"/>
                <w:sz w:val="22"/>
                <w:szCs w:val="22"/>
                <w:lang w:val="es-CO"/>
              </w:rPr>
              <w:t>Por su parte, el numeral 3 del artículo 2 de la Ley 1341 de 2009 establece que es deber del Estado fomentar el despliegue y el uso eficiente de la infraestructura para la provisión de redes de telecomunicaciones, y los servicios que sobre ellas se puedan prestar, y promover el óptimo aprovechamiento de los recursos escasos, con el ánimo de generar competencia, calidad y eficiencia, en beneficio de los usuarios.</w:t>
            </w:r>
          </w:p>
          <w:p w14:paraId="6F8EB07D" w14:textId="77777777" w:rsidR="00734827" w:rsidRPr="00F519FF" w:rsidRDefault="00734827" w:rsidP="00734827">
            <w:pPr>
              <w:jc w:val="both"/>
              <w:rPr>
                <w:rFonts w:eastAsia="Arial" w:cs="Arial"/>
                <w:color w:val="000000" w:themeColor="text1"/>
                <w:sz w:val="22"/>
                <w:szCs w:val="22"/>
              </w:rPr>
            </w:pPr>
          </w:p>
          <w:p w14:paraId="5015AB3D" w14:textId="77777777" w:rsidR="00734827" w:rsidRPr="00F519FF" w:rsidRDefault="00734827" w:rsidP="00734827">
            <w:pPr>
              <w:jc w:val="both"/>
              <w:rPr>
                <w:rFonts w:eastAsia="Arial" w:cs="Arial"/>
                <w:color w:val="000000" w:themeColor="text1"/>
                <w:sz w:val="22"/>
                <w:szCs w:val="22"/>
              </w:rPr>
            </w:pPr>
            <w:r w:rsidRPr="00F519FF">
              <w:rPr>
                <w:rFonts w:eastAsia="Arial" w:cs="Arial"/>
                <w:color w:val="000000" w:themeColor="text1"/>
                <w:sz w:val="22"/>
                <w:szCs w:val="22"/>
                <w:lang w:val="es-CO"/>
              </w:rPr>
              <w:t>Así mismo, el numeral 6 del artículo 2 de la Ley 1341 de 2009 señala que el Estado debe garantizar la libre adopción de tecnologías, teniendo en cuenta recomendaciones, conceptos y normativas de los organismos internacionales competentes e idóneos en la materia, que permitan fomentar la eficiente prestación de servicios, contenidos y aplicaciones que usen Tecnologías de la Información y las Comunicaciones y garantizar la libre y leal competencia, y que su adopción sea armónica con el desarrollo ambiental sostenible.</w:t>
            </w:r>
          </w:p>
          <w:p w14:paraId="6A571880" w14:textId="77777777" w:rsidR="00734827" w:rsidRPr="00F519FF" w:rsidRDefault="00734827" w:rsidP="00734827">
            <w:pPr>
              <w:jc w:val="both"/>
              <w:rPr>
                <w:rFonts w:eastAsia="Arial" w:cs="Arial"/>
                <w:color w:val="000000" w:themeColor="text1"/>
                <w:sz w:val="22"/>
                <w:szCs w:val="22"/>
              </w:rPr>
            </w:pPr>
          </w:p>
          <w:p w14:paraId="2A53E26F" w14:textId="77777777" w:rsidR="00734827" w:rsidRPr="00F519FF" w:rsidRDefault="00734827" w:rsidP="00734827">
            <w:pPr>
              <w:jc w:val="both"/>
              <w:rPr>
                <w:rFonts w:eastAsia="Arial" w:cs="Arial"/>
                <w:color w:val="000000" w:themeColor="text1"/>
                <w:sz w:val="22"/>
                <w:szCs w:val="22"/>
              </w:rPr>
            </w:pPr>
            <w:r w:rsidRPr="00F519FF">
              <w:rPr>
                <w:rFonts w:eastAsia="Arial" w:cs="Arial"/>
                <w:color w:val="000000" w:themeColor="text1"/>
                <w:sz w:val="22"/>
                <w:szCs w:val="22"/>
                <w:lang w:val="es-CO"/>
              </w:rPr>
              <w:t>A su turno, el numeral 7 del artículo 4 de la Ley 1341 de 2009, modificado por el artículo 4 de la Ley 1978 de 2019, establece que uno de los fines de la intervención del Estado en el sector de las Tecnologías de la Información y las Comunicaciones es garantizar el uso adecuado del espectro radioeléctrico, así como su reorganización, respetando el principio de protección a la inversión asociada a su uso.</w:t>
            </w:r>
          </w:p>
          <w:p w14:paraId="6F22806E" w14:textId="77777777" w:rsidR="00734827" w:rsidRPr="00F519FF" w:rsidRDefault="00734827" w:rsidP="00734827">
            <w:pPr>
              <w:jc w:val="both"/>
              <w:rPr>
                <w:rFonts w:eastAsia="Arial" w:cs="Arial"/>
                <w:color w:val="000000" w:themeColor="text1"/>
                <w:sz w:val="22"/>
                <w:szCs w:val="22"/>
              </w:rPr>
            </w:pPr>
          </w:p>
          <w:p w14:paraId="1FED698F" w14:textId="77777777" w:rsidR="00734827" w:rsidRPr="00F519FF" w:rsidRDefault="00734827" w:rsidP="00734827">
            <w:pPr>
              <w:jc w:val="both"/>
              <w:rPr>
                <w:rFonts w:eastAsia="Arial" w:cs="Arial"/>
                <w:color w:val="000000" w:themeColor="text1"/>
                <w:sz w:val="22"/>
                <w:szCs w:val="22"/>
              </w:rPr>
            </w:pPr>
            <w:r w:rsidRPr="00F519FF">
              <w:rPr>
                <w:rFonts w:eastAsia="Arial" w:cs="Arial"/>
                <w:color w:val="000000" w:themeColor="text1"/>
                <w:sz w:val="22"/>
                <w:szCs w:val="22"/>
                <w:lang w:val="es-CO"/>
              </w:rPr>
              <w:t>Teniendo en cuenta lo anterior, se puede concluir que el espectro es un bien limitado y, por consiguiente, el Estado tiene la obligación de velar por su uso eficiente y garantizar la igualdad en su acceso, para lo cual</w:t>
            </w:r>
            <w:r>
              <w:rPr>
                <w:rFonts w:eastAsia="Arial" w:cs="Arial"/>
                <w:color w:val="000000" w:themeColor="text1"/>
                <w:sz w:val="22"/>
                <w:szCs w:val="22"/>
                <w:lang w:val="es-CO"/>
              </w:rPr>
              <w:t xml:space="preserve"> </w:t>
            </w:r>
            <w:r w:rsidRPr="00F519FF">
              <w:rPr>
                <w:rFonts w:eastAsia="Arial" w:cs="Arial"/>
                <w:color w:val="000000" w:themeColor="text1"/>
                <w:sz w:val="22"/>
                <w:szCs w:val="22"/>
                <w:lang w:val="es-CO"/>
              </w:rPr>
              <w:t xml:space="preserve">tendrá en cuenta los desarrollos tecnológicos y las necesidades del sector. Lo anterior, considerando que el espectro es uno de los insumos más importantes para la provisión de los servicios de telecomunicaciones inalámbricas, siendo a la vez son un elemento clave en la transformación tecnológica que está viviendo la sociedad. Dicha transformación se ve apalancada con el creciente desarrollo de tecnologías como la inteligencia artificial, la analítica de datos, las aplicaciones de comunicaciones de quinta generación (5G), entre otras. En </w:t>
            </w:r>
            <w:r w:rsidRPr="00F519FF">
              <w:rPr>
                <w:rFonts w:eastAsia="Arial" w:cs="Arial"/>
                <w:color w:val="000000" w:themeColor="text1"/>
                <w:sz w:val="22"/>
                <w:szCs w:val="22"/>
              </w:rPr>
              <w:t>este sentido, una gestión del espectro radioeléctrico orientada a garantizar su disponibilidad y asignación oportuna permite un mejor aprovechamiento de estas tecnologías.</w:t>
            </w:r>
          </w:p>
          <w:p w14:paraId="71F7575B" w14:textId="77777777" w:rsidR="00734827" w:rsidRPr="00F519FF" w:rsidRDefault="00734827" w:rsidP="00734827">
            <w:pPr>
              <w:jc w:val="both"/>
              <w:rPr>
                <w:rFonts w:eastAsia="Arial" w:cs="Arial"/>
                <w:color w:val="000000" w:themeColor="text1"/>
                <w:sz w:val="22"/>
                <w:szCs w:val="22"/>
              </w:rPr>
            </w:pPr>
          </w:p>
          <w:p w14:paraId="62615F90" w14:textId="77777777" w:rsidR="00734827" w:rsidRPr="00F519FF" w:rsidRDefault="00734827" w:rsidP="00734827">
            <w:pPr>
              <w:pStyle w:val="Prrafodelista"/>
              <w:numPr>
                <w:ilvl w:val="0"/>
                <w:numId w:val="49"/>
              </w:numPr>
              <w:jc w:val="both"/>
              <w:rPr>
                <w:rFonts w:eastAsia="Arial" w:cs="Arial"/>
                <w:color w:val="000000" w:themeColor="text1"/>
                <w:sz w:val="22"/>
                <w:szCs w:val="22"/>
              </w:rPr>
            </w:pPr>
            <w:r w:rsidRPr="00F519FF">
              <w:rPr>
                <w:rFonts w:eastAsia="Arial" w:cs="Arial"/>
                <w:b/>
                <w:bCs/>
                <w:color w:val="000000" w:themeColor="text1"/>
                <w:sz w:val="22"/>
                <w:szCs w:val="22"/>
                <w:lang w:val="es-CO"/>
              </w:rPr>
              <w:t>IDENTIFICACIÓN DEL INVENTARIO NORMATIVO VIGENTE EN LAS MATERIA(S) SOBRE LAS CUALES SE VA A DEROGAR, SUBROGAR, MODIFICAR, ADICIONAR O SUSTITUIR DE FORMA TOTAL O PARCIAL CON EL PROYECTO NORMATIVO.</w:t>
            </w:r>
          </w:p>
          <w:p w14:paraId="4C9C1471" w14:textId="77777777" w:rsidR="00734827" w:rsidRPr="00F519FF" w:rsidRDefault="00734827" w:rsidP="00734827">
            <w:pPr>
              <w:jc w:val="both"/>
              <w:rPr>
                <w:rFonts w:eastAsia="Arial" w:cs="Arial"/>
                <w:color w:val="000000" w:themeColor="text1"/>
                <w:sz w:val="22"/>
                <w:szCs w:val="22"/>
              </w:rPr>
            </w:pPr>
          </w:p>
          <w:p w14:paraId="1AC919EE" w14:textId="77777777" w:rsidR="00734827" w:rsidRPr="00F519FF" w:rsidRDefault="00734827" w:rsidP="00734827">
            <w:pPr>
              <w:pStyle w:val="Prrafodelista"/>
              <w:numPr>
                <w:ilvl w:val="0"/>
                <w:numId w:val="50"/>
              </w:numPr>
              <w:jc w:val="both"/>
              <w:rPr>
                <w:rFonts w:eastAsia="Arial" w:cs="Arial"/>
                <w:color w:val="000000" w:themeColor="text1"/>
                <w:sz w:val="22"/>
                <w:szCs w:val="22"/>
              </w:rPr>
            </w:pPr>
            <w:r w:rsidRPr="00F519FF">
              <w:rPr>
                <w:rFonts w:eastAsia="Arial" w:cs="Arial"/>
                <w:color w:val="000000" w:themeColor="text1"/>
                <w:sz w:val="22"/>
                <w:szCs w:val="22"/>
                <w:lang w:val="es-CO"/>
              </w:rPr>
              <w:t>Ley 1341 de 2009.</w:t>
            </w:r>
          </w:p>
          <w:p w14:paraId="2FF48200" w14:textId="77777777" w:rsidR="00734827" w:rsidRPr="00F519FF" w:rsidRDefault="00734827" w:rsidP="00734827">
            <w:pPr>
              <w:pStyle w:val="Prrafodelista"/>
              <w:numPr>
                <w:ilvl w:val="0"/>
                <w:numId w:val="50"/>
              </w:numPr>
              <w:jc w:val="both"/>
              <w:rPr>
                <w:rFonts w:eastAsia="Arial" w:cs="Arial"/>
                <w:color w:val="000000" w:themeColor="text1"/>
                <w:sz w:val="22"/>
                <w:szCs w:val="22"/>
              </w:rPr>
            </w:pPr>
            <w:r w:rsidRPr="00F519FF">
              <w:rPr>
                <w:rFonts w:eastAsia="Arial" w:cs="Arial"/>
                <w:color w:val="000000" w:themeColor="text1"/>
                <w:sz w:val="22"/>
                <w:szCs w:val="22"/>
                <w:lang w:val="es-CO"/>
              </w:rPr>
              <w:t>Ley 1978 de 2019.</w:t>
            </w:r>
          </w:p>
          <w:p w14:paraId="522BF8DD" w14:textId="77777777" w:rsidR="00734827" w:rsidRPr="00F519FF" w:rsidRDefault="00734827" w:rsidP="00734827">
            <w:pPr>
              <w:pStyle w:val="Prrafodelista"/>
              <w:numPr>
                <w:ilvl w:val="0"/>
                <w:numId w:val="50"/>
              </w:numPr>
              <w:jc w:val="both"/>
              <w:rPr>
                <w:rFonts w:eastAsia="Arial" w:cs="Arial"/>
                <w:color w:val="000000" w:themeColor="text1"/>
                <w:sz w:val="22"/>
                <w:szCs w:val="22"/>
              </w:rPr>
            </w:pPr>
            <w:r w:rsidRPr="00F519FF">
              <w:rPr>
                <w:rFonts w:eastAsia="Arial" w:cs="Arial"/>
                <w:color w:val="000000" w:themeColor="text1"/>
                <w:sz w:val="22"/>
                <w:szCs w:val="22"/>
                <w:lang w:val="es-CO"/>
              </w:rPr>
              <w:t>Decreto Único Reglamentario del Sector de Tecnologías de la Información y las Comunicaciones, Decreto 1078 de 2015.</w:t>
            </w:r>
          </w:p>
          <w:p w14:paraId="7BF71F55" w14:textId="77777777" w:rsidR="00734827" w:rsidRPr="00F519FF" w:rsidRDefault="00734827" w:rsidP="00734827">
            <w:pPr>
              <w:pStyle w:val="Prrafodelista"/>
              <w:numPr>
                <w:ilvl w:val="0"/>
                <w:numId w:val="50"/>
              </w:numPr>
              <w:jc w:val="both"/>
              <w:rPr>
                <w:rFonts w:eastAsia="Arial" w:cs="Arial"/>
                <w:color w:val="000000" w:themeColor="text1"/>
                <w:sz w:val="22"/>
                <w:szCs w:val="22"/>
              </w:rPr>
            </w:pPr>
            <w:r w:rsidRPr="00F519FF">
              <w:rPr>
                <w:rFonts w:eastAsia="Arial" w:cs="Arial"/>
                <w:color w:val="000000" w:themeColor="text1"/>
                <w:sz w:val="22"/>
                <w:szCs w:val="22"/>
                <w:lang w:val="es-CO"/>
              </w:rPr>
              <w:t>Resolución MinTIC 1075 de 2020</w:t>
            </w:r>
          </w:p>
          <w:p w14:paraId="201BBBC6" w14:textId="38DF380B" w:rsidR="00734827" w:rsidRDefault="00734827" w:rsidP="00734827">
            <w:pPr>
              <w:jc w:val="both"/>
              <w:rPr>
                <w:rFonts w:cs="Arial"/>
                <w:color w:val="000000" w:themeColor="text1"/>
                <w:sz w:val="22"/>
                <w:szCs w:val="22"/>
                <w:lang w:val="es-CO"/>
              </w:rPr>
            </w:pPr>
          </w:p>
          <w:p w14:paraId="2BA025F9" w14:textId="77777777" w:rsidR="00734827" w:rsidRPr="00F519FF" w:rsidRDefault="00734827" w:rsidP="00734827">
            <w:pPr>
              <w:pStyle w:val="Prrafodelista"/>
              <w:numPr>
                <w:ilvl w:val="0"/>
                <w:numId w:val="49"/>
              </w:numPr>
              <w:jc w:val="both"/>
              <w:rPr>
                <w:rFonts w:cs="Arial"/>
                <w:b/>
                <w:bCs/>
                <w:color w:val="000000" w:themeColor="text1"/>
                <w:sz w:val="22"/>
                <w:szCs w:val="22"/>
                <w:lang w:val="es-CO"/>
              </w:rPr>
            </w:pPr>
            <w:r w:rsidRPr="00F519FF">
              <w:rPr>
                <w:rFonts w:eastAsia="Arial" w:cs="Arial"/>
                <w:b/>
                <w:bCs/>
                <w:color w:val="000000" w:themeColor="text1"/>
                <w:sz w:val="22"/>
                <w:szCs w:val="22"/>
                <w:lang w:val="es-CO"/>
              </w:rPr>
              <w:t>IDENTIFICACIÓN DE LAS RAZONES POR LAS QUE LAS DISPOSICIONES DEL INVENTARIO NORMATIVO VIGENTE NO SON SUFICIENTES O EFECTIVAS PARA LOGRAR EL OBJETIVO QUE SE PRETENDE ALCANZAR CON LA INTERVENCIÓN NORMATIVA.</w:t>
            </w:r>
          </w:p>
          <w:p w14:paraId="39DD9800" w14:textId="77777777" w:rsidR="00734827" w:rsidRDefault="00734827" w:rsidP="00734827">
            <w:pPr>
              <w:pStyle w:val="Prrafodelista"/>
              <w:jc w:val="both"/>
              <w:rPr>
                <w:rFonts w:cs="Arial"/>
                <w:b/>
                <w:bCs/>
                <w:color w:val="000000" w:themeColor="text1"/>
                <w:sz w:val="22"/>
                <w:szCs w:val="22"/>
                <w:lang w:val="es-CO"/>
              </w:rPr>
            </w:pPr>
          </w:p>
          <w:p w14:paraId="051D09FA" w14:textId="77777777" w:rsidR="00734827" w:rsidRPr="00F519FF" w:rsidRDefault="00734827" w:rsidP="00734827">
            <w:pPr>
              <w:pStyle w:val="Prrafodelista"/>
              <w:numPr>
                <w:ilvl w:val="1"/>
                <w:numId w:val="51"/>
              </w:numPr>
              <w:jc w:val="both"/>
              <w:rPr>
                <w:rFonts w:eastAsia="Arial" w:cs="Arial"/>
                <w:color w:val="000000" w:themeColor="text1"/>
                <w:sz w:val="22"/>
                <w:szCs w:val="22"/>
                <w:lang w:val="es-CO"/>
              </w:rPr>
            </w:pPr>
            <w:r w:rsidRPr="00F519FF">
              <w:rPr>
                <w:rFonts w:eastAsia="Arial" w:cs="Arial"/>
                <w:color w:val="000000" w:themeColor="text1"/>
                <w:sz w:val="22"/>
                <w:szCs w:val="22"/>
                <w:lang w:val="es-CO"/>
              </w:rPr>
              <w:t xml:space="preserve">La gestión de espectro debe adecuarse y responder a dinámicas propias del mercado de telecomunicaciones, que se encuentran en cambio y evolución constante. </w:t>
            </w:r>
          </w:p>
          <w:p w14:paraId="4614645B" w14:textId="77777777" w:rsidR="00734827" w:rsidRPr="00F519FF" w:rsidRDefault="00734827" w:rsidP="00734827">
            <w:pPr>
              <w:pStyle w:val="Prrafodelista"/>
              <w:numPr>
                <w:ilvl w:val="1"/>
                <w:numId w:val="51"/>
              </w:numPr>
              <w:jc w:val="both"/>
              <w:rPr>
                <w:rFonts w:eastAsia="Arial" w:cs="Arial"/>
                <w:color w:val="000000" w:themeColor="text1"/>
                <w:sz w:val="22"/>
                <w:szCs w:val="22"/>
                <w:lang w:val="es-CO"/>
              </w:rPr>
            </w:pPr>
            <w:r w:rsidRPr="00F519FF">
              <w:rPr>
                <w:rFonts w:eastAsia="Arial" w:cs="Arial"/>
                <w:color w:val="000000" w:themeColor="text1"/>
                <w:sz w:val="22"/>
                <w:szCs w:val="22"/>
                <w:lang w:val="es-CO"/>
              </w:rPr>
              <w:t>La necesidad de habilitar el acceso oportuno al espectro radioeléctrico.</w:t>
            </w:r>
          </w:p>
          <w:p w14:paraId="175ADB2A" w14:textId="77777777" w:rsidR="00734827" w:rsidRDefault="00734827" w:rsidP="00734827">
            <w:pPr>
              <w:pStyle w:val="Prrafodelista"/>
              <w:numPr>
                <w:ilvl w:val="1"/>
                <w:numId w:val="51"/>
              </w:numPr>
              <w:jc w:val="both"/>
              <w:rPr>
                <w:rFonts w:ascii="Verdana" w:eastAsia="Verdana" w:hAnsi="Verdana" w:cs="Verdana"/>
                <w:sz w:val="22"/>
                <w:szCs w:val="22"/>
                <w:lang w:val="es"/>
              </w:rPr>
            </w:pPr>
            <w:r w:rsidRPr="00F519FF">
              <w:rPr>
                <w:rFonts w:eastAsia="Verdana" w:cs="Arial"/>
                <w:sz w:val="22"/>
                <w:szCs w:val="22"/>
                <w:lang w:val="es"/>
              </w:rPr>
              <w:lastRenderedPageBreak/>
              <w:t>El costo de oportunidad de una asignación prematura se materializa en la subutilización del recurso, donde el espectro podría permanecer sin uso efectivo durante períodos significativos debido a la falta de madurez tecnológica o a la demanda del mercado. Por otro lado, una asignación tardía puede resultar en pérdidas de eficiencia y bienestar social, manifestándose en congestión de redes, menor calidad de servicio y retraso en la adopción de nuevas tecnologías</w:t>
            </w:r>
            <w:r w:rsidRPr="043D31BE">
              <w:rPr>
                <w:rFonts w:ascii="Verdana" w:eastAsia="Verdana" w:hAnsi="Verdana" w:cs="Verdana"/>
                <w:sz w:val="22"/>
                <w:szCs w:val="22"/>
                <w:lang w:val="es"/>
              </w:rPr>
              <w:t>.</w:t>
            </w:r>
          </w:p>
          <w:p w14:paraId="1396A783" w14:textId="77777777" w:rsidR="00734827" w:rsidRPr="00F519FF" w:rsidRDefault="00734827" w:rsidP="00734827">
            <w:pPr>
              <w:pStyle w:val="Prrafodelista"/>
              <w:numPr>
                <w:ilvl w:val="1"/>
                <w:numId w:val="51"/>
              </w:numPr>
              <w:jc w:val="both"/>
              <w:rPr>
                <w:color w:val="000000" w:themeColor="text1"/>
                <w:lang w:val="es-CO"/>
              </w:rPr>
            </w:pPr>
            <w:r w:rsidRPr="00F519FF">
              <w:rPr>
                <w:rFonts w:eastAsia="Arial" w:cs="Arial"/>
                <w:color w:val="000000" w:themeColor="text1"/>
                <w:sz w:val="22"/>
                <w:szCs w:val="22"/>
                <w:lang w:val="es-CO"/>
              </w:rPr>
              <w:t>Establecer un Mecanismo de Asignación Estándar de Espectro Remanente promueve el acceso oportuno y el uso eficiente de este recurso limitado.</w:t>
            </w:r>
          </w:p>
          <w:p w14:paraId="15A50A7C" w14:textId="77777777" w:rsidR="00734827" w:rsidRDefault="00734827" w:rsidP="00734827">
            <w:pPr>
              <w:pStyle w:val="Prrafodelista"/>
              <w:jc w:val="both"/>
              <w:rPr>
                <w:rFonts w:eastAsia="Arial" w:cs="Arial"/>
                <w:b/>
                <w:bCs/>
                <w:color w:val="D13438"/>
                <w:sz w:val="22"/>
                <w:szCs w:val="22"/>
                <w:u w:val="single"/>
                <w:lang w:val="es-CO"/>
              </w:rPr>
            </w:pPr>
          </w:p>
          <w:p w14:paraId="778FEBDE" w14:textId="77777777" w:rsidR="00734827" w:rsidRDefault="00734827" w:rsidP="00734827">
            <w:pPr>
              <w:pStyle w:val="Prrafodelista"/>
              <w:numPr>
                <w:ilvl w:val="0"/>
                <w:numId w:val="49"/>
              </w:numPr>
              <w:jc w:val="both"/>
              <w:rPr>
                <w:rFonts w:eastAsia="Arial" w:cs="Arial"/>
                <w:sz w:val="22"/>
                <w:szCs w:val="22"/>
                <w:lang w:val="es-CO"/>
              </w:rPr>
            </w:pPr>
            <w:r w:rsidRPr="043D31BE">
              <w:rPr>
                <w:rFonts w:cs="Arial"/>
                <w:b/>
                <w:bCs/>
                <w:color w:val="000000" w:themeColor="text1"/>
                <w:sz w:val="22"/>
                <w:szCs w:val="22"/>
                <w:lang w:val="es-CO"/>
              </w:rPr>
              <w:t xml:space="preserve">EXPLICACIÓN DE POR QUÉ EL ABORDAJE DEL PROBLEMA, NECESIDAD U OPORTUNIDAD DEBE SER DESDE EL PUNTO DE VISTA NORMATIVO Y NO DE POLÍTICA PÚBLICA O DE OTRO TIPO DE INTERVENCIÓN.  </w:t>
            </w:r>
          </w:p>
          <w:p w14:paraId="6758A606" w14:textId="77777777" w:rsidR="00734827" w:rsidRDefault="00734827" w:rsidP="00734827">
            <w:pPr>
              <w:pStyle w:val="Prrafodelista"/>
              <w:jc w:val="both"/>
              <w:rPr>
                <w:rFonts w:eastAsia="Arial" w:cs="Arial"/>
                <w:sz w:val="22"/>
                <w:szCs w:val="22"/>
                <w:lang w:val="es-CO"/>
              </w:rPr>
            </w:pPr>
          </w:p>
          <w:p w14:paraId="2E842D6A" w14:textId="5BCA5F9A" w:rsidR="00734827" w:rsidRPr="003A7F76" w:rsidRDefault="00734827" w:rsidP="00734827">
            <w:pPr>
              <w:jc w:val="both"/>
              <w:rPr>
                <w:rFonts w:cs="Arial"/>
                <w:color w:val="000000" w:themeColor="text1"/>
                <w:sz w:val="22"/>
                <w:szCs w:val="22"/>
              </w:rPr>
            </w:pPr>
            <w:r>
              <w:rPr>
                <w:rFonts w:cs="Arial"/>
                <w:color w:val="000000" w:themeColor="text1"/>
                <w:sz w:val="22"/>
                <w:szCs w:val="22"/>
              </w:rPr>
              <w:t>Al respecto</w:t>
            </w:r>
            <w:r w:rsidRPr="003A7F76">
              <w:rPr>
                <w:rFonts w:cs="Arial"/>
                <w:color w:val="000000" w:themeColor="text1"/>
                <w:sz w:val="22"/>
                <w:szCs w:val="22"/>
              </w:rPr>
              <w:t>, en el Plan Nacional de Desarrollo - PND 2022-2026, expedido mediante la Ley 2294 de 2023, “</w:t>
            </w:r>
            <w:r w:rsidRPr="000C1B44">
              <w:rPr>
                <w:rFonts w:cs="Arial"/>
                <w:i/>
                <w:iCs/>
                <w:color w:val="000000" w:themeColor="text1"/>
                <w:sz w:val="22"/>
                <w:szCs w:val="22"/>
              </w:rPr>
              <w:t>Colombia, potencia mundial de la vida</w:t>
            </w:r>
            <w:r w:rsidRPr="003A7F76">
              <w:rPr>
                <w:rFonts w:cs="Arial"/>
                <w:color w:val="000000" w:themeColor="text1"/>
                <w:sz w:val="22"/>
                <w:szCs w:val="22"/>
              </w:rPr>
              <w:t>”, se establecieron una serie de disposiciones que trazan el camino a seguir en el país en materia de conectividad. Para comprender lo anterior, es necesario partir del objetivo general de este Plan</w:t>
            </w:r>
            <w:r>
              <w:rPr>
                <w:rFonts w:cs="Arial"/>
                <w:color w:val="000000" w:themeColor="text1"/>
                <w:sz w:val="22"/>
                <w:szCs w:val="22"/>
              </w:rPr>
              <w:t>, el cual consiste en</w:t>
            </w:r>
            <w:r w:rsidRPr="003A7F76">
              <w:rPr>
                <w:rFonts w:cs="Arial"/>
                <w:color w:val="000000" w:themeColor="text1"/>
                <w:sz w:val="22"/>
                <w:szCs w:val="22"/>
              </w:rPr>
              <w:t xml:space="preserve"> sentar las bases para que el país se convierta en un líder de la protección de la vida, a partir de la construcción de un nuevo contrato social que propicie la superación de injusticias y exclusiones históricas, la no repetición del conflicto, el cambio de nuestra forma de relacionarnos</w:t>
            </w:r>
            <w:r w:rsidRPr="003A7F76">
              <w:rPr>
                <w:rFonts w:cs="Arial"/>
                <w:color w:val="000000" w:themeColor="text1"/>
                <w:sz w:val="22"/>
                <w:szCs w:val="22"/>
              </w:rPr>
              <w:t xml:space="preserve"> </w:t>
            </w:r>
            <w:r w:rsidRPr="003A7F76">
              <w:rPr>
                <w:rFonts w:cs="Arial"/>
                <w:color w:val="000000" w:themeColor="text1"/>
                <w:sz w:val="22"/>
                <w:szCs w:val="22"/>
              </w:rPr>
              <w:t>con el ambiente y una transformación productiva sustentada en el conocimiento y en armonía con la naturalez</w:t>
            </w:r>
            <w:r>
              <w:rPr>
                <w:rFonts w:cs="Arial"/>
                <w:color w:val="000000" w:themeColor="text1"/>
                <w:sz w:val="22"/>
                <w:szCs w:val="22"/>
              </w:rPr>
              <w:t>a</w:t>
            </w:r>
            <w:r>
              <w:rPr>
                <w:rStyle w:val="Refdenotaalpie"/>
                <w:rFonts w:cs="Arial"/>
                <w:color w:val="000000" w:themeColor="text1"/>
                <w:sz w:val="22"/>
                <w:szCs w:val="22"/>
              </w:rPr>
              <w:footnoteReference w:id="2"/>
            </w:r>
            <w:r>
              <w:rPr>
                <w:rFonts w:cs="Arial"/>
                <w:color w:val="000000" w:themeColor="text1"/>
                <w:sz w:val="22"/>
                <w:szCs w:val="22"/>
              </w:rPr>
              <w:t>.</w:t>
            </w:r>
          </w:p>
          <w:p w14:paraId="1FCF11FA" w14:textId="77777777" w:rsidR="00734827" w:rsidRPr="003A7F76" w:rsidRDefault="00734827" w:rsidP="00734827">
            <w:pPr>
              <w:jc w:val="both"/>
              <w:rPr>
                <w:rFonts w:cs="Arial"/>
                <w:color w:val="000000" w:themeColor="text1"/>
                <w:sz w:val="22"/>
                <w:szCs w:val="22"/>
              </w:rPr>
            </w:pPr>
          </w:p>
          <w:p w14:paraId="65F16ED2" w14:textId="77777777" w:rsidR="00734827" w:rsidRPr="003A7F76" w:rsidRDefault="00734827" w:rsidP="00734827">
            <w:pPr>
              <w:jc w:val="both"/>
              <w:rPr>
                <w:rFonts w:cs="Arial"/>
                <w:color w:val="000000" w:themeColor="text1"/>
                <w:sz w:val="22"/>
                <w:szCs w:val="22"/>
              </w:rPr>
            </w:pPr>
            <w:r w:rsidRPr="003A7F76">
              <w:rPr>
                <w:rFonts w:cs="Arial"/>
                <w:color w:val="000000" w:themeColor="text1"/>
                <w:sz w:val="22"/>
                <w:szCs w:val="22"/>
              </w:rPr>
              <w:t xml:space="preserve">A través del PND, se estableció como objetivo promover la conectividad digital como generador de oportunidades, riqueza, igualdad y productividad, buscando llevar conectividad a zonas vulnerables y apartadas, mejorar la cobertura y calidad de los servicios de telecomunicaciones a través de diferentes tecnologías y </w:t>
            </w:r>
            <w:r>
              <w:rPr>
                <w:rFonts w:cs="Arial"/>
                <w:color w:val="000000" w:themeColor="text1"/>
                <w:sz w:val="22"/>
                <w:szCs w:val="22"/>
              </w:rPr>
              <w:t xml:space="preserve">la </w:t>
            </w:r>
            <w:r w:rsidRPr="003A7F76">
              <w:rPr>
                <w:rFonts w:cs="Arial"/>
                <w:color w:val="000000" w:themeColor="text1"/>
                <w:sz w:val="22"/>
                <w:szCs w:val="22"/>
              </w:rPr>
              <w:t>compartición de infraestructura, la eliminación de barreras en el despliegue de redes, la asignación de permisos para uso del espectro procurando la maximización del bienestar social y la compartición del recurso, promover la provisión de Internet por parte de pequeños prestadores de servicios para el cierre de la brecha digital, entre otras medidas.</w:t>
            </w:r>
          </w:p>
          <w:p w14:paraId="7A3567AB" w14:textId="77777777" w:rsidR="00734827" w:rsidRPr="003A7F76" w:rsidRDefault="00734827" w:rsidP="00734827">
            <w:pPr>
              <w:jc w:val="both"/>
              <w:rPr>
                <w:rFonts w:cs="Arial"/>
                <w:color w:val="000000" w:themeColor="text1"/>
                <w:sz w:val="22"/>
                <w:szCs w:val="22"/>
              </w:rPr>
            </w:pPr>
          </w:p>
          <w:p w14:paraId="6DD71536" w14:textId="77777777" w:rsidR="00734827" w:rsidRPr="003A7F76" w:rsidRDefault="00734827" w:rsidP="00734827">
            <w:pPr>
              <w:jc w:val="both"/>
              <w:rPr>
                <w:rFonts w:cs="Arial"/>
                <w:color w:val="000000" w:themeColor="text1"/>
                <w:sz w:val="22"/>
                <w:szCs w:val="22"/>
              </w:rPr>
            </w:pPr>
            <w:r w:rsidRPr="003A7F76">
              <w:rPr>
                <w:rFonts w:cs="Arial"/>
                <w:color w:val="000000" w:themeColor="text1"/>
                <w:sz w:val="22"/>
                <w:szCs w:val="22"/>
              </w:rPr>
              <w:t xml:space="preserve">En línea con lo anterior, el MINTIC publicó el 'Plan Integral de Expansión de Conectividad Digital', una estrategia ambiciosa y transformadora que busca garantizar una conectividad de calidad en todo el país, especialmente en las zonas más vulnerables y apartadas. </w:t>
            </w:r>
          </w:p>
          <w:p w14:paraId="6F55AFD3" w14:textId="77777777" w:rsidR="00734827" w:rsidRPr="003A7F76" w:rsidRDefault="00734827" w:rsidP="00734827">
            <w:pPr>
              <w:jc w:val="both"/>
              <w:rPr>
                <w:rFonts w:cs="Arial"/>
                <w:color w:val="000000" w:themeColor="text1"/>
                <w:sz w:val="22"/>
                <w:szCs w:val="22"/>
              </w:rPr>
            </w:pPr>
          </w:p>
          <w:p w14:paraId="4547318E" w14:textId="77777777" w:rsidR="00734827" w:rsidRPr="003A7F76" w:rsidRDefault="00734827" w:rsidP="00734827">
            <w:pPr>
              <w:jc w:val="both"/>
              <w:rPr>
                <w:rFonts w:cs="Arial"/>
                <w:color w:val="000000" w:themeColor="text1"/>
                <w:sz w:val="22"/>
                <w:szCs w:val="22"/>
              </w:rPr>
            </w:pPr>
            <w:r w:rsidRPr="003A7F76">
              <w:rPr>
                <w:rFonts w:cs="Arial"/>
                <w:color w:val="000000" w:themeColor="text1"/>
                <w:sz w:val="22"/>
                <w:szCs w:val="22"/>
              </w:rPr>
              <w:t>El Plan se encuentra enmarcado dentro de los objetivos establecidos en el Plan Nacional de Desarrollo 2022-2026 y</w:t>
            </w:r>
            <w:r>
              <w:rPr>
                <w:rFonts w:cs="Arial"/>
                <w:color w:val="000000" w:themeColor="text1"/>
                <w:sz w:val="22"/>
                <w:szCs w:val="22"/>
              </w:rPr>
              <w:t xml:space="preserve"> en</w:t>
            </w:r>
            <w:r w:rsidRPr="003A7F76">
              <w:rPr>
                <w:rFonts w:cs="Arial"/>
                <w:color w:val="000000" w:themeColor="text1"/>
                <w:sz w:val="22"/>
                <w:szCs w:val="22"/>
              </w:rPr>
              <w:t xml:space="preserve"> la Ley 2294 de 2023, y tiene como propósito fundamental cerrar la brecha digital y hacer del Internet y las herramientas digitales un verdadero motor de transformación social</w:t>
            </w:r>
            <w:r>
              <w:rPr>
                <w:rStyle w:val="Refdenotaalpie"/>
                <w:rFonts w:cs="Arial"/>
                <w:color w:val="000000" w:themeColor="text1"/>
                <w:sz w:val="22"/>
                <w:szCs w:val="22"/>
              </w:rPr>
              <w:footnoteReference w:id="3"/>
            </w:r>
            <w:r>
              <w:rPr>
                <w:rFonts w:cs="Arial"/>
                <w:color w:val="000000" w:themeColor="text1"/>
                <w:sz w:val="22"/>
                <w:szCs w:val="22"/>
              </w:rPr>
              <w:t>.</w:t>
            </w:r>
          </w:p>
          <w:p w14:paraId="5744F0D2" w14:textId="77777777" w:rsidR="00734827" w:rsidRPr="003A7F76" w:rsidRDefault="00734827" w:rsidP="00734827">
            <w:pPr>
              <w:jc w:val="both"/>
              <w:rPr>
                <w:rFonts w:cs="Arial"/>
                <w:color w:val="000000" w:themeColor="text1"/>
                <w:sz w:val="22"/>
                <w:szCs w:val="22"/>
              </w:rPr>
            </w:pPr>
          </w:p>
          <w:p w14:paraId="0AD79922" w14:textId="77777777" w:rsidR="00734827" w:rsidRPr="003A7F76" w:rsidRDefault="00734827" w:rsidP="00734827">
            <w:pPr>
              <w:jc w:val="both"/>
              <w:rPr>
                <w:rFonts w:cs="Arial"/>
                <w:color w:val="000000" w:themeColor="text1"/>
                <w:sz w:val="22"/>
                <w:szCs w:val="22"/>
              </w:rPr>
            </w:pPr>
            <w:r w:rsidRPr="003A7F76">
              <w:rPr>
                <w:rFonts w:cs="Arial"/>
                <w:color w:val="000000" w:themeColor="text1"/>
                <w:sz w:val="22"/>
                <w:szCs w:val="22"/>
              </w:rPr>
              <w:t xml:space="preserve">Este plan busca: </w:t>
            </w:r>
          </w:p>
          <w:p w14:paraId="0C1A75F6" w14:textId="77777777" w:rsidR="00734827" w:rsidRPr="003A7F76" w:rsidRDefault="00734827" w:rsidP="00734827">
            <w:pPr>
              <w:jc w:val="both"/>
              <w:rPr>
                <w:rFonts w:cs="Arial"/>
                <w:color w:val="000000" w:themeColor="text1"/>
                <w:sz w:val="22"/>
                <w:szCs w:val="22"/>
              </w:rPr>
            </w:pPr>
          </w:p>
          <w:p w14:paraId="6E2C1237" w14:textId="77777777" w:rsidR="00734827" w:rsidRDefault="00734827" w:rsidP="00734827">
            <w:pPr>
              <w:pStyle w:val="Prrafodelista"/>
              <w:numPr>
                <w:ilvl w:val="0"/>
                <w:numId w:val="52"/>
              </w:numPr>
              <w:jc w:val="both"/>
              <w:rPr>
                <w:rFonts w:cs="Arial"/>
                <w:color w:val="000000" w:themeColor="text1"/>
                <w:sz w:val="22"/>
                <w:szCs w:val="22"/>
              </w:rPr>
            </w:pPr>
            <w:r w:rsidRPr="00BC5140">
              <w:rPr>
                <w:rFonts w:cs="Arial"/>
                <w:color w:val="000000" w:themeColor="text1"/>
                <w:sz w:val="22"/>
                <w:szCs w:val="22"/>
              </w:rPr>
              <w:t>Llevar conectividad digital a zonas vulnerables y apartadas, y mejorar la cobertura y calidad de los servicios de telecomunicaciones, a través de diferentes tecnologías y compartición de infraestructura.</w:t>
            </w:r>
          </w:p>
          <w:p w14:paraId="2BC3BC7F" w14:textId="77777777" w:rsidR="00734827" w:rsidRDefault="00734827" w:rsidP="00734827">
            <w:pPr>
              <w:pStyle w:val="Prrafodelista"/>
              <w:numPr>
                <w:ilvl w:val="0"/>
                <w:numId w:val="52"/>
              </w:numPr>
              <w:jc w:val="both"/>
              <w:rPr>
                <w:rFonts w:cs="Arial"/>
                <w:color w:val="000000" w:themeColor="text1"/>
                <w:sz w:val="22"/>
                <w:szCs w:val="22"/>
              </w:rPr>
            </w:pPr>
            <w:r w:rsidRPr="00BC5140">
              <w:rPr>
                <w:rFonts w:cs="Arial"/>
                <w:color w:val="000000" w:themeColor="text1"/>
                <w:sz w:val="22"/>
                <w:szCs w:val="22"/>
              </w:rPr>
              <w:t>Hacer del Internet y de las tecnologías digitales un instrumento de transformación social.</w:t>
            </w:r>
          </w:p>
          <w:p w14:paraId="0F231900" w14:textId="77777777" w:rsidR="00734827" w:rsidRDefault="00734827" w:rsidP="00734827">
            <w:pPr>
              <w:pStyle w:val="Prrafodelista"/>
              <w:numPr>
                <w:ilvl w:val="0"/>
                <w:numId w:val="52"/>
              </w:numPr>
              <w:jc w:val="both"/>
              <w:rPr>
                <w:rFonts w:cs="Arial"/>
                <w:color w:val="000000" w:themeColor="text1"/>
                <w:sz w:val="22"/>
                <w:szCs w:val="22"/>
              </w:rPr>
            </w:pPr>
            <w:r w:rsidRPr="00BC5140">
              <w:rPr>
                <w:rFonts w:cs="Arial"/>
                <w:color w:val="000000" w:themeColor="text1"/>
                <w:sz w:val="22"/>
                <w:szCs w:val="22"/>
              </w:rPr>
              <w:lastRenderedPageBreak/>
              <w:t>Desplegar infraestructura para mejorar la conectividad digital del país con redes neutras, cables submarinos, fibra óptica, tecnología satelital, entre otras tecnologías, mediante diversos mecanismos, entre ellos la coinversión entre el Estado y los actores privados.</w:t>
            </w:r>
          </w:p>
          <w:p w14:paraId="5082C5B4" w14:textId="77777777" w:rsidR="00734827" w:rsidRDefault="00734827" w:rsidP="00734827">
            <w:pPr>
              <w:pStyle w:val="Prrafodelista"/>
              <w:numPr>
                <w:ilvl w:val="0"/>
                <w:numId w:val="52"/>
              </w:numPr>
              <w:jc w:val="both"/>
              <w:rPr>
                <w:rFonts w:cs="Arial"/>
                <w:color w:val="000000" w:themeColor="text1"/>
                <w:sz w:val="22"/>
                <w:szCs w:val="22"/>
              </w:rPr>
            </w:pPr>
            <w:r w:rsidRPr="00BC5140">
              <w:rPr>
                <w:rFonts w:cs="Arial"/>
                <w:color w:val="000000" w:themeColor="text1"/>
                <w:sz w:val="22"/>
                <w:szCs w:val="22"/>
              </w:rPr>
              <w:t>Promover la eliminación de barreras por parte de las entidades territoriales y/o nacionales para el despliegue de redes de telecomunicaciones.</w:t>
            </w:r>
          </w:p>
          <w:p w14:paraId="43E766C7" w14:textId="77777777" w:rsidR="00734827" w:rsidRDefault="00734827" w:rsidP="00734827">
            <w:pPr>
              <w:pStyle w:val="Prrafodelista"/>
              <w:numPr>
                <w:ilvl w:val="0"/>
                <w:numId w:val="52"/>
              </w:numPr>
              <w:jc w:val="both"/>
              <w:rPr>
                <w:rFonts w:cs="Arial"/>
                <w:color w:val="000000" w:themeColor="text1"/>
                <w:sz w:val="22"/>
                <w:szCs w:val="22"/>
              </w:rPr>
            </w:pPr>
            <w:r w:rsidRPr="00BC5140">
              <w:rPr>
                <w:rFonts w:cs="Arial"/>
                <w:color w:val="000000" w:themeColor="text1"/>
                <w:sz w:val="22"/>
                <w:szCs w:val="22"/>
              </w:rPr>
              <w:t>Adelantar la asignación del espectro a través de esquemas y condiciones que maximicen el bienestar social y la compartición de este recurso, promoviendo su uso eficiente.</w:t>
            </w:r>
          </w:p>
          <w:p w14:paraId="1F5EB8B6" w14:textId="77777777" w:rsidR="00734827" w:rsidRPr="00BC5140" w:rsidRDefault="00734827" w:rsidP="00734827">
            <w:pPr>
              <w:pStyle w:val="Prrafodelista"/>
              <w:numPr>
                <w:ilvl w:val="0"/>
                <w:numId w:val="52"/>
              </w:numPr>
              <w:jc w:val="both"/>
              <w:rPr>
                <w:rFonts w:cs="Arial"/>
                <w:color w:val="000000" w:themeColor="text1"/>
                <w:sz w:val="22"/>
                <w:szCs w:val="22"/>
              </w:rPr>
            </w:pPr>
            <w:r w:rsidRPr="00BC5140">
              <w:rPr>
                <w:rFonts w:cs="Arial"/>
                <w:color w:val="000000" w:themeColor="text1"/>
                <w:sz w:val="22"/>
                <w:szCs w:val="22"/>
              </w:rPr>
              <w:t>Fortalecer a los pequeños prestadores de los servicios de telecomunicaciones con el fin de aportar en el cierre de la brecha digital</w:t>
            </w:r>
            <w:r>
              <w:rPr>
                <w:rStyle w:val="Refdenotaalpie"/>
                <w:rFonts w:cs="Arial"/>
                <w:color w:val="000000" w:themeColor="text1"/>
                <w:sz w:val="22"/>
                <w:szCs w:val="22"/>
              </w:rPr>
              <w:footnoteReference w:id="4"/>
            </w:r>
            <w:r>
              <w:rPr>
                <w:rFonts w:cs="Arial"/>
                <w:color w:val="000000" w:themeColor="text1"/>
                <w:sz w:val="22"/>
                <w:szCs w:val="22"/>
              </w:rPr>
              <w:t>.</w:t>
            </w:r>
          </w:p>
          <w:p w14:paraId="0FE0DE7C" w14:textId="77777777" w:rsidR="00734827" w:rsidRDefault="00734827" w:rsidP="00734827">
            <w:pPr>
              <w:jc w:val="both"/>
              <w:rPr>
                <w:rFonts w:cs="Arial"/>
                <w:color w:val="000000" w:themeColor="text1"/>
                <w:sz w:val="22"/>
                <w:szCs w:val="22"/>
              </w:rPr>
            </w:pPr>
          </w:p>
          <w:p w14:paraId="40C3EFA6" w14:textId="77777777" w:rsidR="00734827" w:rsidRDefault="00734827" w:rsidP="00734827">
            <w:pPr>
              <w:jc w:val="both"/>
              <w:rPr>
                <w:rFonts w:cs="Arial"/>
                <w:color w:val="000000" w:themeColor="text1"/>
                <w:sz w:val="22"/>
                <w:szCs w:val="22"/>
              </w:rPr>
            </w:pPr>
            <w:r w:rsidRPr="003A7F76">
              <w:rPr>
                <w:rFonts w:cs="Arial"/>
                <w:color w:val="000000" w:themeColor="text1"/>
                <w:sz w:val="22"/>
                <w:szCs w:val="22"/>
              </w:rPr>
              <w:t xml:space="preserve">De acuerdo con lo anterior, este plan más que una estrategia tecnológica, es una apuesta por la equidad, la sostenibilidad y la transformación </w:t>
            </w:r>
            <w:r>
              <w:rPr>
                <w:rFonts w:cs="Arial"/>
                <w:color w:val="000000" w:themeColor="text1"/>
                <w:sz w:val="22"/>
                <w:szCs w:val="22"/>
              </w:rPr>
              <w:t xml:space="preserve">hacía </w:t>
            </w:r>
            <w:r w:rsidRPr="003A7F76">
              <w:rPr>
                <w:rFonts w:cs="Arial"/>
                <w:color w:val="000000" w:themeColor="text1"/>
                <w:sz w:val="22"/>
                <w:szCs w:val="22"/>
              </w:rPr>
              <w:t>un país más competitivo, innovador y conectado</w:t>
            </w:r>
            <w:r>
              <w:rPr>
                <w:rStyle w:val="Refdenotaalpie"/>
                <w:rFonts w:cs="Arial"/>
                <w:color w:val="000000" w:themeColor="text1"/>
                <w:sz w:val="22"/>
                <w:szCs w:val="22"/>
              </w:rPr>
              <w:footnoteReference w:id="5"/>
            </w:r>
            <w:r>
              <w:rPr>
                <w:rFonts w:cs="Arial"/>
                <w:color w:val="000000" w:themeColor="text1"/>
                <w:sz w:val="22"/>
                <w:szCs w:val="22"/>
              </w:rPr>
              <w:t>.</w:t>
            </w:r>
          </w:p>
          <w:p w14:paraId="37CD7A6A" w14:textId="77777777" w:rsidR="00734827" w:rsidRDefault="00734827" w:rsidP="00734827">
            <w:pPr>
              <w:jc w:val="both"/>
              <w:rPr>
                <w:rFonts w:cs="Arial"/>
                <w:color w:val="000000" w:themeColor="text1"/>
                <w:sz w:val="22"/>
                <w:szCs w:val="22"/>
              </w:rPr>
            </w:pPr>
          </w:p>
          <w:p w14:paraId="60DDF671" w14:textId="77777777" w:rsidR="00734827" w:rsidRDefault="00734827" w:rsidP="00734827">
            <w:pPr>
              <w:jc w:val="both"/>
              <w:rPr>
                <w:rFonts w:cs="Arial"/>
                <w:color w:val="000000" w:themeColor="text1"/>
                <w:sz w:val="22"/>
                <w:szCs w:val="22"/>
                <w:lang w:val="es-CO"/>
              </w:rPr>
            </w:pPr>
            <w:r w:rsidRPr="00AF26EA">
              <w:rPr>
                <w:rFonts w:cs="Arial"/>
                <w:color w:val="000000" w:themeColor="text1"/>
                <w:sz w:val="22"/>
                <w:szCs w:val="22"/>
                <w:lang w:val="es-CO"/>
              </w:rPr>
              <w:t>De acuerdo con la problemática identificada</w:t>
            </w:r>
            <w:r>
              <w:rPr>
                <w:rFonts w:cs="Arial"/>
                <w:color w:val="000000" w:themeColor="text1"/>
                <w:sz w:val="22"/>
                <w:szCs w:val="22"/>
                <w:lang w:val="es-CO"/>
              </w:rPr>
              <w:t>,</w:t>
            </w:r>
            <w:r w:rsidRPr="00AF26EA">
              <w:rPr>
                <w:rFonts w:cs="Arial"/>
                <w:color w:val="000000" w:themeColor="text1"/>
                <w:sz w:val="22"/>
                <w:szCs w:val="22"/>
                <w:lang w:val="es-CO"/>
              </w:rPr>
              <w:t xml:space="preserve"> este Ministerio considera oportuno reglamentar el inicio del Mecanismo de Asignación Estándar de Espectro Remanente conforme</w:t>
            </w:r>
            <w:r>
              <w:rPr>
                <w:rFonts w:cs="Arial"/>
                <w:color w:val="000000" w:themeColor="text1"/>
                <w:sz w:val="22"/>
                <w:szCs w:val="22"/>
                <w:lang w:val="es-CO"/>
              </w:rPr>
              <w:t xml:space="preserve"> a</w:t>
            </w:r>
            <w:r w:rsidRPr="00AF26EA">
              <w:rPr>
                <w:rFonts w:cs="Arial"/>
                <w:color w:val="000000" w:themeColor="text1"/>
                <w:sz w:val="22"/>
                <w:szCs w:val="22"/>
                <w:lang w:val="es-CO"/>
              </w:rPr>
              <w:t xml:space="preserve"> lo establecido en el artículo 2.2.2.1.1.2. del Decreto 1078 de 2015, es decir</w:t>
            </w:r>
            <w:r>
              <w:rPr>
                <w:rFonts w:cs="Arial"/>
                <w:color w:val="000000" w:themeColor="text1"/>
                <w:sz w:val="22"/>
                <w:szCs w:val="22"/>
                <w:lang w:val="es-CO"/>
              </w:rPr>
              <w:t>,</w:t>
            </w:r>
            <w:r w:rsidRPr="00AF26EA">
              <w:rPr>
                <w:rFonts w:cs="Arial"/>
                <w:color w:val="000000" w:themeColor="text1"/>
                <w:sz w:val="22"/>
                <w:szCs w:val="22"/>
                <w:lang w:val="es-CO"/>
              </w:rPr>
              <w:t xml:space="preserve"> de oficio o a petición de parte</w:t>
            </w:r>
            <w:r>
              <w:rPr>
                <w:rFonts w:cs="Arial"/>
                <w:color w:val="000000" w:themeColor="text1"/>
                <w:sz w:val="22"/>
                <w:szCs w:val="22"/>
                <w:lang w:val="es-CO"/>
              </w:rPr>
              <w:t xml:space="preserve">. </w:t>
            </w:r>
          </w:p>
          <w:p w14:paraId="19ABAF7A" w14:textId="77777777" w:rsidR="00734827" w:rsidRDefault="00734827" w:rsidP="00734827">
            <w:pPr>
              <w:jc w:val="both"/>
              <w:rPr>
                <w:rFonts w:cs="Arial"/>
                <w:color w:val="000000" w:themeColor="text1"/>
                <w:sz w:val="22"/>
                <w:szCs w:val="22"/>
              </w:rPr>
            </w:pPr>
          </w:p>
          <w:p w14:paraId="266D73BE" w14:textId="77777777" w:rsidR="00734827" w:rsidRDefault="00734827" w:rsidP="00734827">
            <w:pPr>
              <w:jc w:val="both"/>
              <w:rPr>
                <w:rFonts w:cs="Arial"/>
                <w:color w:val="000000" w:themeColor="text1"/>
                <w:sz w:val="22"/>
                <w:szCs w:val="22"/>
                <w:lang w:val="es-CO"/>
              </w:rPr>
            </w:pPr>
            <w:r>
              <w:rPr>
                <w:rFonts w:cs="Arial"/>
                <w:color w:val="000000" w:themeColor="text1"/>
                <w:sz w:val="22"/>
                <w:szCs w:val="22"/>
                <w:lang w:val="es-CO"/>
              </w:rPr>
              <w:t>Esta i</w:t>
            </w:r>
            <w:r w:rsidRPr="6E97E80E">
              <w:rPr>
                <w:rFonts w:cs="Arial"/>
                <w:color w:val="000000" w:themeColor="text1"/>
                <w:sz w:val="22"/>
                <w:szCs w:val="22"/>
                <w:lang w:val="es-CO"/>
              </w:rPr>
              <w:t>niciativa también tiene</w:t>
            </w:r>
            <w:r>
              <w:rPr>
                <w:rFonts w:cs="Arial"/>
                <w:color w:val="000000" w:themeColor="text1"/>
                <w:sz w:val="22"/>
                <w:szCs w:val="22"/>
                <w:lang w:val="es-CO"/>
              </w:rPr>
              <w:t xml:space="preserve"> un</w:t>
            </w:r>
            <w:r w:rsidRPr="6E97E80E">
              <w:rPr>
                <w:rFonts w:cs="Arial"/>
                <w:color w:val="000000" w:themeColor="text1"/>
                <w:sz w:val="22"/>
                <w:szCs w:val="22"/>
                <w:lang w:val="es-CO"/>
              </w:rPr>
              <w:t xml:space="preserve"> sentido económico</w:t>
            </w:r>
            <w:r>
              <w:rPr>
                <w:rFonts w:cs="Arial"/>
                <w:color w:val="000000" w:themeColor="text1"/>
                <w:sz w:val="22"/>
                <w:szCs w:val="22"/>
                <w:lang w:val="es-CO"/>
              </w:rPr>
              <w:t>,</w:t>
            </w:r>
            <w:r w:rsidRPr="6E97E80E">
              <w:rPr>
                <w:rFonts w:cs="Arial"/>
                <w:color w:val="000000" w:themeColor="text1"/>
                <w:sz w:val="22"/>
                <w:szCs w:val="22"/>
                <w:lang w:val="es-CO"/>
              </w:rPr>
              <w:t xml:space="preserve"> ya que </w:t>
            </w:r>
            <w:r>
              <w:rPr>
                <w:rFonts w:cs="Arial"/>
                <w:color w:val="000000" w:themeColor="text1"/>
                <w:sz w:val="22"/>
                <w:szCs w:val="22"/>
                <w:lang w:val="es-CO"/>
              </w:rPr>
              <w:t xml:space="preserve">permitirá </w:t>
            </w:r>
            <w:r w:rsidRPr="6E97E80E">
              <w:rPr>
                <w:rFonts w:cs="Arial"/>
                <w:color w:val="000000" w:themeColor="text1"/>
                <w:sz w:val="22"/>
                <w:szCs w:val="22"/>
                <w:lang w:val="es-CO"/>
              </w:rPr>
              <w:t xml:space="preserve">generar ingresos adicionales al </w:t>
            </w:r>
            <w:r>
              <w:rPr>
                <w:rFonts w:cs="Arial"/>
                <w:color w:val="000000" w:themeColor="text1"/>
                <w:sz w:val="22"/>
                <w:szCs w:val="22"/>
                <w:lang w:val="es-CO"/>
              </w:rPr>
              <w:t>Fondo Único de las TIC</w:t>
            </w:r>
            <w:r w:rsidRPr="6E97E80E">
              <w:rPr>
                <w:rFonts w:cs="Arial"/>
                <w:color w:val="000000" w:themeColor="text1"/>
                <w:sz w:val="22"/>
                <w:szCs w:val="22"/>
                <w:lang w:val="es-CO"/>
              </w:rPr>
              <w:t>, que redundarán en el fortalecimiento de planes, políticas y programas sociales de aquellos que hacen parte de su objeto misional.</w:t>
            </w:r>
          </w:p>
          <w:p w14:paraId="4FFDF526" w14:textId="77777777" w:rsidR="00734827" w:rsidRDefault="00734827" w:rsidP="00734827">
            <w:pPr>
              <w:jc w:val="both"/>
              <w:rPr>
                <w:rFonts w:cs="Arial"/>
                <w:color w:val="000000" w:themeColor="text1"/>
                <w:sz w:val="22"/>
                <w:szCs w:val="22"/>
                <w:lang w:val="es-CO"/>
              </w:rPr>
            </w:pPr>
          </w:p>
          <w:p w14:paraId="2FEA4B86" w14:textId="77E40F14" w:rsidR="00734827" w:rsidRPr="00734827" w:rsidRDefault="00734827" w:rsidP="00734827">
            <w:pPr>
              <w:jc w:val="both"/>
              <w:rPr>
                <w:rFonts w:cs="Arial"/>
                <w:color w:val="000000" w:themeColor="text1"/>
                <w:sz w:val="22"/>
                <w:szCs w:val="22"/>
              </w:rPr>
            </w:pPr>
            <w:r>
              <w:rPr>
                <w:rFonts w:cs="Arial"/>
                <w:color w:val="000000" w:themeColor="text1"/>
                <w:sz w:val="22"/>
                <w:szCs w:val="22"/>
              </w:rPr>
              <w:t>En Colombia, desde 1993 se han efectuado procesos de asignación de espectro con distintas metodologías de subasta, a saber:</w:t>
            </w:r>
          </w:p>
          <w:p w14:paraId="440C65A5" w14:textId="77777777" w:rsidR="00734827" w:rsidRDefault="00734827" w:rsidP="00734827">
            <w:pPr>
              <w:jc w:val="both"/>
              <w:rPr>
                <w:rFonts w:cs="Arial"/>
                <w:color w:val="000000" w:themeColor="text1"/>
                <w:sz w:val="22"/>
                <w:szCs w:val="22"/>
              </w:rPr>
            </w:pPr>
          </w:p>
          <w:p w14:paraId="2AA44BC0" w14:textId="77777777" w:rsidR="00734827" w:rsidRDefault="00734827" w:rsidP="00734827">
            <w:pPr>
              <w:jc w:val="both"/>
              <w:rPr>
                <w:rFonts w:cs="Arial"/>
                <w:color w:val="000000" w:themeColor="text1"/>
                <w:sz w:val="22"/>
                <w:szCs w:val="22"/>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499"/>
              <w:gridCol w:w="3111"/>
              <w:gridCol w:w="1634"/>
              <w:gridCol w:w="1267"/>
              <w:gridCol w:w="1551"/>
              <w:gridCol w:w="1549"/>
            </w:tblGrid>
            <w:tr w:rsidR="00734827" w:rsidRPr="000A0EDA" w14:paraId="48970A66" w14:textId="77777777" w:rsidTr="00385DB7">
              <w:trPr>
                <w:trHeight w:val="584"/>
                <w:tblHeader/>
              </w:trPr>
              <w:tc>
                <w:tcPr>
                  <w:tcW w:w="706" w:type="pct"/>
                  <w:shd w:val="clear" w:color="auto" w:fill="767171" w:themeFill="background2" w:themeFillShade="80"/>
                  <w:tcMar>
                    <w:top w:w="72" w:type="dxa"/>
                    <w:left w:w="144" w:type="dxa"/>
                    <w:bottom w:w="72" w:type="dxa"/>
                    <w:right w:w="144" w:type="dxa"/>
                  </w:tcMar>
                  <w:vAlign w:val="center"/>
                  <w:hideMark/>
                </w:tcPr>
                <w:p w14:paraId="7BFAD24C" w14:textId="77777777" w:rsidR="00734827" w:rsidRPr="001E04D9" w:rsidRDefault="00734827" w:rsidP="00734827">
                  <w:pPr>
                    <w:jc w:val="center"/>
                    <w:rPr>
                      <w:rFonts w:ascii="Verdana" w:hAnsi="Verdana"/>
                      <w:color w:val="FFFFFF" w:themeColor="background1"/>
                      <w:sz w:val="12"/>
                      <w:szCs w:val="12"/>
                      <w:lang w:val="es-CO"/>
                    </w:rPr>
                  </w:pPr>
                  <w:r w:rsidRPr="001E04D9">
                    <w:rPr>
                      <w:rFonts w:ascii="Verdana" w:hAnsi="Verdana"/>
                      <w:b/>
                      <w:bCs/>
                      <w:color w:val="FFFFFF" w:themeColor="background1"/>
                      <w:sz w:val="12"/>
                      <w:szCs w:val="12"/>
                      <w:lang w:val="es-CO"/>
                    </w:rPr>
                    <w:t>Tipo de Subasta</w:t>
                  </w:r>
                </w:p>
              </w:tc>
              <w:tc>
                <w:tcPr>
                  <w:tcW w:w="1466" w:type="pct"/>
                  <w:shd w:val="clear" w:color="auto" w:fill="767171" w:themeFill="background2" w:themeFillShade="80"/>
                  <w:tcMar>
                    <w:top w:w="72" w:type="dxa"/>
                    <w:left w:w="144" w:type="dxa"/>
                    <w:bottom w:w="72" w:type="dxa"/>
                    <w:right w:w="144" w:type="dxa"/>
                  </w:tcMar>
                  <w:vAlign w:val="center"/>
                  <w:hideMark/>
                </w:tcPr>
                <w:p w14:paraId="6062ADBC" w14:textId="77777777" w:rsidR="00734827" w:rsidRPr="001E04D9" w:rsidRDefault="00734827" w:rsidP="00734827">
                  <w:pPr>
                    <w:jc w:val="center"/>
                    <w:rPr>
                      <w:rFonts w:ascii="Verdana" w:hAnsi="Verdana"/>
                      <w:color w:val="FFFFFF" w:themeColor="background1"/>
                      <w:sz w:val="12"/>
                      <w:szCs w:val="12"/>
                      <w:lang w:val="es-CO"/>
                    </w:rPr>
                  </w:pPr>
                  <w:r w:rsidRPr="001E04D9">
                    <w:rPr>
                      <w:rFonts w:ascii="Verdana" w:hAnsi="Verdana"/>
                      <w:b/>
                      <w:bCs/>
                      <w:color w:val="FFFFFF" w:themeColor="background1"/>
                      <w:sz w:val="12"/>
                      <w:szCs w:val="12"/>
                      <w:lang w:val="es-CO"/>
                    </w:rPr>
                    <w:t>Descripción</w:t>
                  </w:r>
                </w:p>
              </w:tc>
              <w:tc>
                <w:tcPr>
                  <w:tcW w:w="770" w:type="pct"/>
                  <w:shd w:val="clear" w:color="auto" w:fill="767171" w:themeFill="background2" w:themeFillShade="80"/>
                  <w:tcMar>
                    <w:top w:w="72" w:type="dxa"/>
                    <w:left w:w="144" w:type="dxa"/>
                    <w:bottom w:w="72" w:type="dxa"/>
                    <w:right w:w="144" w:type="dxa"/>
                  </w:tcMar>
                  <w:vAlign w:val="center"/>
                  <w:hideMark/>
                </w:tcPr>
                <w:p w14:paraId="44AFF683" w14:textId="77777777" w:rsidR="00734827" w:rsidRPr="001E04D9" w:rsidRDefault="00734827" w:rsidP="00734827">
                  <w:pPr>
                    <w:jc w:val="center"/>
                    <w:rPr>
                      <w:rFonts w:ascii="Verdana" w:hAnsi="Verdana"/>
                      <w:color w:val="FFFFFF" w:themeColor="background1"/>
                      <w:sz w:val="12"/>
                      <w:szCs w:val="12"/>
                      <w:lang w:val="es-CO"/>
                    </w:rPr>
                  </w:pPr>
                  <w:r w:rsidRPr="001E04D9">
                    <w:rPr>
                      <w:rFonts w:ascii="Verdana" w:hAnsi="Verdana"/>
                      <w:b/>
                      <w:bCs/>
                      <w:color w:val="FFFFFF" w:themeColor="background1"/>
                      <w:sz w:val="12"/>
                      <w:szCs w:val="12"/>
                      <w:lang w:val="es-CO"/>
                    </w:rPr>
                    <w:t>Aplicación</w:t>
                  </w:r>
                </w:p>
              </w:tc>
              <w:tc>
                <w:tcPr>
                  <w:tcW w:w="597" w:type="pct"/>
                  <w:shd w:val="clear" w:color="auto" w:fill="767171" w:themeFill="background2" w:themeFillShade="80"/>
                  <w:tcMar>
                    <w:top w:w="72" w:type="dxa"/>
                    <w:left w:w="144" w:type="dxa"/>
                    <w:bottom w:w="72" w:type="dxa"/>
                    <w:right w:w="144" w:type="dxa"/>
                  </w:tcMar>
                  <w:vAlign w:val="center"/>
                  <w:hideMark/>
                </w:tcPr>
                <w:p w14:paraId="2D90EB0A" w14:textId="77777777" w:rsidR="00734827" w:rsidRPr="001E04D9" w:rsidRDefault="00734827" w:rsidP="00734827">
                  <w:pPr>
                    <w:jc w:val="center"/>
                    <w:rPr>
                      <w:rFonts w:ascii="Verdana" w:hAnsi="Verdana"/>
                      <w:color w:val="FFFFFF" w:themeColor="background1"/>
                      <w:sz w:val="12"/>
                      <w:szCs w:val="12"/>
                      <w:lang w:val="es-CO"/>
                    </w:rPr>
                  </w:pPr>
                  <w:r w:rsidRPr="001E04D9">
                    <w:rPr>
                      <w:rFonts w:ascii="Verdana" w:hAnsi="Verdana"/>
                      <w:b/>
                      <w:bCs/>
                      <w:color w:val="FFFFFF" w:themeColor="background1"/>
                      <w:sz w:val="12"/>
                      <w:szCs w:val="12"/>
                      <w:lang w:val="es-CO"/>
                    </w:rPr>
                    <w:t>Diseño / Logística</w:t>
                  </w:r>
                </w:p>
              </w:tc>
              <w:tc>
                <w:tcPr>
                  <w:tcW w:w="731" w:type="pct"/>
                  <w:shd w:val="clear" w:color="auto" w:fill="767171" w:themeFill="background2" w:themeFillShade="80"/>
                  <w:tcMar>
                    <w:top w:w="72" w:type="dxa"/>
                    <w:left w:w="144" w:type="dxa"/>
                    <w:bottom w:w="72" w:type="dxa"/>
                    <w:right w:w="144" w:type="dxa"/>
                  </w:tcMar>
                  <w:vAlign w:val="center"/>
                  <w:hideMark/>
                </w:tcPr>
                <w:p w14:paraId="2B95A43E" w14:textId="77777777" w:rsidR="00734827" w:rsidRPr="001E04D9" w:rsidRDefault="00734827" w:rsidP="00734827">
                  <w:pPr>
                    <w:jc w:val="center"/>
                    <w:rPr>
                      <w:rFonts w:ascii="Verdana" w:hAnsi="Verdana"/>
                      <w:color w:val="FFFFFF" w:themeColor="background1"/>
                      <w:sz w:val="12"/>
                      <w:szCs w:val="12"/>
                      <w:lang w:val="es-CO"/>
                    </w:rPr>
                  </w:pPr>
                  <w:r w:rsidRPr="001E04D9">
                    <w:rPr>
                      <w:rFonts w:ascii="Verdana" w:hAnsi="Verdana"/>
                      <w:b/>
                      <w:bCs/>
                      <w:color w:val="FFFFFF" w:themeColor="background1"/>
                      <w:sz w:val="12"/>
                      <w:szCs w:val="12"/>
                      <w:lang w:val="es-CO"/>
                    </w:rPr>
                    <w:t>Ejemplos</w:t>
                  </w:r>
                </w:p>
              </w:tc>
              <w:tc>
                <w:tcPr>
                  <w:tcW w:w="730" w:type="pct"/>
                  <w:shd w:val="clear" w:color="auto" w:fill="767171" w:themeFill="background2" w:themeFillShade="80"/>
                  <w:vAlign w:val="center"/>
                </w:tcPr>
                <w:p w14:paraId="26CAAE8C" w14:textId="77777777" w:rsidR="00734827" w:rsidRPr="006F79BC" w:rsidRDefault="00734827" w:rsidP="00734827">
                  <w:pPr>
                    <w:jc w:val="center"/>
                    <w:rPr>
                      <w:rFonts w:ascii="Verdana" w:hAnsi="Verdana"/>
                      <w:b/>
                      <w:bCs/>
                      <w:color w:val="FFFFFF" w:themeColor="background1"/>
                      <w:sz w:val="12"/>
                      <w:szCs w:val="12"/>
                      <w:lang w:val="es-CO"/>
                    </w:rPr>
                  </w:pPr>
                  <w:r w:rsidRPr="006F79BC">
                    <w:rPr>
                      <w:rFonts w:ascii="Verdana" w:hAnsi="Verdana"/>
                      <w:b/>
                      <w:bCs/>
                      <w:color w:val="FFFFFF" w:themeColor="background1"/>
                      <w:sz w:val="12"/>
                      <w:szCs w:val="12"/>
                      <w:lang w:val="es-CO"/>
                    </w:rPr>
                    <w:t>Ventajas</w:t>
                  </w:r>
                </w:p>
              </w:tc>
            </w:tr>
            <w:tr w:rsidR="00734827" w:rsidRPr="000A0EDA" w14:paraId="116F32F5" w14:textId="77777777" w:rsidTr="00385DB7">
              <w:trPr>
                <w:trHeight w:val="584"/>
              </w:trPr>
              <w:tc>
                <w:tcPr>
                  <w:tcW w:w="706" w:type="pct"/>
                  <w:tcMar>
                    <w:top w:w="72" w:type="dxa"/>
                    <w:left w:w="144" w:type="dxa"/>
                    <w:bottom w:w="72" w:type="dxa"/>
                    <w:right w:w="144" w:type="dxa"/>
                  </w:tcMar>
                  <w:vAlign w:val="center"/>
                  <w:hideMark/>
                </w:tcPr>
                <w:p w14:paraId="6576C737" w14:textId="77777777" w:rsidR="00734827" w:rsidRPr="001E04D9" w:rsidRDefault="00734827" w:rsidP="00734827">
                  <w:pPr>
                    <w:jc w:val="center"/>
                    <w:rPr>
                      <w:rFonts w:ascii="Verdana" w:hAnsi="Verdana"/>
                      <w:sz w:val="12"/>
                      <w:szCs w:val="12"/>
                      <w:lang w:val="es-CO"/>
                    </w:rPr>
                  </w:pPr>
                  <w:proofErr w:type="gramStart"/>
                  <w:r w:rsidRPr="001E04D9">
                    <w:rPr>
                      <w:rFonts w:ascii="Verdana" w:hAnsi="Verdana"/>
                      <w:b/>
                      <w:bCs/>
                      <w:sz w:val="12"/>
                      <w:szCs w:val="12"/>
                      <w:lang w:val="es-CO"/>
                    </w:rPr>
                    <w:t>Reloj combinada</w:t>
                  </w:r>
                  <w:proofErr w:type="gramEnd"/>
                  <w:r w:rsidRPr="001E04D9">
                    <w:rPr>
                      <w:rFonts w:ascii="Verdana" w:hAnsi="Verdana"/>
                      <w:b/>
                      <w:bCs/>
                      <w:sz w:val="12"/>
                      <w:szCs w:val="12"/>
                      <w:lang w:val="es-CO"/>
                    </w:rPr>
                    <w:t xml:space="preserve"> (CCA)</w:t>
                  </w:r>
                </w:p>
              </w:tc>
              <w:tc>
                <w:tcPr>
                  <w:tcW w:w="1466" w:type="pct"/>
                  <w:tcMar>
                    <w:top w:w="72" w:type="dxa"/>
                    <w:left w:w="144" w:type="dxa"/>
                    <w:bottom w:w="72" w:type="dxa"/>
                    <w:right w:w="144" w:type="dxa"/>
                  </w:tcMar>
                  <w:vAlign w:val="center"/>
                  <w:hideMark/>
                </w:tcPr>
                <w:p w14:paraId="18C572DB" w14:textId="77777777" w:rsidR="00734827" w:rsidRPr="001E04D9" w:rsidRDefault="00734827" w:rsidP="00734827">
                  <w:pPr>
                    <w:rPr>
                      <w:rFonts w:ascii="Verdana" w:hAnsi="Verdana"/>
                      <w:sz w:val="12"/>
                      <w:szCs w:val="12"/>
                      <w:lang w:val="es-CO"/>
                    </w:rPr>
                  </w:pPr>
                  <w:r w:rsidRPr="001E04D9">
                    <w:rPr>
                      <w:rFonts w:ascii="Verdana" w:hAnsi="Verdana"/>
                      <w:sz w:val="12"/>
                      <w:szCs w:val="12"/>
                      <w:lang w:val="es-CO"/>
                    </w:rPr>
                    <w:t>Proceso en dos etapas:</w:t>
                  </w:r>
                </w:p>
                <w:p w14:paraId="69D40848" w14:textId="77777777" w:rsidR="00734827" w:rsidRPr="001E04D9" w:rsidRDefault="00734827" w:rsidP="00734827">
                  <w:pPr>
                    <w:numPr>
                      <w:ilvl w:val="0"/>
                      <w:numId w:val="53"/>
                    </w:numPr>
                    <w:tabs>
                      <w:tab w:val="clear" w:pos="720"/>
                      <w:tab w:val="num" w:pos="245"/>
                      <w:tab w:val="center" w:pos="4252"/>
                      <w:tab w:val="right" w:pos="8504"/>
                    </w:tabs>
                    <w:ind w:hanging="720"/>
                    <w:jc w:val="both"/>
                    <w:rPr>
                      <w:rFonts w:ascii="Verdana" w:hAnsi="Verdana"/>
                      <w:sz w:val="12"/>
                      <w:szCs w:val="12"/>
                      <w:lang w:val="es-CO"/>
                    </w:rPr>
                  </w:pPr>
                  <w:r w:rsidRPr="001E04D9">
                    <w:rPr>
                      <w:rFonts w:ascii="Verdana" w:hAnsi="Verdana"/>
                      <w:sz w:val="12"/>
                      <w:szCs w:val="12"/>
                      <w:lang w:val="es-CO"/>
                    </w:rPr>
                    <w:t>Asignación cantidad espectro:</w:t>
                  </w:r>
                </w:p>
                <w:p w14:paraId="064EB25D" w14:textId="77777777" w:rsidR="00734827" w:rsidRPr="001E04D9" w:rsidRDefault="00734827" w:rsidP="00734827">
                  <w:pPr>
                    <w:numPr>
                      <w:ilvl w:val="1"/>
                      <w:numId w:val="53"/>
                    </w:numPr>
                    <w:tabs>
                      <w:tab w:val="clear" w:pos="1440"/>
                      <w:tab w:val="num" w:pos="545"/>
                      <w:tab w:val="center" w:pos="4252"/>
                      <w:tab w:val="right" w:pos="8504"/>
                    </w:tabs>
                    <w:ind w:hanging="1179"/>
                    <w:jc w:val="both"/>
                    <w:rPr>
                      <w:rFonts w:ascii="Verdana" w:hAnsi="Verdana"/>
                      <w:sz w:val="12"/>
                      <w:szCs w:val="12"/>
                      <w:lang w:val="es-CO"/>
                    </w:rPr>
                  </w:pPr>
                  <w:r w:rsidRPr="001E04D9">
                    <w:rPr>
                      <w:rFonts w:ascii="Verdana" w:hAnsi="Verdana"/>
                      <w:sz w:val="12"/>
                      <w:szCs w:val="12"/>
                      <w:lang w:val="es-CO"/>
                    </w:rPr>
                    <w:t>SCA</w:t>
                  </w:r>
                </w:p>
                <w:p w14:paraId="141D4519" w14:textId="77777777" w:rsidR="00734827" w:rsidRPr="001E04D9" w:rsidRDefault="00734827" w:rsidP="00734827">
                  <w:pPr>
                    <w:numPr>
                      <w:ilvl w:val="1"/>
                      <w:numId w:val="53"/>
                    </w:numPr>
                    <w:tabs>
                      <w:tab w:val="clear" w:pos="1440"/>
                      <w:tab w:val="num" w:pos="545"/>
                      <w:tab w:val="center" w:pos="4252"/>
                      <w:tab w:val="right" w:pos="8504"/>
                    </w:tabs>
                    <w:ind w:hanging="1179"/>
                    <w:jc w:val="both"/>
                    <w:rPr>
                      <w:rFonts w:ascii="Verdana" w:hAnsi="Verdana"/>
                      <w:sz w:val="12"/>
                      <w:szCs w:val="12"/>
                      <w:lang w:val="es-CO"/>
                    </w:rPr>
                  </w:pPr>
                  <w:r w:rsidRPr="001E04D9">
                    <w:rPr>
                      <w:rFonts w:ascii="Verdana" w:hAnsi="Verdana"/>
                      <w:sz w:val="12"/>
                      <w:szCs w:val="12"/>
                      <w:lang w:val="es-CO"/>
                    </w:rPr>
                    <w:t>Ronda suplementaria</w:t>
                  </w:r>
                </w:p>
                <w:p w14:paraId="41F0831C" w14:textId="77777777" w:rsidR="00734827" w:rsidRPr="001E04D9" w:rsidRDefault="00734827" w:rsidP="00734827">
                  <w:pPr>
                    <w:numPr>
                      <w:ilvl w:val="0"/>
                      <w:numId w:val="53"/>
                    </w:numPr>
                    <w:tabs>
                      <w:tab w:val="clear" w:pos="720"/>
                      <w:tab w:val="num" w:pos="245"/>
                      <w:tab w:val="center" w:pos="4252"/>
                      <w:tab w:val="right" w:pos="8504"/>
                    </w:tabs>
                    <w:ind w:hanging="720"/>
                    <w:jc w:val="both"/>
                    <w:rPr>
                      <w:rFonts w:ascii="Verdana" w:hAnsi="Verdana"/>
                      <w:sz w:val="12"/>
                      <w:szCs w:val="12"/>
                      <w:lang w:val="es-CO"/>
                    </w:rPr>
                  </w:pPr>
                  <w:r w:rsidRPr="001E04D9">
                    <w:rPr>
                      <w:rFonts w:ascii="Verdana" w:hAnsi="Verdana"/>
                      <w:sz w:val="12"/>
                      <w:szCs w:val="12"/>
                      <w:lang w:val="es-CO"/>
                    </w:rPr>
                    <w:t>Asignación específica (sobre cerrado)</w:t>
                  </w:r>
                </w:p>
              </w:tc>
              <w:tc>
                <w:tcPr>
                  <w:tcW w:w="770" w:type="pct"/>
                  <w:tcMar>
                    <w:top w:w="72" w:type="dxa"/>
                    <w:left w:w="144" w:type="dxa"/>
                    <w:bottom w:w="72" w:type="dxa"/>
                    <w:right w:w="144" w:type="dxa"/>
                  </w:tcMar>
                  <w:vAlign w:val="center"/>
                  <w:hideMark/>
                </w:tcPr>
                <w:p w14:paraId="42E29766" w14:textId="77777777" w:rsidR="00734827" w:rsidRPr="001E04D9" w:rsidRDefault="00734827" w:rsidP="00734827">
                  <w:pPr>
                    <w:rPr>
                      <w:rFonts w:ascii="Verdana" w:hAnsi="Verdana"/>
                      <w:sz w:val="12"/>
                      <w:szCs w:val="12"/>
                      <w:lang w:val="es-CO"/>
                    </w:rPr>
                  </w:pPr>
                  <w:r w:rsidRPr="001E04D9">
                    <w:rPr>
                      <w:rFonts w:ascii="Verdana" w:hAnsi="Verdana"/>
                      <w:sz w:val="12"/>
                      <w:szCs w:val="12"/>
                      <w:lang w:val="es-CO"/>
                    </w:rPr>
                    <w:t>Adecuado para bloques de espectro que son sustitutos o complementarios</w:t>
                  </w:r>
                </w:p>
              </w:tc>
              <w:tc>
                <w:tcPr>
                  <w:tcW w:w="597" w:type="pct"/>
                  <w:tcMar>
                    <w:top w:w="72" w:type="dxa"/>
                    <w:left w:w="144" w:type="dxa"/>
                    <w:bottom w:w="72" w:type="dxa"/>
                    <w:right w:w="144" w:type="dxa"/>
                  </w:tcMar>
                  <w:vAlign w:val="center"/>
                  <w:hideMark/>
                </w:tcPr>
                <w:p w14:paraId="09D6EFD0" w14:textId="77777777" w:rsidR="00734827" w:rsidRPr="001E04D9" w:rsidRDefault="00734827" w:rsidP="00734827">
                  <w:pPr>
                    <w:jc w:val="center"/>
                    <w:rPr>
                      <w:rFonts w:ascii="Verdana" w:hAnsi="Verdana"/>
                      <w:sz w:val="12"/>
                      <w:szCs w:val="12"/>
                      <w:lang w:val="es-CO"/>
                    </w:rPr>
                  </w:pPr>
                  <w:r w:rsidRPr="001E04D9">
                    <w:rPr>
                      <w:rFonts w:ascii="Verdana" w:hAnsi="Verdana"/>
                      <w:sz w:val="12"/>
                      <w:szCs w:val="12"/>
                      <w:lang w:val="es-CO"/>
                    </w:rPr>
                    <w:t>Más complejo +</w:t>
                  </w:r>
                </w:p>
              </w:tc>
              <w:tc>
                <w:tcPr>
                  <w:tcW w:w="731" w:type="pct"/>
                  <w:tcMar>
                    <w:top w:w="72" w:type="dxa"/>
                    <w:left w:w="144" w:type="dxa"/>
                    <w:bottom w:w="72" w:type="dxa"/>
                    <w:right w:w="144" w:type="dxa"/>
                  </w:tcMar>
                  <w:vAlign w:val="center"/>
                  <w:hideMark/>
                </w:tcPr>
                <w:p w14:paraId="15BAA42E" w14:textId="77777777" w:rsidR="00734827" w:rsidRPr="001E04D9" w:rsidRDefault="00734827" w:rsidP="00734827">
                  <w:pPr>
                    <w:jc w:val="center"/>
                    <w:rPr>
                      <w:rFonts w:ascii="Verdana" w:hAnsi="Verdana"/>
                      <w:sz w:val="12"/>
                      <w:szCs w:val="12"/>
                      <w:lang w:val="es-CO"/>
                    </w:rPr>
                  </w:pPr>
                  <w:r w:rsidRPr="001E04D9">
                    <w:rPr>
                      <w:rFonts w:ascii="Verdana" w:hAnsi="Verdana"/>
                      <w:sz w:val="12"/>
                      <w:szCs w:val="12"/>
                      <w:lang w:val="es-CO"/>
                    </w:rPr>
                    <w:t>No se ha implementado</w:t>
                  </w:r>
                </w:p>
              </w:tc>
              <w:tc>
                <w:tcPr>
                  <w:tcW w:w="730" w:type="pct"/>
                </w:tcPr>
                <w:p w14:paraId="3439333B" w14:textId="77777777" w:rsidR="00734827" w:rsidRDefault="00734827" w:rsidP="00734827">
                  <w:pPr>
                    <w:jc w:val="center"/>
                    <w:rPr>
                      <w:rFonts w:ascii="Verdana" w:hAnsi="Verdana"/>
                      <w:sz w:val="12"/>
                      <w:szCs w:val="12"/>
                      <w:lang w:val="es-CO"/>
                    </w:rPr>
                  </w:pPr>
                  <w:r>
                    <w:rPr>
                      <w:rFonts w:ascii="Verdana" w:hAnsi="Verdana"/>
                      <w:sz w:val="12"/>
                      <w:szCs w:val="12"/>
                      <w:lang w:val="es-CO"/>
                    </w:rPr>
                    <w:t>P</w:t>
                  </w:r>
                  <w:r w:rsidRPr="009F55CB">
                    <w:rPr>
                      <w:rFonts w:ascii="Verdana" w:hAnsi="Verdana"/>
                      <w:sz w:val="12"/>
                      <w:szCs w:val="12"/>
                      <w:lang w:val="es-CO"/>
                    </w:rPr>
                    <w:t>ermite a los licitantes realizar ofertas por paquetes de bloques genéricos, lo que facilita expresar preferencias por combinaciones de espectro y mejorar la eficiencia en la asignación</w:t>
                  </w:r>
                  <w:r>
                    <w:rPr>
                      <w:rFonts w:ascii="Verdana" w:hAnsi="Verdana"/>
                      <w:sz w:val="12"/>
                      <w:szCs w:val="12"/>
                      <w:lang w:val="es-CO"/>
                    </w:rPr>
                    <w:t xml:space="preserve">. </w:t>
                  </w:r>
                  <w:r>
                    <w:rPr>
                      <w:rFonts w:ascii="Verdana" w:hAnsi="Verdana"/>
                      <w:sz w:val="12"/>
                      <w:szCs w:val="12"/>
                    </w:rPr>
                    <w:t>L</w:t>
                  </w:r>
                  <w:r w:rsidRPr="00212FF6">
                    <w:rPr>
                      <w:rFonts w:ascii="Verdana" w:hAnsi="Verdana"/>
                      <w:sz w:val="12"/>
                      <w:szCs w:val="12"/>
                    </w:rPr>
                    <w:t>a determinación del ganador y del precio implica cálculos de optimización complejos.</w:t>
                  </w:r>
                </w:p>
              </w:tc>
            </w:tr>
            <w:tr w:rsidR="00734827" w:rsidRPr="000A0EDA" w14:paraId="3C05BB2F" w14:textId="77777777" w:rsidTr="00385DB7">
              <w:trPr>
                <w:trHeight w:val="584"/>
              </w:trPr>
              <w:tc>
                <w:tcPr>
                  <w:tcW w:w="706" w:type="pct"/>
                  <w:tcMar>
                    <w:top w:w="72" w:type="dxa"/>
                    <w:left w:w="144" w:type="dxa"/>
                    <w:bottom w:w="72" w:type="dxa"/>
                    <w:right w:w="144" w:type="dxa"/>
                  </w:tcMar>
                  <w:vAlign w:val="center"/>
                  <w:hideMark/>
                </w:tcPr>
                <w:p w14:paraId="72029048" w14:textId="77777777" w:rsidR="00734827" w:rsidRPr="001E04D9" w:rsidRDefault="00734827" w:rsidP="00734827">
                  <w:pPr>
                    <w:jc w:val="center"/>
                    <w:rPr>
                      <w:rFonts w:ascii="Verdana" w:hAnsi="Verdana"/>
                      <w:sz w:val="12"/>
                      <w:szCs w:val="12"/>
                      <w:lang w:val="es-CO"/>
                    </w:rPr>
                  </w:pPr>
                  <w:r w:rsidRPr="001E04D9">
                    <w:rPr>
                      <w:rFonts w:ascii="Verdana" w:hAnsi="Verdana"/>
                      <w:b/>
                      <w:bCs/>
                      <w:sz w:val="12"/>
                      <w:szCs w:val="12"/>
                      <w:lang w:val="es-CO"/>
                    </w:rPr>
                    <w:t xml:space="preserve">Simultánea ascendente </w:t>
                  </w:r>
                  <w:proofErr w:type="spellStart"/>
                  <w:r w:rsidRPr="001E04D9">
                    <w:rPr>
                      <w:rFonts w:ascii="Verdana" w:hAnsi="Verdana"/>
                      <w:b/>
                      <w:bCs/>
                      <w:sz w:val="12"/>
                      <w:szCs w:val="12"/>
                      <w:lang w:val="es-CO"/>
                    </w:rPr>
                    <w:t>multironda</w:t>
                  </w:r>
                  <w:proofErr w:type="spellEnd"/>
                  <w:r w:rsidRPr="001E04D9">
                    <w:rPr>
                      <w:rFonts w:ascii="Verdana" w:hAnsi="Verdana"/>
                      <w:b/>
                      <w:bCs/>
                      <w:sz w:val="12"/>
                      <w:szCs w:val="12"/>
                      <w:lang w:val="es-CO"/>
                    </w:rPr>
                    <w:t xml:space="preserve"> mejorada (ESMRA)</w:t>
                  </w:r>
                </w:p>
              </w:tc>
              <w:tc>
                <w:tcPr>
                  <w:tcW w:w="1466" w:type="pct"/>
                  <w:tcMar>
                    <w:top w:w="72" w:type="dxa"/>
                    <w:left w:w="144" w:type="dxa"/>
                    <w:bottom w:w="72" w:type="dxa"/>
                    <w:right w:w="144" w:type="dxa"/>
                  </w:tcMar>
                  <w:vAlign w:val="center"/>
                  <w:hideMark/>
                </w:tcPr>
                <w:p w14:paraId="67660B98" w14:textId="77777777" w:rsidR="00734827" w:rsidRPr="001E04D9" w:rsidRDefault="00734827" w:rsidP="00734827">
                  <w:pPr>
                    <w:rPr>
                      <w:rFonts w:ascii="Verdana" w:hAnsi="Verdana"/>
                      <w:sz w:val="12"/>
                      <w:szCs w:val="12"/>
                      <w:lang w:val="es-CO"/>
                    </w:rPr>
                  </w:pPr>
                  <w:r w:rsidRPr="001E04D9">
                    <w:rPr>
                      <w:rFonts w:ascii="Verdana" w:hAnsi="Verdana"/>
                      <w:sz w:val="12"/>
                      <w:szCs w:val="12"/>
                      <w:lang w:val="es-CO"/>
                    </w:rPr>
                    <w:t>Proceso en dos etapas:</w:t>
                  </w:r>
                </w:p>
                <w:p w14:paraId="50D7C6B8" w14:textId="77777777" w:rsidR="00734827" w:rsidRPr="001E04D9" w:rsidRDefault="00734827" w:rsidP="00734827">
                  <w:pPr>
                    <w:numPr>
                      <w:ilvl w:val="0"/>
                      <w:numId w:val="54"/>
                    </w:numPr>
                    <w:tabs>
                      <w:tab w:val="clear" w:pos="720"/>
                      <w:tab w:val="num" w:pos="245"/>
                      <w:tab w:val="center" w:pos="4252"/>
                      <w:tab w:val="right" w:pos="8504"/>
                    </w:tabs>
                    <w:ind w:hanging="720"/>
                    <w:jc w:val="both"/>
                    <w:rPr>
                      <w:rFonts w:ascii="Verdana" w:hAnsi="Verdana"/>
                      <w:sz w:val="12"/>
                      <w:szCs w:val="12"/>
                      <w:lang w:val="es-CO"/>
                    </w:rPr>
                  </w:pPr>
                  <w:r w:rsidRPr="001E04D9">
                    <w:rPr>
                      <w:rFonts w:ascii="Verdana" w:hAnsi="Verdana"/>
                      <w:sz w:val="12"/>
                      <w:szCs w:val="12"/>
                      <w:lang w:val="es-CO"/>
                    </w:rPr>
                    <w:t>SMRA bloques genéricos</w:t>
                  </w:r>
                </w:p>
                <w:p w14:paraId="00EF6E65" w14:textId="77777777" w:rsidR="00734827" w:rsidRPr="001E04D9" w:rsidRDefault="00734827" w:rsidP="00734827">
                  <w:pPr>
                    <w:numPr>
                      <w:ilvl w:val="0"/>
                      <w:numId w:val="54"/>
                    </w:numPr>
                    <w:tabs>
                      <w:tab w:val="clear" w:pos="720"/>
                      <w:tab w:val="num" w:pos="245"/>
                      <w:tab w:val="center" w:pos="4252"/>
                      <w:tab w:val="right" w:pos="8504"/>
                    </w:tabs>
                    <w:ind w:hanging="720"/>
                    <w:jc w:val="both"/>
                    <w:rPr>
                      <w:rFonts w:ascii="Verdana" w:hAnsi="Verdana"/>
                      <w:sz w:val="12"/>
                      <w:szCs w:val="12"/>
                      <w:lang w:val="es-CO"/>
                    </w:rPr>
                  </w:pPr>
                  <w:r w:rsidRPr="001E04D9">
                    <w:rPr>
                      <w:rFonts w:ascii="Verdana" w:hAnsi="Verdana"/>
                      <w:sz w:val="12"/>
                      <w:szCs w:val="12"/>
                      <w:lang w:val="es-CO"/>
                    </w:rPr>
                    <w:t>Asignación de bloques específicos</w:t>
                  </w:r>
                </w:p>
              </w:tc>
              <w:tc>
                <w:tcPr>
                  <w:tcW w:w="770" w:type="pct"/>
                  <w:tcMar>
                    <w:top w:w="72" w:type="dxa"/>
                    <w:left w:w="144" w:type="dxa"/>
                    <w:bottom w:w="72" w:type="dxa"/>
                    <w:right w:w="144" w:type="dxa"/>
                  </w:tcMar>
                  <w:vAlign w:val="center"/>
                  <w:hideMark/>
                </w:tcPr>
                <w:p w14:paraId="7C6ABB3B" w14:textId="77777777" w:rsidR="00734827" w:rsidRPr="001E04D9" w:rsidRDefault="00734827" w:rsidP="00734827">
                  <w:pPr>
                    <w:rPr>
                      <w:rFonts w:ascii="Verdana" w:hAnsi="Verdana"/>
                      <w:sz w:val="12"/>
                      <w:szCs w:val="12"/>
                      <w:lang w:val="es-CO"/>
                    </w:rPr>
                  </w:pPr>
                  <w:r w:rsidRPr="001E04D9">
                    <w:rPr>
                      <w:rFonts w:ascii="Verdana" w:hAnsi="Verdana"/>
                      <w:sz w:val="12"/>
                      <w:szCs w:val="12"/>
                      <w:lang w:val="es-CO"/>
                    </w:rPr>
                    <w:t>Adecuado para bloques de espectro que son sustitutos o complementarios</w:t>
                  </w:r>
                </w:p>
              </w:tc>
              <w:tc>
                <w:tcPr>
                  <w:tcW w:w="597" w:type="pct"/>
                  <w:tcMar>
                    <w:top w:w="72" w:type="dxa"/>
                    <w:left w:w="144" w:type="dxa"/>
                    <w:bottom w:w="72" w:type="dxa"/>
                    <w:right w:w="144" w:type="dxa"/>
                  </w:tcMar>
                  <w:vAlign w:val="center"/>
                  <w:hideMark/>
                </w:tcPr>
                <w:p w14:paraId="259DBC86" w14:textId="77777777" w:rsidR="00734827" w:rsidRPr="001E04D9" w:rsidRDefault="00734827" w:rsidP="00734827">
                  <w:pPr>
                    <w:jc w:val="center"/>
                    <w:rPr>
                      <w:rFonts w:ascii="Verdana" w:hAnsi="Verdana"/>
                      <w:sz w:val="12"/>
                      <w:szCs w:val="12"/>
                      <w:lang w:val="es-CO"/>
                    </w:rPr>
                  </w:pPr>
                  <w:r w:rsidRPr="001E04D9">
                    <w:rPr>
                      <w:rFonts w:ascii="Verdana" w:hAnsi="Verdana"/>
                      <w:sz w:val="12"/>
                      <w:szCs w:val="12"/>
                      <w:lang w:val="es-CO"/>
                    </w:rPr>
                    <w:t>Más Complejo</w:t>
                  </w:r>
                </w:p>
              </w:tc>
              <w:tc>
                <w:tcPr>
                  <w:tcW w:w="731" w:type="pct"/>
                  <w:tcMar>
                    <w:top w:w="72" w:type="dxa"/>
                    <w:left w:w="144" w:type="dxa"/>
                    <w:bottom w:w="72" w:type="dxa"/>
                    <w:right w:w="144" w:type="dxa"/>
                  </w:tcMar>
                  <w:vAlign w:val="center"/>
                  <w:hideMark/>
                </w:tcPr>
                <w:p w14:paraId="2F5629E3" w14:textId="77777777" w:rsidR="00734827" w:rsidRPr="001E04D9" w:rsidRDefault="00734827" w:rsidP="00734827">
                  <w:pPr>
                    <w:jc w:val="center"/>
                    <w:rPr>
                      <w:rFonts w:ascii="Verdana" w:hAnsi="Verdana"/>
                      <w:sz w:val="12"/>
                      <w:szCs w:val="12"/>
                      <w:lang w:val="es-CO"/>
                    </w:rPr>
                  </w:pPr>
                  <w:r w:rsidRPr="001E04D9">
                    <w:rPr>
                      <w:rFonts w:ascii="Verdana" w:hAnsi="Verdana"/>
                      <w:sz w:val="12"/>
                      <w:szCs w:val="12"/>
                      <w:lang w:val="es-CO"/>
                    </w:rPr>
                    <w:t>Asignación 5G 2023</w:t>
                  </w:r>
                </w:p>
              </w:tc>
              <w:tc>
                <w:tcPr>
                  <w:tcW w:w="730" w:type="pct"/>
                </w:tcPr>
                <w:p w14:paraId="1791AEB4" w14:textId="77777777" w:rsidR="00734827" w:rsidRPr="00712259" w:rsidRDefault="00734827" w:rsidP="00734827">
                  <w:pPr>
                    <w:jc w:val="center"/>
                    <w:rPr>
                      <w:rFonts w:ascii="Verdana" w:hAnsi="Verdana"/>
                      <w:sz w:val="12"/>
                      <w:szCs w:val="12"/>
                      <w:lang w:val="es-CO"/>
                    </w:rPr>
                  </w:pPr>
                  <w:r>
                    <w:rPr>
                      <w:rFonts w:ascii="Verdana" w:hAnsi="Verdana"/>
                      <w:sz w:val="12"/>
                      <w:szCs w:val="12"/>
                      <w:lang w:val="es-CO"/>
                    </w:rPr>
                    <w:t xml:space="preserve">Puede minimizar riesgos </w:t>
                  </w:r>
                  <w:r w:rsidRPr="00C62583">
                    <w:rPr>
                      <w:rFonts w:ascii="Verdana" w:hAnsi="Verdana"/>
                      <w:sz w:val="12"/>
                      <w:szCs w:val="12"/>
                      <w:lang w:val="es-CO"/>
                    </w:rPr>
                    <w:t>como fragmentación o agregación ineficiente, permitiendo mayor eficiencia en la asignación cuando existen bloques sustitutos o complementarios</w:t>
                  </w:r>
                  <w:r w:rsidRPr="00712259">
                    <w:rPr>
                      <w:rFonts w:ascii="Verdana" w:hAnsi="Verdana"/>
                      <w:sz w:val="12"/>
                      <w:szCs w:val="12"/>
                    </w:rPr>
                    <w:t xml:space="preserve"> </w:t>
                  </w:r>
                </w:p>
                <w:p w14:paraId="4AE7DC92" w14:textId="77777777" w:rsidR="00734827" w:rsidRDefault="00734827" w:rsidP="00734827">
                  <w:pPr>
                    <w:jc w:val="center"/>
                    <w:rPr>
                      <w:rFonts w:ascii="Verdana" w:hAnsi="Verdana"/>
                      <w:sz w:val="12"/>
                      <w:szCs w:val="12"/>
                      <w:lang w:val="es-CO"/>
                    </w:rPr>
                  </w:pPr>
                </w:p>
              </w:tc>
            </w:tr>
            <w:tr w:rsidR="00734827" w:rsidRPr="000A0EDA" w14:paraId="3E67CF93" w14:textId="77777777" w:rsidTr="00385DB7">
              <w:trPr>
                <w:trHeight w:val="584"/>
              </w:trPr>
              <w:tc>
                <w:tcPr>
                  <w:tcW w:w="706" w:type="pct"/>
                  <w:tcMar>
                    <w:top w:w="72" w:type="dxa"/>
                    <w:left w:w="144" w:type="dxa"/>
                    <w:bottom w:w="72" w:type="dxa"/>
                    <w:right w:w="144" w:type="dxa"/>
                  </w:tcMar>
                  <w:vAlign w:val="center"/>
                  <w:hideMark/>
                </w:tcPr>
                <w:p w14:paraId="42EAD45D" w14:textId="77777777" w:rsidR="00734827" w:rsidRPr="001E04D9" w:rsidRDefault="00734827" w:rsidP="00734827">
                  <w:pPr>
                    <w:jc w:val="center"/>
                    <w:rPr>
                      <w:rFonts w:ascii="Verdana" w:hAnsi="Verdana"/>
                      <w:sz w:val="12"/>
                      <w:szCs w:val="12"/>
                      <w:lang w:val="es-CO"/>
                    </w:rPr>
                  </w:pPr>
                  <w:r>
                    <w:rPr>
                      <w:rFonts w:ascii="Verdana" w:hAnsi="Verdana"/>
                      <w:b/>
                      <w:bCs/>
                      <w:sz w:val="12"/>
                      <w:szCs w:val="12"/>
                      <w:lang w:val="es-CO"/>
                    </w:rPr>
                    <w:t xml:space="preserve">      </w:t>
                  </w:r>
                  <w:r w:rsidRPr="001E04D9">
                    <w:rPr>
                      <w:rFonts w:ascii="Verdana" w:hAnsi="Verdana"/>
                      <w:b/>
                      <w:bCs/>
                      <w:sz w:val="12"/>
                      <w:szCs w:val="12"/>
                      <w:lang w:val="es-CO"/>
                    </w:rPr>
                    <w:t xml:space="preserve">Simultánea ascendente </w:t>
                  </w:r>
                  <w:proofErr w:type="spellStart"/>
                  <w:r w:rsidRPr="001E04D9">
                    <w:rPr>
                      <w:rFonts w:ascii="Verdana" w:hAnsi="Verdana"/>
                      <w:b/>
                      <w:bCs/>
                      <w:sz w:val="12"/>
                      <w:szCs w:val="12"/>
                      <w:lang w:val="es-CO"/>
                    </w:rPr>
                    <w:t>multironda</w:t>
                  </w:r>
                  <w:proofErr w:type="spellEnd"/>
                </w:p>
                <w:p w14:paraId="45E1C8E7" w14:textId="77777777" w:rsidR="00734827" w:rsidRPr="001E04D9" w:rsidRDefault="00734827" w:rsidP="00734827">
                  <w:pPr>
                    <w:jc w:val="center"/>
                    <w:rPr>
                      <w:rFonts w:ascii="Verdana" w:hAnsi="Verdana"/>
                      <w:sz w:val="12"/>
                      <w:szCs w:val="12"/>
                      <w:lang w:val="es-CO"/>
                    </w:rPr>
                  </w:pPr>
                  <w:r w:rsidRPr="001E04D9">
                    <w:rPr>
                      <w:rFonts w:ascii="Verdana" w:hAnsi="Verdana"/>
                      <w:b/>
                      <w:bCs/>
                      <w:sz w:val="12"/>
                      <w:szCs w:val="12"/>
                      <w:lang w:val="es-CO"/>
                    </w:rPr>
                    <w:t>(SMRA)</w:t>
                  </w:r>
                </w:p>
              </w:tc>
              <w:tc>
                <w:tcPr>
                  <w:tcW w:w="1466" w:type="pct"/>
                  <w:tcMar>
                    <w:top w:w="72" w:type="dxa"/>
                    <w:left w:w="144" w:type="dxa"/>
                    <w:bottom w:w="72" w:type="dxa"/>
                    <w:right w:w="144" w:type="dxa"/>
                  </w:tcMar>
                  <w:vAlign w:val="center"/>
                  <w:hideMark/>
                </w:tcPr>
                <w:p w14:paraId="01E52CF3" w14:textId="77777777" w:rsidR="00734827" w:rsidRPr="001E04D9" w:rsidRDefault="00734827" w:rsidP="00734827">
                  <w:pPr>
                    <w:rPr>
                      <w:rFonts w:ascii="Verdana" w:hAnsi="Verdana"/>
                      <w:sz w:val="12"/>
                      <w:szCs w:val="12"/>
                      <w:lang w:val="es-CO"/>
                    </w:rPr>
                  </w:pPr>
                  <w:r w:rsidRPr="001E04D9">
                    <w:rPr>
                      <w:rFonts w:ascii="Verdana" w:hAnsi="Verdana"/>
                      <w:sz w:val="12"/>
                      <w:szCs w:val="12"/>
                      <w:lang w:val="es-CO"/>
                    </w:rPr>
                    <w:t>Procesos de puja ascendente en múltiples bloques de espectro al mismo tiempo. Todos lo</w:t>
                  </w:r>
                  <w:r>
                    <w:rPr>
                      <w:rFonts w:ascii="Verdana" w:hAnsi="Verdana"/>
                      <w:sz w:val="12"/>
                      <w:szCs w:val="12"/>
                      <w:lang w:val="es-CO"/>
                    </w:rPr>
                    <w:t>s</w:t>
                  </w:r>
                  <w:r w:rsidRPr="001E04D9">
                    <w:rPr>
                      <w:rFonts w:ascii="Verdana" w:hAnsi="Verdana"/>
                      <w:sz w:val="12"/>
                      <w:szCs w:val="12"/>
                      <w:lang w:val="es-CO"/>
                    </w:rPr>
                    <w:t xml:space="preserve"> bloques disponibles mientras exista ofertas por cada uno</w:t>
                  </w:r>
                </w:p>
              </w:tc>
              <w:tc>
                <w:tcPr>
                  <w:tcW w:w="770" w:type="pct"/>
                  <w:tcMar>
                    <w:top w:w="72" w:type="dxa"/>
                    <w:left w:w="144" w:type="dxa"/>
                    <w:bottom w:w="72" w:type="dxa"/>
                    <w:right w:w="144" w:type="dxa"/>
                  </w:tcMar>
                  <w:vAlign w:val="center"/>
                  <w:hideMark/>
                </w:tcPr>
                <w:p w14:paraId="4FFA1063" w14:textId="77777777" w:rsidR="00734827" w:rsidRPr="001E04D9" w:rsidRDefault="00734827" w:rsidP="00734827">
                  <w:pPr>
                    <w:rPr>
                      <w:rFonts w:ascii="Verdana" w:hAnsi="Verdana"/>
                      <w:sz w:val="12"/>
                      <w:szCs w:val="12"/>
                      <w:lang w:val="es-CO"/>
                    </w:rPr>
                  </w:pPr>
                  <w:r w:rsidRPr="001E04D9">
                    <w:rPr>
                      <w:rFonts w:ascii="Verdana" w:hAnsi="Verdana"/>
                      <w:sz w:val="12"/>
                      <w:szCs w:val="12"/>
                      <w:lang w:val="es-CO"/>
                    </w:rPr>
                    <w:t>Adecuado para bloques de espectro que son sustitutos o complementarios</w:t>
                  </w:r>
                </w:p>
              </w:tc>
              <w:tc>
                <w:tcPr>
                  <w:tcW w:w="597" w:type="pct"/>
                  <w:tcMar>
                    <w:top w:w="72" w:type="dxa"/>
                    <w:left w:w="144" w:type="dxa"/>
                    <w:bottom w:w="72" w:type="dxa"/>
                    <w:right w:w="144" w:type="dxa"/>
                  </w:tcMar>
                  <w:vAlign w:val="center"/>
                  <w:hideMark/>
                </w:tcPr>
                <w:p w14:paraId="475382F4" w14:textId="77777777" w:rsidR="00734827" w:rsidRPr="001E04D9" w:rsidRDefault="00734827" w:rsidP="00734827">
                  <w:pPr>
                    <w:jc w:val="center"/>
                    <w:rPr>
                      <w:rFonts w:ascii="Verdana" w:hAnsi="Verdana"/>
                      <w:sz w:val="12"/>
                      <w:szCs w:val="12"/>
                      <w:lang w:val="es-CO"/>
                    </w:rPr>
                  </w:pPr>
                  <w:r w:rsidRPr="001E04D9">
                    <w:rPr>
                      <w:rFonts w:ascii="Verdana" w:hAnsi="Verdana"/>
                      <w:sz w:val="12"/>
                      <w:szCs w:val="12"/>
                      <w:lang w:val="es-CO"/>
                    </w:rPr>
                    <w:t>Complejo</w:t>
                  </w:r>
                </w:p>
              </w:tc>
              <w:tc>
                <w:tcPr>
                  <w:tcW w:w="731" w:type="pct"/>
                  <w:tcMar>
                    <w:top w:w="72" w:type="dxa"/>
                    <w:left w:w="144" w:type="dxa"/>
                    <w:bottom w:w="72" w:type="dxa"/>
                    <w:right w:w="144" w:type="dxa"/>
                  </w:tcMar>
                  <w:vAlign w:val="center"/>
                  <w:hideMark/>
                </w:tcPr>
                <w:p w14:paraId="69D3A514" w14:textId="77777777" w:rsidR="00734827" w:rsidRPr="001E04D9" w:rsidRDefault="00734827" w:rsidP="00734827">
                  <w:pPr>
                    <w:jc w:val="center"/>
                    <w:rPr>
                      <w:rFonts w:ascii="Verdana" w:hAnsi="Verdana"/>
                      <w:sz w:val="12"/>
                      <w:szCs w:val="12"/>
                      <w:lang w:val="es-CO"/>
                    </w:rPr>
                  </w:pPr>
                  <w:r w:rsidRPr="001E04D9">
                    <w:rPr>
                      <w:rFonts w:ascii="Verdana" w:hAnsi="Verdana"/>
                      <w:sz w:val="12"/>
                      <w:szCs w:val="12"/>
                      <w:lang w:val="es-CO"/>
                    </w:rPr>
                    <w:t xml:space="preserve"> No se ha implementado</w:t>
                  </w:r>
                </w:p>
              </w:tc>
              <w:tc>
                <w:tcPr>
                  <w:tcW w:w="730" w:type="pct"/>
                </w:tcPr>
                <w:p w14:paraId="7770D351" w14:textId="77777777" w:rsidR="00734827" w:rsidRDefault="00734827" w:rsidP="00734827">
                  <w:pPr>
                    <w:jc w:val="center"/>
                    <w:rPr>
                      <w:rFonts w:ascii="Verdana" w:hAnsi="Verdana"/>
                      <w:sz w:val="12"/>
                      <w:szCs w:val="12"/>
                      <w:lang w:val="es-CO"/>
                    </w:rPr>
                  </w:pPr>
                  <w:r>
                    <w:rPr>
                      <w:rFonts w:ascii="Verdana" w:hAnsi="Verdana"/>
                      <w:sz w:val="12"/>
                      <w:szCs w:val="12"/>
                      <w:lang w:val="es-CO"/>
                    </w:rPr>
                    <w:t>L</w:t>
                  </w:r>
                  <w:r w:rsidRPr="000A5E46">
                    <w:rPr>
                      <w:rFonts w:ascii="Verdana" w:hAnsi="Verdana"/>
                      <w:sz w:val="12"/>
                      <w:szCs w:val="12"/>
                      <w:lang w:val="es-CO"/>
                    </w:rPr>
                    <w:t xml:space="preserve">as pujas se realizan en múltiples rondas y los resultados de cada ronda se revelan antes de la siguiente, lo que permite a los participantes </w:t>
                  </w:r>
                  <w:r w:rsidRPr="000A5E46">
                    <w:rPr>
                      <w:rFonts w:ascii="Verdana" w:hAnsi="Verdana"/>
                      <w:sz w:val="12"/>
                      <w:szCs w:val="12"/>
                      <w:lang w:val="es-CO"/>
                    </w:rPr>
                    <w:lastRenderedPageBreak/>
                    <w:t>conocer las valoraciones del mercado y ajustar sus ofertas</w:t>
                  </w:r>
                </w:p>
              </w:tc>
            </w:tr>
            <w:tr w:rsidR="00734827" w:rsidRPr="000A0EDA" w14:paraId="31097E91" w14:textId="77777777" w:rsidTr="00385DB7">
              <w:trPr>
                <w:trHeight w:val="584"/>
              </w:trPr>
              <w:tc>
                <w:tcPr>
                  <w:tcW w:w="706" w:type="pct"/>
                  <w:tcMar>
                    <w:top w:w="72" w:type="dxa"/>
                    <w:left w:w="144" w:type="dxa"/>
                    <w:bottom w:w="72" w:type="dxa"/>
                    <w:right w:w="144" w:type="dxa"/>
                  </w:tcMar>
                  <w:vAlign w:val="center"/>
                  <w:hideMark/>
                </w:tcPr>
                <w:p w14:paraId="2F930BB3" w14:textId="77777777" w:rsidR="00734827" w:rsidRPr="001E04D9" w:rsidRDefault="00734827" w:rsidP="00734827">
                  <w:pPr>
                    <w:jc w:val="center"/>
                    <w:rPr>
                      <w:rFonts w:ascii="Verdana" w:hAnsi="Verdana"/>
                      <w:sz w:val="12"/>
                      <w:szCs w:val="12"/>
                      <w:lang w:val="es-CO"/>
                    </w:rPr>
                  </w:pPr>
                  <w:r w:rsidRPr="001E04D9">
                    <w:rPr>
                      <w:rFonts w:ascii="Verdana" w:hAnsi="Verdana"/>
                      <w:b/>
                      <w:bCs/>
                      <w:sz w:val="12"/>
                      <w:szCs w:val="12"/>
                      <w:lang w:val="es-CO"/>
                    </w:rPr>
                    <w:lastRenderedPageBreak/>
                    <w:t>Reloj ascendente simple (SCA)</w:t>
                  </w:r>
                </w:p>
              </w:tc>
              <w:tc>
                <w:tcPr>
                  <w:tcW w:w="1466" w:type="pct"/>
                  <w:tcMar>
                    <w:top w:w="72" w:type="dxa"/>
                    <w:left w:w="144" w:type="dxa"/>
                    <w:bottom w:w="72" w:type="dxa"/>
                    <w:right w:w="144" w:type="dxa"/>
                  </w:tcMar>
                  <w:vAlign w:val="center"/>
                  <w:hideMark/>
                </w:tcPr>
                <w:p w14:paraId="3734AEF0" w14:textId="77777777" w:rsidR="00734827" w:rsidRPr="001E04D9" w:rsidRDefault="00734827" w:rsidP="00734827">
                  <w:pPr>
                    <w:rPr>
                      <w:rFonts w:ascii="Verdana" w:hAnsi="Verdana"/>
                      <w:sz w:val="12"/>
                      <w:szCs w:val="12"/>
                      <w:lang w:val="es-CO"/>
                    </w:rPr>
                  </w:pPr>
                  <w:r w:rsidRPr="000A0EDA">
                    <w:rPr>
                      <w:rFonts w:ascii="Verdana" w:hAnsi="Verdana"/>
                      <w:sz w:val="12"/>
                      <w:szCs w:val="12"/>
                      <w:lang w:val="es-CO"/>
                    </w:rPr>
                    <w:t>Procesos simples</w:t>
                  </w:r>
                  <w:r w:rsidRPr="001E04D9">
                    <w:rPr>
                      <w:rFonts w:ascii="Verdana" w:hAnsi="Verdana"/>
                      <w:sz w:val="12"/>
                      <w:szCs w:val="12"/>
                      <w:lang w:val="es-CO"/>
                    </w:rPr>
                    <w:t xml:space="preserve"> de puja ascendente para subastar bloques individuales de espectro</w:t>
                  </w:r>
                </w:p>
              </w:tc>
              <w:tc>
                <w:tcPr>
                  <w:tcW w:w="770" w:type="pct"/>
                  <w:tcMar>
                    <w:top w:w="72" w:type="dxa"/>
                    <w:left w:w="144" w:type="dxa"/>
                    <w:bottom w:w="72" w:type="dxa"/>
                    <w:right w:w="144" w:type="dxa"/>
                  </w:tcMar>
                  <w:vAlign w:val="center"/>
                  <w:hideMark/>
                </w:tcPr>
                <w:p w14:paraId="7B281004" w14:textId="77777777" w:rsidR="00734827" w:rsidRPr="001E04D9" w:rsidRDefault="00734827" w:rsidP="00734827">
                  <w:pPr>
                    <w:rPr>
                      <w:rFonts w:ascii="Verdana" w:hAnsi="Verdana"/>
                      <w:sz w:val="12"/>
                      <w:szCs w:val="12"/>
                      <w:lang w:val="es-CO"/>
                    </w:rPr>
                  </w:pPr>
                  <w:r w:rsidRPr="001E04D9">
                    <w:rPr>
                      <w:rFonts w:ascii="Verdana" w:hAnsi="Verdana"/>
                      <w:sz w:val="12"/>
                      <w:szCs w:val="12"/>
                      <w:lang w:val="es-CO"/>
                    </w:rPr>
                    <w:t>Adecuado para bloques de espectro que no son sustitutos ni complementarios</w:t>
                  </w:r>
                </w:p>
              </w:tc>
              <w:tc>
                <w:tcPr>
                  <w:tcW w:w="597" w:type="pct"/>
                  <w:tcMar>
                    <w:top w:w="72" w:type="dxa"/>
                    <w:left w:w="144" w:type="dxa"/>
                    <w:bottom w:w="72" w:type="dxa"/>
                    <w:right w:w="144" w:type="dxa"/>
                  </w:tcMar>
                  <w:vAlign w:val="center"/>
                  <w:hideMark/>
                </w:tcPr>
                <w:p w14:paraId="4AFB59B2" w14:textId="77777777" w:rsidR="00734827" w:rsidRPr="001E04D9" w:rsidRDefault="00734827" w:rsidP="00734827">
                  <w:pPr>
                    <w:jc w:val="center"/>
                    <w:rPr>
                      <w:rFonts w:ascii="Verdana" w:hAnsi="Verdana"/>
                      <w:sz w:val="12"/>
                      <w:szCs w:val="12"/>
                      <w:lang w:val="es-CO"/>
                    </w:rPr>
                  </w:pPr>
                  <w:r w:rsidRPr="001E04D9">
                    <w:rPr>
                      <w:rFonts w:ascii="Verdana" w:hAnsi="Verdana"/>
                      <w:sz w:val="12"/>
                      <w:szCs w:val="12"/>
                      <w:lang w:val="es-CO"/>
                    </w:rPr>
                    <w:t>Simple</w:t>
                  </w:r>
                </w:p>
              </w:tc>
              <w:tc>
                <w:tcPr>
                  <w:tcW w:w="731" w:type="pct"/>
                  <w:tcMar>
                    <w:top w:w="72" w:type="dxa"/>
                    <w:left w:w="144" w:type="dxa"/>
                    <w:bottom w:w="72" w:type="dxa"/>
                    <w:right w:w="144" w:type="dxa"/>
                  </w:tcMar>
                  <w:vAlign w:val="center"/>
                  <w:hideMark/>
                </w:tcPr>
                <w:p w14:paraId="27ACDF67" w14:textId="77777777" w:rsidR="00734827" w:rsidRPr="001E04D9" w:rsidRDefault="00734827" w:rsidP="00734827">
                  <w:pPr>
                    <w:jc w:val="center"/>
                    <w:rPr>
                      <w:rFonts w:ascii="Verdana" w:hAnsi="Verdana"/>
                      <w:sz w:val="12"/>
                      <w:szCs w:val="12"/>
                      <w:lang w:val="es-CO"/>
                    </w:rPr>
                  </w:pPr>
                  <w:r w:rsidRPr="001E04D9">
                    <w:rPr>
                      <w:rFonts w:ascii="Verdana" w:hAnsi="Verdana"/>
                      <w:sz w:val="12"/>
                      <w:szCs w:val="12"/>
                      <w:lang w:val="es-CO"/>
                    </w:rPr>
                    <w:t>Asignación 2.5 GHz 2010</w:t>
                  </w:r>
                </w:p>
                <w:p w14:paraId="2E032ED0" w14:textId="77777777" w:rsidR="00734827" w:rsidRPr="001E04D9" w:rsidRDefault="00734827" w:rsidP="00734827">
                  <w:pPr>
                    <w:jc w:val="center"/>
                    <w:rPr>
                      <w:rFonts w:ascii="Verdana" w:hAnsi="Verdana"/>
                      <w:sz w:val="12"/>
                      <w:szCs w:val="12"/>
                      <w:lang w:val="es-CO"/>
                    </w:rPr>
                  </w:pPr>
                  <w:r w:rsidRPr="001E04D9">
                    <w:rPr>
                      <w:rFonts w:ascii="Verdana" w:hAnsi="Verdana"/>
                      <w:sz w:val="12"/>
                      <w:szCs w:val="12"/>
                      <w:lang w:val="es-CO"/>
                    </w:rPr>
                    <w:t>Asignación 1900 MHz 2011</w:t>
                  </w:r>
                </w:p>
                <w:p w14:paraId="4B27A479" w14:textId="77777777" w:rsidR="00734827" w:rsidRPr="001E04D9" w:rsidRDefault="00734827" w:rsidP="00734827">
                  <w:pPr>
                    <w:jc w:val="center"/>
                    <w:rPr>
                      <w:rFonts w:ascii="Verdana" w:hAnsi="Verdana"/>
                      <w:sz w:val="12"/>
                      <w:szCs w:val="12"/>
                      <w:lang w:val="es-CO"/>
                    </w:rPr>
                  </w:pPr>
                  <w:r w:rsidRPr="001E04D9">
                    <w:rPr>
                      <w:rFonts w:ascii="Verdana" w:hAnsi="Verdana"/>
                      <w:sz w:val="12"/>
                      <w:szCs w:val="12"/>
                      <w:lang w:val="es-CO"/>
                    </w:rPr>
                    <w:t>Asignación 4G 2013</w:t>
                  </w:r>
                </w:p>
                <w:p w14:paraId="4ADD97AA" w14:textId="77777777" w:rsidR="00734827" w:rsidRPr="001E04D9" w:rsidRDefault="00734827" w:rsidP="00734827">
                  <w:pPr>
                    <w:jc w:val="center"/>
                    <w:rPr>
                      <w:rFonts w:ascii="Verdana" w:hAnsi="Verdana"/>
                      <w:sz w:val="12"/>
                      <w:szCs w:val="12"/>
                      <w:lang w:val="es-CO"/>
                    </w:rPr>
                  </w:pPr>
                  <w:r w:rsidRPr="001E04D9">
                    <w:rPr>
                      <w:rFonts w:ascii="Verdana" w:hAnsi="Verdana"/>
                      <w:sz w:val="12"/>
                      <w:szCs w:val="12"/>
                      <w:lang w:val="es-CO"/>
                    </w:rPr>
                    <w:t>Asignación 700 MHz 2019</w:t>
                  </w:r>
                </w:p>
              </w:tc>
              <w:tc>
                <w:tcPr>
                  <w:tcW w:w="730" w:type="pct"/>
                </w:tcPr>
                <w:p w14:paraId="32102934" w14:textId="77777777" w:rsidR="00734827" w:rsidRDefault="00734827" w:rsidP="00734827">
                  <w:pPr>
                    <w:jc w:val="center"/>
                    <w:rPr>
                      <w:rFonts w:ascii="Verdana" w:hAnsi="Verdana"/>
                      <w:sz w:val="12"/>
                      <w:szCs w:val="12"/>
                      <w:lang w:val="es-CO"/>
                    </w:rPr>
                  </w:pPr>
                  <w:r>
                    <w:rPr>
                      <w:rFonts w:ascii="Verdana" w:hAnsi="Verdana"/>
                      <w:sz w:val="12"/>
                      <w:szCs w:val="12"/>
                      <w:lang w:val="es-CO"/>
                    </w:rPr>
                    <w:t>F</w:t>
                  </w:r>
                  <w:r w:rsidRPr="008B6F9D">
                    <w:rPr>
                      <w:rFonts w:ascii="Verdana" w:hAnsi="Verdana"/>
                      <w:sz w:val="12"/>
                      <w:szCs w:val="12"/>
                      <w:lang w:val="es-CO"/>
                    </w:rPr>
                    <w:t>acilita el descubrimiento progresivo de precios mediante incrementos sucesivos, lo que ayuda a revelar el valor económico del espectro y puede mejorar la eficiencia de la asignación.</w:t>
                  </w:r>
                </w:p>
              </w:tc>
            </w:tr>
            <w:tr w:rsidR="00734827" w:rsidRPr="000A0EDA" w14:paraId="44E89A4C" w14:textId="77777777" w:rsidTr="00385DB7">
              <w:trPr>
                <w:trHeight w:val="584"/>
              </w:trPr>
              <w:tc>
                <w:tcPr>
                  <w:tcW w:w="706" w:type="pct"/>
                  <w:tcMar>
                    <w:top w:w="72" w:type="dxa"/>
                    <w:left w:w="144" w:type="dxa"/>
                    <w:bottom w:w="72" w:type="dxa"/>
                    <w:right w:w="144" w:type="dxa"/>
                  </w:tcMar>
                  <w:vAlign w:val="center"/>
                  <w:hideMark/>
                </w:tcPr>
                <w:p w14:paraId="54494FE0" w14:textId="77777777" w:rsidR="00734827" w:rsidRPr="001E04D9" w:rsidRDefault="00734827" w:rsidP="00734827">
                  <w:pPr>
                    <w:jc w:val="center"/>
                    <w:rPr>
                      <w:rFonts w:ascii="Verdana" w:hAnsi="Verdana"/>
                      <w:sz w:val="12"/>
                      <w:szCs w:val="12"/>
                      <w:lang w:val="es-CO"/>
                    </w:rPr>
                  </w:pPr>
                  <w:r w:rsidRPr="001E04D9">
                    <w:rPr>
                      <w:rFonts w:ascii="Verdana" w:hAnsi="Verdana"/>
                      <w:b/>
                      <w:bCs/>
                      <w:sz w:val="12"/>
                      <w:szCs w:val="12"/>
                      <w:lang w:val="es-CO"/>
                    </w:rPr>
                    <w:t>Sobre cerrado</w:t>
                  </w:r>
                </w:p>
                <w:p w14:paraId="1B8A1DFE" w14:textId="77777777" w:rsidR="00734827" w:rsidRPr="001E04D9" w:rsidRDefault="00734827" w:rsidP="00734827">
                  <w:pPr>
                    <w:jc w:val="center"/>
                    <w:rPr>
                      <w:rFonts w:ascii="Verdana" w:hAnsi="Verdana"/>
                      <w:sz w:val="12"/>
                      <w:szCs w:val="12"/>
                      <w:lang w:val="es-CO"/>
                    </w:rPr>
                  </w:pPr>
                  <w:r w:rsidRPr="001E04D9">
                    <w:rPr>
                      <w:rFonts w:ascii="Verdana" w:hAnsi="Verdana"/>
                      <w:b/>
                      <w:bCs/>
                      <w:sz w:val="12"/>
                      <w:szCs w:val="12"/>
                      <w:lang w:val="es-CO"/>
                    </w:rPr>
                    <w:t>(SB)</w:t>
                  </w:r>
                </w:p>
              </w:tc>
              <w:tc>
                <w:tcPr>
                  <w:tcW w:w="1466" w:type="pct"/>
                  <w:tcMar>
                    <w:top w:w="72" w:type="dxa"/>
                    <w:left w:w="144" w:type="dxa"/>
                    <w:bottom w:w="72" w:type="dxa"/>
                    <w:right w:w="144" w:type="dxa"/>
                  </w:tcMar>
                  <w:vAlign w:val="center"/>
                  <w:hideMark/>
                </w:tcPr>
                <w:p w14:paraId="1CAD560B" w14:textId="77777777" w:rsidR="00734827" w:rsidRPr="001E04D9" w:rsidRDefault="00734827" w:rsidP="00734827">
                  <w:pPr>
                    <w:rPr>
                      <w:rFonts w:ascii="Verdana" w:hAnsi="Verdana"/>
                      <w:sz w:val="12"/>
                      <w:szCs w:val="12"/>
                      <w:lang w:val="es-CO"/>
                    </w:rPr>
                  </w:pPr>
                  <w:r w:rsidRPr="001E04D9">
                    <w:rPr>
                      <w:rFonts w:ascii="Verdana" w:hAnsi="Verdana"/>
                      <w:sz w:val="12"/>
                      <w:szCs w:val="12"/>
                      <w:lang w:val="es-CO"/>
                    </w:rPr>
                    <w:t xml:space="preserve">Subasta de una </w:t>
                  </w:r>
                  <w:proofErr w:type="spellStart"/>
                  <w:r w:rsidRPr="001E04D9">
                    <w:rPr>
                      <w:rFonts w:ascii="Verdana" w:hAnsi="Verdana"/>
                      <w:sz w:val="12"/>
                      <w:szCs w:val="12"/>
                      <w:lang w:val="es-CO"/>
                    </w:rPr>
                    <w:t>s</w:t>
                  </w:r>
                  <w:r>
                    <w:rPr>
                      <w:rFonts w:ascii="Verdana" w:hAnsi="Verdana"/>
                      <w:sz w:val="12"/>
                      <w:szCs w:val="12"/>
                      <w:lang w:val="es-CO"/>
                    </w:rPr>
                    <w:t>ó</w:t>
                  </w:r>
                  <w:r w:rsidRPr="001E04D9">
                    <w:rPr>
                      <w:rFonts w:ascii="Verdana" w:hAnsi="Verdana"/>
                      <w:sz w:val="12"/>
                      <w:szCs w:val="12"/>
                      <w:lang w:val="es-CO"/>
                    </w:rPr>
                    <w:t>la</w:t>
                  </w:r>
                  <w:proofErr w:type="spellEnd"/>
                  <w:r w:rsidRPr="001E04D9">
                    <w:rPr>
                      <w:rFonts w:ascii="Verdana" w:hAnsi="Verdana"/>
                      <w:sz w:val="12"/>
                      <w:szCs w:val="12"/>
                      <w:lang w:val="es-CO"/>
                    </w:rPr>
                    <w:t xml:space="preserve"> ronda: oferta en sobre cerrado</w:t>
                  </w:r>
                </w:p>
              </w:tc>
              <w:tc>
                <w:tcPr>
                  <w:tcW w:w="770" w:type="pct"/>
                  <w:tcMar>
                    <w:top w:w="72" w:type="dxa"/>
                    <w:left w:w="144" w:type="dxa"/>
                    <w:bottom w:w="72" w:type="dxa"/>
                    <w:right w:w="144" w:type="dxa"/>
                  </w:tcMar>
                  <w:vAlign w:val="center"/>
                  <w:hideMark/>
                </w:tcPr>
                <w:p w14:paraId="40CAA363" w14:textId="77777777" w:rsidR="00734827" w:rsidRPr="001E04D9" w:rsidRDefault="00734827" w:rsidP="00734827">
                  <w:pPr>
                    <w:rPr>
                      <w:rFonts w:ascii="Verdana" w:hAnsi="Verdana"/>
                      <w:sz w:val="12"/>
                      <w:szCs w:val="12"/>
                      <w:lang w:val="es-CO"/>
                    </w:rPr>
                  </w:pPr>
                  <w:r w:rsidRPr="001E04D9">
                    <w:rPr>
                      <w:rFonts w:ascii="Verdana" w:hAnsi="Verdana"/>
                      <w:sz w:val="12"/>
                      <w:szCs w:val="12"/>
                      <w:lang w:val="es-CO"/>
                    </w:rPr>
                    <w:t>Fue usada en las concesiones iniciales por su simplicidad</w:t>
                  </w:r>
                </w:p>
              </w:tc>
              <w:tc>
                <w:tcPr>
                  <w:tcW w:w="597" w:type="pct"/>
                  <w:tcMar>
                    <w:top w:w="72" w:type="dxa"/>
                    <w:left w:w="144" w:type="dxa"/>
                    <w:bottom w:w="72" w:type="dxa"/>
                    <w:right w:w="144" w:type="dxa"/>
                  </w:tcMar>
                  <w:vAlign w:val="center"/>
                  <w:hideMark/>
                </w:tcPr>
                <w:p w14:paraId="38EADA11" w14:textId="77777777" w:rsidR="00734827" w:rsidRPr="001E04D9" w:rsidRDefault="00734827" w:rsidP="00734827">
                  <w:pPr>
                    <w:jc w:val="center"/>
                    <w:rPr>
                      <w:rFonts w:ascii="Verdana" w:hAnsi="Verdana"/>
                      <w:sz w:val="12"/>
                      <w:szCs w:val="12"/>
                      <w:lang w:val="es-CO"/>
                    </w:rPr>
                  </w:pPr>
                  <w:r w:rsidRPr="001E04D9">
                    <w:rPr>
                      <w:rFonts w:ascii="Verdana" w:hAnsi="Verdana"/>
                      <w:sz w:val="12"/>
                      <w:szCs w:val="12"/>
                      <w:lang w:val="es-CO"/>
                    </w:rPr>
                    <w:t>Muy Simple</w:t>
                  </w:r>
                </w:p>
              </w:tc>
              <w:tc>
                <w:tcPr>
                  <w:tcW w:w="731" w:type="pct"/>
                  <w:tcMar>
                    <w:top w:w="72" w:type="dxa"/>
                    <w:left w:w="144" w:type="dxa"/>
                    <w:bottom w:w="72" w:type="dxa"/>
                    <w:right w:w="144" w:type="dxa"/>
                  </w:tcMar>
                  <w:vAlign w:val="center"/>
                  <w:hideMark/>
                </w:tcPr>
                <w:p w14:paraId="24BC947F" w14:textId="77777777" w:rsidR="00734827" w:rsidRPr="001E04D9" w:rsidRDefault="00734827" w:rsidP="00734827">
                  <w:pPr>
                    <w:jc w:val="center"/>
                    <w:rPr>
                      <w:rFonts w:ascii="Verdana" w:hAnsi="Verdana"/>
                      <w:sz w:val="12"/>
                      <w:szCs w:val="12"/>
                      <w:lang w:val="es-CO"/>
                    </w:rPr>
                  </w:pPr>
                  <w:r w:rsidRPr="001E04D9">
                    <w:rPr>
                      <w:rFonts w:ascii="Verdana" w:hAnsi="Verdana"/>
                      <w:sz w:val="12"/>
                      <w:szCs w:val="12"/>
                      <w:lang w:val="es-CO"/>
                    </w:rPr>
                    <w:t>Asignación inicial 1993</w:t>
                  </w:r>
                </w:p>
                <w:p w14:paraId="71998933" w14:textId="77777777" w:rsidR="00734827" w:rsidRPr="001E04D9" w:rsidRDefault="00734827" w:rsidP="00734827">
                  <w:pPr>
                    <w:jc w:val="center"/>
                    <w:rPr>
                      <w:rFonts w:ascii="Verdana" w:hAnsi="Verdana"/>
                      <w:sz w:val="12"/>
                      <w:szCs w:val="12"/>
                      <w:lang w:val="es-CO"/>
                    </w:rPr>
                  </w:pPr>
                  <w:r w:rsidRPr="001E04D9">
                    <w:rPr>
                      <w:rFonts w:ascii="Verdana" w:hAnsi="Verdana"/>
                      <w:sz w:val="12"/>
                      <w:szCs w:val="12"/>
                      <w:lang w:val="es-CO"/>
                    </w:rPr>
                    <w:t>Entrada tercer operador 2003</w:t>
                  </w:r>
                </w:p>
              </w:tc>
              <w:tc>
                <w:tcPr>
                  <w:tcW w:w="730" w:type="pct"/>
                </w:tcPr>
                <w:p w14:paraId="2A316B28" w14:textId="77777777" w:rsidR="00734827" w:rsidRDefault="00734827" w:rsidP="00734827">
                  <w:pPr>
                    <w:jc w:val="center"/>
                    <w:rPr>
                      <w:rFonts w:ascii="Verdana" w:hAnsi="Verdana"/>
                      <w:sz w:val="12"/>
                      <w:szCs w:val="12"/>
                      <w:lang w:val="es-CO"/>
                    </w:rPr>
                  </w:pPr>
                  <w:r>
                    <w:rPr>
                      <w:rFonts w:ascii="Verdana" w:hAnsi="Verdana"/>
                      <w:sz w:val="12"/>
                      <w:szCs w:val="12"/>
                      <w:lang w:val="es-CO"/>
                    </w:rPr>
                    <w:t>M</w:t>
                  </w:r>
                  <w:r w:rsidRPr="00B54206">
                    <w:rPr>
                      <w:rFonts w:ascii="Verdana" w:hAnsi="Verdana"/>
                      <w:sz w:val="12"/>
                      <w:szCs w:val="12"/>
                      <w:lang w:val="es-CO"/>
                    </w:rPr>
                    <w:t>ecanismo rápido y administrativamente simple, ya que los participantes presentan una única oferta sin rondas adicionales.</w:t>
                  </w:r>
                  <w:r>
                    <w:rPr>
                      <w:rFonts w:ascii="Verdana" w:hAnsi="Verdana"/>
                      <w:sz w:val="12"/>
                      <w:szCs w:val="12"/>
                      <w:lang w:val="es-CO"/>
                    </w:rPr>
                    <w:t xml:space="preserve"> Pero por eso mismo genera una complejidad en la preparación de la estrategia de los participantes</w:t>
                  </w:r>
                </w:p>
              </w:tc>
            </w:tr>
          </w:tbl>
          <w:p w14:paraId="2A743B5D" w14:textId="77777777" w:rsidR="00734827" w:rsidRDefault="00734827" w:rsidP="00734827">
            <w:pPr>
              <w:jc w:val="both"/>
              <w:rPr>
                <w:rFonts w:cs="Arial"/>
                <w:color w:val="000000" w:themeColor="text1"/>
                <w:sz w:val="22"/>
                <w:szCs w:val="22"/>
              </w:rPr>
            </w:pPr>
          </w:p>
          <w:p w14:paraId="48162BE3" w14:textId="77777777" w:rsidR="00734827" w:rsidRDefault="00734827" w:rsidP="00734827">
            <w:pPr>
              <w:jc w:val="both"/>
              <w:rPr>
                <w:rFonts w:cs="Arial"/>
                <w:color w:val="000000" w:themeColor="text1"/>
                <w:sz w:val="22"/>
                <w:szCs w:val="22"/>
              </w:rPr>
            </w:pPr>
          </w:p>
          <w:p w14:paraId="159E79C9" w14:textId="77777777" w:rsidR="00734827" w:rsidRPr="000063DE" w:rsidRDefault="00734827" w:rsidP="00734827">
            <w:pPr>
              <w:jc w:val="center"/>
              <w:rPr>
                <w:sz w:val="22"/>
                <w:szCs w:val="22"/>
                <w:lang w:val="es-ES_tradnl"/>
              </w:rPr>
            </w:pPr>
            <w:r w:rsidRPr="000063DE">
              <w:rPr>
                <w:rFonts w:ascii="Verdana" w:hAnsi="Verdana"/>
                <w:b/>
                <w:sz w:val="16"/>
                <w:szCs w:val="16"/>
                <w:lang w:val="es-ES_tradnl"/>
              </w:rPr>
              <w:t>Fuente</w:t>
            </w:r>
            <w:r w:rsidRPr="000063DE">
              <w:rPr>
                <w:rFonts w:ascii="Verdana" w:hAnsi="Verdana"/>
                <w:sz w:val="16"/>
                <w:szCs w:val="16"/>
                <w:lang w:val="es-ES_tradnl"/>
              </w:rPr>
              <w:t>: Elaboración ANE</w:t>
            </w:r>
            <w:r>
              <w:rPr>
                <w:rFonts w:ascii="Verdana" w:hAnsi="Verdana"/>
                <w:sz w:val="16"/>
                <w:szCs w:val="16"/>
                <w:lang w:val="es-ES_tradnl"/>
              </w:rPr>
              <w:t xml:space="preserve"> con base en </w:t>
            </w:r>
            <w:sdt>
              <w:sdtPr>
                <w:rPr>
                  <w:rFonts w:ascii="Verdana" w:hAnsi="Verdana"/>
                  <w:sz w:val="16"/>
                  <w:szCs w:val="16"/>
                  <w:lang w:val="es-ES_tradnl"/>
                </w:rPr>
                <w:id w:val="370577761"/>
                <w:citation/>
              </w:sdtPr>
              <w:sdtContent>
                <w:r>
                  <w:rPr>
                    <w:rFonts w:ascii="Verdana" w:hAnsi="Verdana"/>
                    <w:sz w:val="16"/>
                    <w:szCs w:val="16"/>
                    <w:lang w:val="es-ES_tradnl"/>
                  </w:rPr>
                  <w:fldChar w:fldCharType="begin"/>
                </w:r>
                <w:r>
                  <w:rPr>
                    <w:rFonts w:ascii="Verdana" w:hAnsi="Verdana"/>
                    <w:sz w:val="16"/>
                    <w:szCs w:val="16"/>
                    <w:lang w:val="es-CO"/>
                  </w:rPr>
                  <w:instrText xml:space="preserve"> CITATION Mye23 \l 9226 </w:instrText>
                </w:r>
                <w:r>
                  <w:rPr>
                    <w:rFonts w:ascii="Verdana" w:hAnsi="Verdana"/>
                    <w:sz w:val="16"/>
                    <w:szCs w:val="16"/>
                    <w:lang w:val="es-ES_tradnl"/>
                  </w:rPr>
                  <w:fldChar w:fldCharType="separate"/>
                </w:r>
                <w:r w:rsidRPr="000063DE">
                  <w:rPr>
                    <w:rFonts w:ascii="Verdana" w:hAnsi="Verdana"/>
                    <w:noProof/>
                    <w:sz w:val="16"/>
                    <w:szCs w:val="16"/>
                    <w:lang w:val="es-CO"/>
                  </w:rPr>
                  <w:t>(Myers, 2023)</w:t>
                </w:r>
                <w:r>
                  <w:rPr>
                    <w:rFonts w:ascii="Verdana" w:hAnsi="Verdana"/>
                    <w:sz w:val="16"/>
                    <w:szCs w:val="16"/>
                    <w:lang w:val="es-ES_tradnl"/>
                  </w:rPr>
                  <w:fldChar w:fldCharType="end"/>
                </w:r>
              </w:sdtContent>
            </w:sdt>
            <w:sdt>
              <w:sdtPr>
                <w:rPr>
                  <w:rFonts w:ascii="Verdana" w:hAnsi="Verdana"/>
                  <w:sz w:val="16"/>
                  <w:szCs w:val="16"/>
                  <w:lang w:val="es-ES_tradnl"/>
                </w:rPr>
                <w:id w:val="2142765290"/>
                <w:citation/>
              </w:sdtPr>
              <w:sdtContent>
                <w:r>
                  <w:rPr>
                    <w:rFonts w:ascii="Verdana" w:hAnsi="Verdana"/>
                    <w:sz w:val="16"/>
                    <w:szCs w:val="16"/>
                    <w:lang w:val="es-ES_tradnl"/>
                  </w:rPr>
                  <w:fldChar w:fldCharType="begin"/>
                </w:r>
                <w:r>
                  <w:rPr>
                    <w:rFonts w:ascii="Verdana" w:hAnsi="Verdana"/>
                    <w:sz w:val="16"/>
                    <w:szCs w:val="16"/>
                    <w:lang w:val="es-CO"/>
                  </w:rPr>
                  <w:instrText xml:space="preserve"> CITATION NER \l 9226 </w:instrText>
                </w:r>
                <w:r>
                  <w:rPr>
                    <w:rFonts w:ascii="Verdana" w:hAnsi="Verdana"/>
                    <w:sz w:val="16"/>
                    <w:szCs w:val="16"/>
                    <w:lang w:val="es-ES_tradnl"/>
                  </w:rPr>
                  <w:fldChar w:fldCharType="separate"/>
                </w:r>
                <w:r>
                  <w:rPr>
                    <w:rFonts w:ascii="Verdana" w:hAnsi="Verdana"/>
                    <w:noProof/>
                    <w:sz w:val="16"/>
                    <w:szCs w:val="16"/>
                    <w:lang w:val="es-CO"/>
                  </w:rPr>
                  <w:t xml:space="preserve"> </w:t>
                </w:r>
                <w:r w:rsidRPr="000063DE">
                  <w:rPr>
                    <w:rFonts w:ascii="Verdana" w:hAnsi="Verdana"/>
                    <w:noProof/>
                    <w:sz w:val="16"/>
                    <w:szCs w:val="16"/>
                    <w:lang w:val="es-CO"/>
                  </w:rPr>
                  <w:t>(NERA, 2017)</w:t>
                </w:r>
                <w:r>
                  <w:rPr>
                    <w:rFonts w:ascii="Verdana" w:hAnsi="Verdana"/>
                    <w:sz w:val="16"/>
                    <w:szCs w:val="16"/>
                    <w:lang w:val="es-ES_tradnl"/>
                  </w:rPr>
                  <w:fldChar w:fldCharType="end"/>
                </w:r>
              </w:sdtContent>
            </w:sdt>
            <w:sdt>
              <w:sdtPr>
                <w:rPr>
                  <w:rFonts w:ascii="Verdana" w:hAnsi="Verdana"/>
                  <w:sz w:val="16"/>
                  <w:szCs w:val="16"/>
                  <w:lang w:val="es-ES_tradnl"/>
                </w:rPr>
                <w:id w:val="-781488947"/>
                <w:citation/>
              </w:sdtPr>
              <w:sdtContent>
                <w:r>
                  <w:rPr>
                    <w:rFonts w:ascii="Verdana" w:hAnsi="Verdana"/>
                    <w:sz w:val="16"/>
                    <w:szCs w:val="16"/>
                    <w:lang w:val="es-ES_tradnl"/>
                  </w:rPr>
                  <w:fldChar w:fldCharType="begin"/>
                </w:r>
                <w:r>
                  <w:rPr>
                    <w:rFonts w:ascii="Verdana" w:hAnsi="Verdana"/>
                    <w:sz w:val="16"/>
                    <w:szCs w:val="16"/>
                    <w:lang w:val="es-CO"/>
                  </w:rPr>
                  <w:instrText xml:space="preserve"> CITATION NER24 \l 9226 </w:instrText>
                </w:r>
                <w:r>
                  <w:rPr>
                    <w:rFonts w:ascii="Verdana" w:hAnsi="Verdana"/>
                    <w:sz w:val="16"/>
                    <w:szCs w:val="16"/>
                    <w:lang w:val="es-ES_tradnl"/>
                  </w:rPr>
                  <w:fldChar w:fldCharType="separate"/>
                </w:r>
                <w:r>
                  <w:rPr>
                    <w:rFonts w:ascii="Verdana" w:hAnsi="Verdana"/>
                    <w:noProof/>
                    <w:sz w:val="16"/>
                    <w:szCs w:val="16"/>
                    <w:lang w:val="es-CO"/>
                  </w:rPr>
                  <w:t xml:space="preserve"> </w:t>
                </w:r>
                <w:r w:rsidRPr="000063DE">
                  <w:rPr>
                    <w:rFonts w:ascii="Verdana" w:hAnsi="Verdana"/>
                    <w:noProof/>
                    <w:sz w:val="16"/>
                    <w:szCs w:val="16"/>
                    <w:lang w:val="es-CO"/>
                  </w:rPr>
                  <w:t>(NERA, 2024)</w:t>
                </w:r>
                <w:r>
                  <w:rPr>
                    <w:rFonts w:ascii="Verdana" w:hAnsi="Verdana"/>
                    <w:sz w:val="16"/>
                    <w:szCs w:val="16"/>
                    <w:lang w:val="es-ES_tradnl"/>
                  </w:rPr>
                  <w:fldChar w:fldCharType="end"/>
                </w:r>
              </w:sdtContent>
            </w:sdt>
          </w:p>
          <w:p w14:paraId="37DE91DD" w14:textId="77777777" w:rsidR="00734827" w:rsidRDefault="00734827" w:rsidP="00734827">
            <w:pPr>
              <w:jc w:val="both"/>
              <w:rPr>
                <w:rFonts w:cs="Arial"/>
                <w:color w:val="000000" w:themeColor="text1"/>
                <w:sz w:val="22"/>
                <w:szCs w:val="22"/>
                <w:lang w:val="es-CO"/>
              </w:rPr>
            </w:pPr>
            <w:r>
              <w:rPr>
                <w:rFonts w:cs="Arial"/>
                <w:color w:val="000000" w:themeColor="text1"/>
                <w:sz w:val="22"/>
                <w:szCs w:val="22"/>
              </w:rPr>
              <w:t>A partir de lo anterior, e</w:t>
            </w:r>
            <w:r w:rsidRPr="00F30489">
              <w:rPr>
                <w:rFonts w:cs="Arial"/>
                <w:color w:val="000000" w:themeColor="text1"/>
                <w:sz w:val="22"/>
                <w:szCs w:val="22"/>
                <w:lang w:val="es-CO"/>
              </w:rPr>
              <w:t>l Ministerio en primer lugar quiere dar prioridad a mecanismo</w:t>
            </w:r>
            <w:r>
              <w:rPr>
                <w:rFonts w:cs="Arial"/>
                <w:color w:val="000000" w:themeColor="text1"/>
                <w:sz w:val="22"/>
                <w:szCs w:val="22"/>
                <w:lang w:val="es-CO"/>
              </w:rPr>
              <w:t>s</w:t>
            </w:r>
            <w:r w:rsidRPr="00F30489">
              <w:rPr>
                <w:rFonts w:cs="Arial"/>
                <w:color w:val="000000" w:themeColor="text1"/>
                <w:sz w:val="22"/>
                <w:szCs w:val="22"/>
                <w:lang w:val="es-CO"/>
              </w:rPr>
              <w:t xml:space="preserve"> simples que puedan ser diseñados e implementados ágilmente, es decir, que faciliten el diseño, la implementación y la participación de los operadores en la subasta. Este objetivo se logra más con una subasta de reloj ascendente simple (SCA), la cual también es viable para asignaciones de espectro en diferentes bandas.</w:t>
            </w:r>
          </w:p>
          <w:p w14:paraId="708E9649" w14:textId="77777777" w:rsidR="00734827" w:rsidRDefault="00734827" w:rsidP="00734827">
            <w:pPr>
              <w:jc w:val="both"/>
              <w:rPr>
                <w:rFonts w:cs="Arial"/>
                <w:color w:val="000000" w:themeColor="text1"/>
                <w:sz w:val="22"/>
                <w:szCs w:val="22"/>
              </w:rPr>
            </w:pPr>
          </w:p>
          <w:p w14:paraId="292867E8" w14:textId="77777777" w:rsidR="00734827" w:rsidRPr="00707FE4" w:rsidRDefault="00734827" w:rsidP="00734827">
            <w:pPr>
              <w:jc w:val="both"/>
              <w:rPr>
                <w:rFonts w:cs="Arial"/>
                <w:color w:val="000000" w:themeColor="text1"/>
                <w:sz w:val="22"/>
                <w:szCs w:val="22"/>
              </w:rPr>
            </w:pPr>
            <w:r>
              <w:rPr>
                <w:rFonts w:cs="Arial"/>
                <w:color w:val="000000" w:themeColor="text1"/>
                <w:sz w:val="22"/>
                <w:szCs w:val="22"/>
              </w:rPr>
              <w:t>L</w:t>
            </w:r>
            <w:r w:rsidRPr="0030129A">
              <w:rPr>
                <w:rFonts w:cs="Arial"/>
                <w:color w:val="000000" w:themeColor="text1"/>
                <w:sz w:val="22"/>
                <w:szCs w:val="22"/>
              </w:rPr>
              <w:t>a asignación que se propon</w:t>
            </w:r>
            <w:r>
              <w:rPr>
                <w:rFonts w:cs="Arial"/>
                <w:color w:val="000000" w:themeColor="text1"/>
                <w:sz w:val="22"/>
                <w:szCs w:val="22"/>
              </w:rPr>
              <w:t>e</w:t>
            </w:r>
            <w:r w:rsidRPr="0030129A">
              <w:rPr>
                <w:rFonts w:cs="Arial"/>
                <w:color w:val="000000" w:themeColor="text1"/>
                <w:sz w:val="22"/>
                <w:szCs w:val="22"/>
              </w:rPr>
              <w:t xml:space="preserve"> es específica para espectro remanente de procesos de asignación anteriores </w:t>
            </w:r>
            <w:r w:rsidRPr="00707FE4">
              <w:rPr>
                <w:rFonts w:cs="Arial"/>
                <w:color w:val="000000" w:themeColor="text1"/>
                <w:sz w:val="22"/>
                <w:szCs w:val="22"/>
              </w:rPr>
              <w:t xml:space="preserve">es importante resaltar que la asignación de espectro que se está proponiendo es específica para espectro remanente, es decir, espectro radioeléctrico en las bandas atribuidas al servicio de radiocomunicaciones móviles e identificadas para las IMT que hayan formado parte de procesos de selección objetiva y en las que exista espectro disponible, o frecuencias radioeléctricas asignadas en procesos de selección objetiva anteriores que hayan sido devueltas al Ministerio TIC por el PRST asignatario de dicho espectro o sobre el que haya operado la cancelación del permiso respectivo por cualquier causa; y por consiguiente es muy probable que la demanda de espectro adicional sobre las mismas esté acorde con las asignaciones existentes. </w:t>
            </w:r>
          </w:p>
          <w:p w14:paraId="0E26ECA7" w14:textId="77777777" w:rsidR="00734827" w:rsidRPr="00707FE4" w:rsidRDefault="00734827" w:rsidP="00734827">
            <w:pPr>
              <w:jc w:val="both"/>
              <w:rPr>
                <w:rFonts w:cs="Arial"/>
                <w:color w:val="000000" w:themeColor="text1"/>
                <w:sz w:val="22"/>
                <w:szCs w:val="22"/>
              </w:rPr>
            </w:pPr>
          </w:p>
          <w:p w14:paraId="06516D15" w14:textId="77777777" w:rsidR="00734827" w:rsidRPr="00707FE4" w:rsidRDefault="00734827" w:rsidP="00734827">
            <w:pPr>
              <w:jc w:val="both"/>
              <w:rPr>
                <w:rFonts w:cs="Arial"/>
                <w:color w:val="000000" w:themeColor="text1"/>
                <w:sz w:val="22"/>
                <w:szCs w:val="22"/>
              </w:rPr>
            </w:pPr>
            <w:r w:rsidRPr="00707FE4">
              <w:rPr>
                <w:rFonts w:cs="Arial"/>
                <w:color w:val="000000" w:themeColor="text1"/>
                <w:sz w:val="22"/>
                <w:szCs w:val="22"/>
              </w:rPr>
              <w:t>En este sentido, se estima prioritario disponer de mecanismos simples que puedan ser diseñados e implementados ágilmente, es decir, que faciliten el diseño, la implementación y la participación de los operadores en la subasta. Este objetivo se logra más con una subasta de reloj ascendente simple (SCA), la cual también es viable para asignaciones de espectro en diferentes bandas.</w:t>
            </w:r>
          </w:p>
          <w:p w14:paraId="7CD26AC2" w14:textId="77777777" w:rsidR="00734827" w:rsidRPr="00707FE4" w:rsidRDefault="00734827" w:rsidP="00734827">
            <w:pPr>
              <w:jc w:val="both"/>
              <w:rPr>
                <w:rFonts w:cs="Arial"/>
                <w:color w:val="000000" w:themeColor="text1"/>
                <w:sz w:val="22"/>
                <w:szCs w:val="22"/>
              </w:rPr>
            </w:pPr>
          </w:p>
          <w:p w14:paraId="2F569428" w14:textId="77777777" w:rsidR="00734827" w:rsidRPr="00707FE4" w:rsidRDefault="00734827" w:rsidP="00734827">
            <w:pPr>
              <w:jc w:val="both"/>
              <w:rPr>
                <w:rFonts w:cs="Arial"/>
                <w:color w:val="000000" w:themeColor="text1"/>
                <w:sz w:val="22"/>
                <w:szCs w:val="22"/>
              </w:rPr>
            </w:pPr>
            <w:r w:rsidRPr="00707FE4">
              <w:rPr>
                <w:rFonts w:cs="Arial"/>
                <w:color w:val="000000" w:themeColor="text1"/>
                <w:sz w:val="22"/>
                <w:szCs w:val="22"/>
              </w:rPr>
              <w:t>Esto teniendo en cuenta que este tipo de mecanismo reduce significativamente la complejidad administrativa del proceso, pero su dinámica de puja ascendente por rondas permite que los operadores revelen progresivamente su disposición a pagar, ajustando sus ofertas en función de la información de precios agregados que se va conociendo en cada etapa, lo que reduce la incertidumbre y favorece decisiones más informadas. Asimismo, este esquema mitiga riesgos de subvaloración o sobreoferta, limita comportamientos estratégicos complejos y promueve una mayor competencia efectiva durante la puja. En conjunto, estas características facilitan una mayor participación y reducen tiempos administrativos, lo cual va en línea con los objetivos de la asignación de espectro remanente de forma frecuente y oportuna.</w:t>
            </w:r>
          </w:p>
          <w:p w14:paraId="277E89CA" w14:textId="77777777" w:rsidR="00734827" w:rsidRPr="00707FE4" w:rsidRDefault="00734827" w:rsidP="00734827">
            <w:pPr>
              <w:jc w:val="both"/>
              <w:rPr>
                <w:rFonts w:cs="Arial"/>
                <w:color w:val="000000" w:themeColor="text1"/>
                <w:sz w:val="22"/>
                <w:szCs w:val="22"/>
              </w:rPr>
            </w:pPr>
          </w:p>
          <w:p w14:paraId="3C78DA42" w14:textId="77777777" w:rsidR="00734827" w:rsidRPr="00707FE4" w:rsidRDefault="00734827" w:rsidP="00734827">
            <w:pPr>
              <w:jc w:val="both"/>
              <w:rPr>
                <w:rFonts w:cs="Arial"/>
                <w:color w:val="000000" w:themeColor="text1"/>
                <w:sz w:val="22"/>
                <w:szCs w:val="22"/>
              </w:rPr>
            </w:pPr>
            <w:r w:rsidRPr="00707FE4">
              <w:rPr>
                <w:rFonts w:cs="Arial"/>
                <w:color w:val="000000" w:themeColor="text1"/>
                <w:sz w:val="22"/>
                <w:szCs w:val="22"/>
              </w:rPr>
              <w:t xml:space="preserve">Por tanto, con el fin de lograr los objetivos propuestos, se propone establecer un formato de subasta de reloj ascendente simple similar a los que ha realizado en el pasado el Ministerio, sobre los cuales ya tiene </w:t>
            </w:r>
            <w:r w:rsidRPr="00707FE4">
              <w:rPr>
                <w:rFonts w:cs="Arial"/>
                <w:color w:val="000000" w:themeColor="text1"/>
                <w:sz w:val="22"/>
                <w:szCs w:val="22"/>
              </w:rPr>
              <w:lastRenderedPageBreak/>
              <w:t xml:space="preserve">experiencia y no requieren mayor complejidad, tanto en su diseño e implementación como en la participación de los postores interesados en obtener los permisos de uso de espectro.  </w:t>
            </w:r>
          </w:p>
          <w:p w14:paraId="0359E195" w14:textId="77777777" w:rsidR="00734827" w:rsidRDefault="00734827" w:rsidP="00734827">
            <w:pPr>
              <w:jc w:val="both"/>
              <w:rPr>
                <w:rFonts w:cs="Arial"/>
                <w:sz w:val="22"/>
                <w:szCs w:val="22"/>
                <w:lang w:val="es-CO" w:eastAsia="es-CO"/>
              </w:rPr>
            </w:pPr>
          </w:p>
          <w:p w14:paraId="2A2FCF2C" w14:textId="77777777" w:rsidR="00734827" w:rsidRPr="00FF500C" w:rsidRDefault="00734827" w:rsidP="00734827">
            <w:pPr>
              <w:jc w:val="both"/>
              <w:rPr>
                <w:rFonts w:eastAsia="Calibri" w:cs="Arial"/>
                <w:sz w:val="22"/>
                <w:szCs w:val="22"/>
                <w:highlight w:val="yellow"/>
                <w:lang w:val="es-CO" w:eastAsia="es-CO"/>
              </w:rPr>
            </w:pPr>
            <w:r w:rsidRPr="043D31BE">
              <w:rPr>
                <w:rFonts w:cs="Arial"/>
                <w:sz w:val="22"/>
                <w:szCs w:val="22"/>
                <w:lang w:val="es-CO" w:eastAsia="es-CO"/>
              </w:rPr>
              <w:t>Aunado a la realización de un mecanismo simple de asignación, y con el fin de facilitar el acceso frecuente a este recurso, también se definirá una periodicidad mínima para su ejecución, esto es cada 2 años iniciando, esto último de acuerdo con lo establecido en el artículo 2.2.2.1.1.2. del Decreto 1078 de 2015.</w:t>
            </w:r>
          </w:p>
          <w:p w14:paraId="072B8DC0" w14:textId="77777777" w:rsidR="00734827" w:rsidRPr="00FF500C" w:rsidRDefault="00734827" w:rsidP="00734827">
            <w:pPr>
              <w:jc w:val="both"/>
              <w:rPr>
                <w:rFonts w:cs="Arial"/>
                <w:sz w:val="22"/>
                <w:szCs w:val="22"/>
                <w:lang w:val="es-CO" w:eastAsia="es-CO"/>
              </w:rPr>
            </w:pPr>
          </w:p>
          <w:p w14:paraId="2CE9AC28" w14:textId="3EFA37E1" w:rsidR="00734827" w:rsidRPr="00734827" w:rsidRDefault="00734827" w:rsidP="00734827">
            <w:pPr>
              <w:pStyle w:val="Prrafodelista"/>
              <w:numPr>
                <w:ilvl w:val="0"/>
                <w:numId w:val="49"/>
              </w:numPr>
              <w:jc w:val="both"/>
              <w:rPr>
                <w:color w:val="000000" w:themeColor="text1"/>
                <w:lang w:val="es-CO"/>
              </w:rPr>
            </w:pPr>
            <w:r w:rsidRPr="00734827">
              <w:rPr>
                <w:rFonts w:eastAsia="Arial" w:cs="Arial"/>
                <w:b/>
                <w:bCs/>
                <w:color w:val="000000" w:themeColor="text1"/>
                <w:sz w:val="22"/>
                <w:szCs w:val="22"/>
                <w:lang w:val="es-CO"/>
              </w:rPr>
              <w:t>DETERMINACIÓN COMPLETA DEL ÁMBITO DE APLICACIÓN DEL PROYECTO NORMATIVO INCLUYENDO LAS SITUACIONES DE HECHO O DE DERECHO, O TERRITORIALES DEPENDIENDO DEL TIPO DE ACTO.</w:t>
            </w:r>
          </w:p>
          <w:p w14:paraId="58E4CD45" w14:textId="77777777" w:rsidR="00734827" w:rsidRPr="00FF500C" w:rsidRDefault="00734827" w:rsidP="00734827">
            <w:pPr>
              <w:jc w:val="both"/>
              <w:rPr>
                <w:lang w:val="es-CO"/>
              </w:rPr>
            </w:pPr>
          </w:p>
          <w:p w14:paraId="0A159CF7" w14:textId="77777777" w:rsidR="00357BC8" w:rsidRPr="00F519FF" w:rsidRDefault="00734827" w:rsidP="00357BC8">
            <w:pPr>
              <w:jc w:val="both"/>
              <w:rPr>
                <w:rFonts w:eastAsia="Verdana" w:cs="Arial"/>
                <w:sz w:val="22"/>
                <w:szCs w:val="22"/>
                <w:lang w:val="es-419"/>
              </w:rPr>
            </w:pPr>
            <w:r w:rsidRPr="00F519FF">
              <w:rPr>
                <w:rFonts w:eastAsia="Verdana" w:cs="Arial"/>
                <w:sz w:val="22"/>
                <w:szCs w:val="22"/>
                <w:lang w:val="es-419"/>
              </w:rPr>
              <w:t>Los aplazamientos o demoras en la asignación del espectro radioeléctrico generan pérdidas de bienestar social de carácter irrecuperable, en la medida en que impiden la provisión oportuna de nuevos servicios a usuarios actuales y potenciales. En términos económicos, la asignación de espectro permite ampliar la</w:t>
            </w:r>
            <w:r w:rsidR="00357BC8">
              <w:rPr>
                <w:rFonts w:eastAsia="Verdana" w:cs="Arial"/>
                <w:lang w:val="es-419"/>
              </w:rPr>
              <w:t xml:space="preserve"> </w:t>
            </w:r>
            <w:r w:rsidR="00357BC8" w:rsidRPr="00F519FF">
              <w:rPr>
                <w:rFonts w:eastAsia="Verdana" w:cs="Arial"/>
                <w:sz w:val="22"/>
                <w:szCs w:val="22"/>
                <w:lang w:val="es-419"/>
              </w:rPr>
              <w:t>capacidad de las redes y, con ello, incrementar los excedentes del consumidor y del productor mediante mejoras en cobertura, calidad y competencia en la prestación de servicios. Por el contrario, la no asignación oportuna restringe estos beneficios y retrasa la materialización de los efectos positivos asociados a la conectividad.</w:t>
            </w:r>
          </w:p>
          <w:p w14:paraId="7A336095" w14:textId="77777777" w:rsidR="00357BC8" w:rsidRPr="00F519FF" w:rsidRDefault="00357BC8" w:rsidP="00357BC8">
            <w:pPr>
              <w:jc w:val="both"/>
              <w:rPr>
                <w:rFonts w:eastAsia="Verdana" w:cs="Arial"/>
                <w:sz w:val="22"/>
                <w:szCs w:val="22"/>
                <w:lang w:val="es-419"/>
              </w:rPr>
            </w:pPr>
            <w:r w:rsidRPr="00F519FF">
              <w:rPr>
                <w:rFonts w:eastAsia="Verdana" w:cs="Arial"/>
                <w:sz w:val="22"/>
                <w:szCs w:val="22"/>
                <w:lang w:val="es-419"/>
              </w:rPr>
              <w:t xml:space="preserve"> </w:t>
            </w:r>
          </w:p>
          <w:p w14:paraId="200D1E74" w14:textId="77777777" w:rsidR="00357BC8" w:rsidRPr="00F519FF" w:rsidRDefault="00357BC8" w:rsidP="00357BC8">
            <w:pPr>
              <w:jc w:val="both"/>
              <w:rPr>
                <w:rFonts w:eastAsia="Verdana" w:cs="Arial"/>
                <w:sz w:val="22"/>
                <w:szCs w:val="22"/>
                <w:lang w:val="es-419"/>
              </w:rPr>
            </w:pPr>
            <w:r w:rsidRPr="00F519FF">
              <w:rPr>
                <w:rFonts w:eastAsia="Verdana" w:cs="Arial"/>
                <w:sz w:val="22"/>
                <w:szCs w:val="22"/>
                <w:lang w:val="es-419"/>
              </w:rPr>
              <w:t>En este sentido, dado que el espectro radioeléctrico constituye un insumo esencial para el desarrollo de las comunicaciones móviles, su subutilización o asignación tardía pueden generar costos de oportunidad significativos que se manifiestan en múltiples dimensiones. Entre estos se incluyen pérdidas económicas asociadas a una menor actividad productiva, retrasos en la adopción de nuevas tecnologías, persistencia de brechas digitales y limitaciones en la competitividad de los mercados. Adicionalmente, estos efectos pueden trasladarse a sectores estratégicos como la salud, la educación y la seguridad, cuya creciente dependencia de la conectividad implica que restricciones en el acceso a servicios de calidad pueden traducirse en impactos negativos sobre el bienestar general de la población.</w:t>
            </w:r>
          </w:p>
          <w:p w14:paraId="32561864" w14:textId="77777777" w:rsidR="00357BC8" w:rsidRPr="00FF500C" w:rsidRDefault="00357BC8" w:rsidP="00357BC8">
            <w:pPr>
              <w:jc w:val="both"/>
              <w:rPr>
                <w:rFonts w:ascii="Verdana" w:eastAsia="Verdana" w:hAnsi="Verdana" w:cs="Verdana"/>
                <w:sz w:val="22"/>
                <w:szCs w:val="22"/>
                <w:lang w:val="es-419"/>
              </w:rPr>
            </w:pPr>
            <w:r w:rsidRPr="043D31BE">
              <w:rPr>
                <w:rFonts w:ascii="Verdana" w:eastAsia="Verdana" w:hAnsi="Verdana" w:cs="Verdana"/>
                <w:sz w:val="22"/>
                <w:szCs w:val="22"/>
                <w:lang w:val="es-419"/>
              </w:rPr>
              <w:t xml:space="preserve"> </w:t>
            </w:r>
          </w:p>
          <w:p w14:paraId="2BF27C69" w14:textId="77777777" w:rsidR="00357BC8" w:rsidRPr="00FF500C" w:rsidRDefault="00357BC8" w:rsidP="00357BC8">
            <w:pPr>
              <w:jc w:val="both"/>
              <w:rPr>
                <w:rFonts w:ascii="Verdana" w:eastAsia="Verdana" w:hAnsi="Verdana" w:cs="Verdana"/>
                <w:sz w:val="22"/>
                <w:szCs w:val="22"/>
                <w:lang w:val="es"/>
              </w:rPr>
            </w:pPr>
            <w:r w:rsidRPr="00F519FF">
              <w:rPr>
                <w:rFonts w:eastAsia="Verdana" w:cs="Arial"/>
                <w:sz w:val="22"/>
                <w:szCs w:val="22"/>
                <w:lang w:val="es"/>
              </w:rPr>
              <w:t>En ese orden de ideas, el Estado tiene la responsabilidad de promover condiciones normativas, económicas y técnicas que faciliten una asignación oportuna, eficiente y competitiva del espectro</w:t>
            </w:r>
            <w:r w:rsidRPr="043D31BE">
              <w:rPr>
                <w:rFonts w:ascii="Verdana" w:eastAsia="Verdana" w:hAnsi="Verdana" w:cs="Verdana"/>
                <w:sz w:val="22"/>
                <w:szCs w:val="22"/>
                <w:lang w:val="es"/>
              </w:rPr>
              <w:t xml:space="preserve"> </w:t>
            </w:r>
            <w:r w:rsidRPr="00F519FF">
              <w:rPr>
                <w:rFonts w:eastAsia="Verdana" w:cs="Arial"/>
                <w:sz w:val="22"/>
                <w:szCs w:val="22"/>
                <w:lang w:val="es"/>
              </w:rPr>
              <w:t>radioeléctrico,</w:t>
            </w:r>
            <w:r w:rsidRPr="043D31BE">
              <w:rPr>
                <w:rFonts w:ascii="Verdana" w:eastAsia="Verdana" w:hAnsi="Verdana" w:cs="Verdana"/>
                <w:sz w:val="22"/>
                <w:szCs w:val="22"/>
                <w:lang w:val="es"/>
              </w:rPr>
              <w:t xml:space="preserve"> </w:t>
            </w:r>
            <w:r w:rsidRPr="00F519FF">
              <w:rPr>
                <w:rFonts w:eastAsia="Verdana" w:cs="Arial"/>
                <w:sz w:val="22"/>
                <w:szCs w:val="22"/>
                <w:lang w:val="es"/>
              </w:rPr>
              <w:t>reduciendo barreras innecesarias de acceso y evitando la inactividad del recurso. No obstante, esta facilitación no implica una reducción indiscriminada de las condiciones económicas de acceso, en la medida en que el valor del espectro constituye un instrumento fundamental para su asignación eficiente, al reflejar su valor económico y orientar su uso hacia aquellos agentes que pueden generar mayores beneficios sociales a partir de su explotación. En tal virtud, el diseño de los mecanismos de asignación debe equilibrar la promoción del uso efectivo del espectro con la preservación de señales económicas adecuadas que eviten asignaciones ineficientes, mediante esquemas que sean no solo eficientes en términos estáticos, sino también oportunos en términos dinámicos, reconociendo que tanto la ausencia de asignación como su asignación bajo condiciones que distorsionen su valor económico pueden limitar la generación de valor social.</w:t>
            </w:r>
          </w:p>
          <w:p w14:paraId="109B97F2" w14:textId="77777777" w:rsidR="00357BC8" w:rsidRPr="00FF500C" w:rsidRDefault="00357BC8" w:rsidP="00357BC8">
            <w:pPr>
              <w:jc w:val="both"/>
              <w:rPr>
                <w:rFonts w:ascii="Verdana" w:eastAsia="Verdana" w:hAnsi="Verdana" w:cs="Verdana"/>
                <w:sz w:val="22"/>
                <w:szCs w:val="22"/>
                <w:lang w:val="es-CO"/>
              </w:rPr>
            </w:pPr>
          </w:p>
          <w:p w14:paraId="3C20E38D" w14:textId="77777777" w:rsidR="00357BC8" w:rsidRPr="00FF500C" w:rsidRDefault="00357BC8" w:rsidP="00357BC8">
            <w:pPr>
              <w:pStyle w:val="Prrafodelista"/>
              <w:jc w:val="both"/>
              <w:rPr>
                <w:lang w:val="es-CO"/>
              </w:rPr>
            </w:pPr>
          </w:p>
          <w:p w14:paraId="54C65A62" w14:textId="2792CB27" w:rsidR="00357BC8" w:rsidRPr="00357BC8" w:rsidRDefault="00357BC8" w:rsidP="00357BC8">
            <w:pPr>
              <w:pStyle w:val="Prrafodelista"/>
              <w:numPr>
                <w:ilvl w:val="0"/>
                <w:numId w:val="49"/>
              </w:numPr>
              <w:jc w:val="both"/>
              <w:rPr>
                <w:color w:val="000000" w:themeColor="text1"/>
                <w:lang w:val="es-CO"/>
              </w:rPr>
            </w:pPr>
            <w:r w:rsidRPr="00357BC8">
              <w:rPr>
                <w:rFonts w:eastAsia="Arial" w:cs="Arial"/>
                <w:b/>
                <w:bCs/>
                <w:color w:val="000000" w:themeColor="text1"/>
                <w:sz w:val="22"/>
                <w:szCs w:val="22"/>
                <w:lang w:val="es-CO"/>
              </w:rPr>
              <w:t>DETERMINACIÓN CONCRETA DE LOS SUJETOS A LOS QUE VAN DIRIGIDOS LOS EFECTOS NORMATIVOS DEL PROYECTO, Y, GARANTIZAR QUE EL LENGUAJE SE ADECÚE EN FUNCIÓN DE LOS DESTINATARIOS.</w:t>
            </w:r>
          </w:p>
          <w:p w14:paraId="58864A5A" w14:textId="77777777" w:rsidR="00357BC8" w:rsidRPr="00FF500C" w:rsidRDefault="00357BC8" w:rsidP="00357BC8">
            <w:pPr>
              <w:jc w:val="both"/>
              <w:rPr>
                <w:rFonts w:ascii="Arial Narrow" w:eastAsia="Arial Narrow" w:hAnsi="Arial Narrow" w:cs="Arial Narrow"/>
                <w:color w:val="000000" w:themeColor="text1"/>
                <w:sz w:val="24"/>
                <w:szCs w:val="24"/>
              </w:rPr>
            </w:pPr>
          </w:p>
          <w:p w14:paraId="32DF35FD" w14:textId="77777777" w:rsidR="00357BC8" w:rsidRPr="00F519FF" w:rsidRDefault="00357BC8" w:rsidP="00357BC8">
            <w:pPr>
              <w:spacing w:line="259" w:lineRule="auto"/>
              <w:jc w:val="both"/>
              <w:rPr>
                <w:rFonts w:eastAsia="Verdana" w:cs="Arial"/>
                <w:sz w:val="22"/>
                <w:szCs w:val="22"/>
                <w:lang w:val="es-CO"/>
              </w:rPr>
            </w:pPr>
            <w:r w:rsidRPr="00F519FF">
              <w:rPr>
                <w:rFonts w:eastAsia="Verdana" w:cs="Arial"/>
                <w:sz w:val="22"/>
                <w:szCs w:val="22"/>
              </w:rPr>
              <w:t>Las disposiciones previstas en esta resolución aplican a personas naturales, personas jurídicas o figuras asociativas que requieran usar el espectro radioeléctrico remanente a nivel nacional en las bandas identificadas para las telecomunicaciones móviles internacionales (IMT).</w:t>
            </w:r>
          </w:p>
          <w:p w14:paraId="3826F5D7" w14:textId="77777777" w:rsidR="00357BC8" w:rsidRPr="00FF500C" w:rsidRDefault="00357BC8" w:rsidP="00357BC8">
            <w:pPr>
              <w:pStyle w:val="Prrafodelista"/>
              <w:jc w:val="both"/>
              <w:rPr>
                <w:lang w:val="es-CO"/>
              </w:rPr>
            </w:pPr>
          </w:p>
          <w:p w14:paraId="49B20528" w14:textId="69530772" w:rsidR="00357BC8" w:rsidRPr="00F519FF" w:rsidRDefault="00357BC8" w:rsidP="00357BC8">
            <w:pPr>
              <w:pStyle w:val="Prrafodelista"/>
              <w:numPr>
                <w:ilvl w:val="0"/>
                <w:numId w:val="49"/>
              </w:numPr>
              <w:jc w:val="both"/>
              <w:rPr>
                <w:color w:val="000000" w:themeColor="text1"/>
                <w:lang w:val="es-CO"/>
              </w:rPr>
            </w:pPr>
            <w:r w:rsidRPr="00F519FF">
              <w:rPr>
                <w:rFonts w:eastAsia="Arial" w:cs="Arial"/>
                <w:b/>
                <w:bCs/>
                <w:color w:val="000000" w:themeColor="text1"/>
                <w:sz w:val="22"/>
                <w:szCs w:val="22"/>
                <w:lang w:val="es-CO"/>
              </w:rPr>
              <w:lastRenderedPageBreak/>
              <w:t>LA VIABILIDAD JURÍDICA DEL PROYECTO, INCLUYENDO CUALQUIER OBSERVACIÓN O ADVERTENCIA DE CUALQUIER CIRCUNSTANCIA JURÍDICA QUE PUEDA SER RELEVANTE PARA LA VALIDEZ O EFECTIVIDAD DEL PROYECTO NORMATIVO. EN TAL SENTIDO, SE DEBERÁ INDICAR SI EL PROYECTO NORMATIVO SE AJUSTA A LA CONSTITUCIÓN POLÍTICA Y A LA LEY, Y DE SER PROCEDENTE SI ESTÁ AJUSTADO A ALGÚN PRONUNICAMIENTO JURISPRUDENCIAL.</w:t>
            </w:r>
          </w:p>
          <w:p w14:paraId="4D7CB762" w14:textId="77777777" w:rsidR="00357BC8" w:rsidRPr="00FF500C" w:rsidRDefault="00357BC8" w:rsidP="00357BC8">
            <w:pPr>
              <w:pStyle w:val="Prrafodelista"/>
              <w:jc w:val="both"/>
              <w:rPr>
                <w:lang w:val="es-CO"/>
              </w:rPr>
            </w:pPr>
          </w:p>
          <w:p w14:paraId="4493FB00" w14:textId="77777777" w:rsidR="00357BC8" w:rsidRPr="00FF500C" w:rsidRDefault="00357BC8" w:rsidP="00357BC8">
            <w:pPr>
              <w:jc w:val="both"/>
              <w:rPr>
                <w:rFonts w:eastAsia="Arial" w:cs="Arial"/>
                <w:color w:val="D13438"/>
                <w:sz w:val="22"/>
                <w:szCs w:val="22"/>
                <w:lang w:val="es-CO"/>
              </w:rPr>
            </w:pPr>
          </w:p>
          <w:p w14:paraId="7C110504" w14:textId="77777777" w:rsidR="00357BC8" w:rsidRDefault="00357BC8" w:rsidP="00357BC8">
            <w:pPr>
              <w:pStyle w:val="Prrafodelista"/>
              <w:numPr>
                <w:ilvl w:val="0"/>
                <w:numId w:val="56"/>
              </w:numPr>
              <w:jc w:val="both"/>
              <w:rPr>
                <w:rFonts w:eastAsia="Arial" w:cs="Arial"/>
                <w:color w:val="000000" w:themeColor="text1"/>
                <w:sz w:val="22"/>
                <w:szCs w:val="22"/>
                <w:lang w:val="es-CO"/>
              </w:rPr>
            </w:pPr>
            <w:r w:rsidRPr="00F519FF">
              <w:rPr>
                <w:rFonts w:eastAsia="Arial" w:cs="Arial"/>
                <w:color w:val="000000" w:themeColor="text1"/>
                <w:sz w:val="22"/>
                <w:szCs w:val="22"/>
                <w:lang w:val="es-CO"/>
              </w:rPr>
              <w:t>La reglamentación que otorga la competencia para la expedición del acto administrativo está contenida en las siguientes normas:</w:t>
            </w:r>
          </w:p>
          <w:p w14:paraId="79A70ADC" w14:textId="77777777" w:rsidR="00357BC8" w:rsidRPr="00F519FF" w:rsidRDefault="00357BC8" w:rsidP="00357BC8">
            <w:pPr>
              <w:pStyle w:val="Prrafodelista"/>
              <w:jc w:val="both"/>
              <w:rPr>
                <w:rFonts w:eastAsia="Arial" w:cs="Arial"/>
                <w:color w:val="000000" w:themeColor="text1"/>
                <w:sz w:val="22"/>
                <w:szCs w:val="22"/>
                <w:lang w:val="es-CO"/>
              </w:rPr>
            </w:pPr>
          </w:p>
          <w:p w14:paraId="47B315D8" w14:textId="77777777" w:rsidR="00357BC8" w:rsidRPr="00F519FF" w:rsidRDefault="00357BC8" w:rsidP="00357BC8">
            <w:pPr>
              <w:jc w:val="both"/>
              <w:rPr>
                <w:rFonts w:eastAsia="Arial" w:cs="Arial"/>
                <w:color w:val="000000" w:themeColor="text1"/>
                <w:sz w:val="22"/>
                <w:szCs w:val="22"/>
                <w:lang w:val="es-CO"/>
              </w:rPr>
            </w:pPr>
            <w:r>
              <w:rPr>
                <w:rFonts w:eastAsia="Arial" w:cs="Arial"/>
                <w:color w:val="000000" w:themeColor="text1"/>
                <w:sz w:val="22"/>
                <w:szCs w:val="22"/>
                <w:lang w:val="es-CO"/>
              </w:rPr>
              <w:t>E</w:t>
            </w:r>
            <w:r w:rsidRPr="00F519FF">
              <w:rPr>
                <w:rFonts w:eastAsia="Arial" w:cs="Arial"/>
                <w:color w:val="000000" w:themeColor="text1"/>
                <w:sz w:val="22"/>
                <w:szCs w:val="22"/>
                <w:lang w:val="es-CO"/>
              </w:rPr>
              <w:t xml:space="preserve">l numeral 6 del artículo 18 de la Ley 1341 de 2009 dispone que es función del Ministerio de Tecnologías de la Información y las Comunicaciones planear, asignar, gestionar y controlar el espectro radioeléctrico para fomentar la competencia, el pluralismo informativo, el acceso no discriminatorio y evitar prácticas monopolísticas. </w:t>
            </w:r>
          </w:p>
          <w:p w14:paraId="3C59CA19" w14:textId="77777777" w:rsidR="00357BC8" w:rsidRPr="00F519FF" w:rsidRDefault="00357BC8" w:rsidP="00357BC8">
            <w:pPr>
              <w:jc w:val="both"/>
              <w:rPr>
                <w:rFonts w:eastAsia="Arial" w:cs="Arial"/>
                <w:color w:val="000000" w:themeColor="text1"/>
                <w:sz w:val="22"/>
                <w:szCs w:val="22"/>
                <w:lang w:val="es-CO"/>
              </w:rPr>
            </w:pPr>
          </w:p>
          <w:p w14:paraId="5BAAF79F" w14:textId="77777777" w:rsidR="00357BC8" w:rsidRPr="00F519FF" w:rsidRDefault="00357BC8" w:rsidP="00357BC8">
            <w:pPr>
              <w:jc w:val="both"/>
              <w:rPr>
                <w:rFonts w:eastAsia="Arial" w:cs="Arial"/>
                <w:color w:val="000000" w:themeColor="text1"/>
                <w:sz w:val="22"/>
                <w:szCs w:val="22"/>
                <w:lang w:val="es-CO"/>
              </w:rPr>
            </w:pPr>
            <w:r w:rsidRPr="00F519FF">
              <w:rPr>
                <w:rFonts w:eastAsia="Arial" w:cs="Arial"/>
                <w:color w:val="000000" w:themeColor="text1"/>
                <w:sz w:val="22"/>
                <w:szCs w:val="22"/>
                <w:lang w:val="es-CO"/>
              </w:rPr>
              <w:t>El artículo 1, el numeral 7 del artículo 4 y el artículo 11 de la Ley 1341 de 2009 disponen que el espectro, como recurso escaso, debe ser usado de manera eficiente. En este sentido, el espectro radioeléctrico debe ponerse a disposición para atender las demandas crecientes y, además, para generar condiciones que incentiven el aprovechamiento del recurso.</w:t>
            </w:r>
          </w:p>
          <w:p w14:paraId="48EA8719" w14:textId="77777777" w:rsidR="00357BC8" w:rsidRPr="00F519FF" w:rsidRDefault="00357BC8" w:rsidP="00357BC8">
            <w:pPr>
              <w:jc w:val="both"/>
              <w:rPr>
                <w:rFonts w:eastAsia="Arial" w:cs="Arial"/>
                <w:color w:val="000000" w:themeColor="text1"/>
                <w:sz w:val="22"/>
                <w:szCs w:val="22"/>
                <w:lang w:val="es-CO"/>
              </w:rPr>
            </w:pPr>
          </w:p>
          <w:p w14:paraId="684D98FB" w14:textId="77777777" w:rsidR="00357BC8" w:rsidRPr="00F519FF" w:rsidRDefault="00357BC8" w:rsidP="00357BC8">
            <w:pPr>
              <w:pStyle w:val="Prrafodelista"/>
              <w:numPr>
                <w:ilvl w:val="0"/>
                <w:numId w:val="56"/>
              </w:numPr>
              <w:jc w:val="both"/>
              <w:rPr>
                <w:rFonts w:eastAsia="Arial" w:cs="Arial"/>
                <w:color w:val="000000" w:themeColor="text1"/>
                <w:sz w:val="22"/>
                <w:szCs w:val="22"/>
                <w:lang w:val="es-CO"/>
              </w:rPr>
            </w:pPr>
            <w:r w:rsidRPr="00F519FF">
              <w:rPr>
                <w:rFonts w:eastAsia="Arial" w:cs="Arial"/>
                <w:color w:val="000000" w:themeColor="text1"/>
                <w:sz w:val="22"/>
                <w:szCs w:val="22"/>
                <w:lang w:val="es-CO"/>
              </w:rPr>
              <w:t>Frente a la vigencia de la ley o norma reglamentada o desarrollada</w:t>
            </w:r>
          </w:p>
          <w:p w14:paraId="03F2B94B" w14:textId="77777777" w:rsidR="00357BC8" w:rsidRPr="00FF500C" w:rsidRDefault="00357BC8" w:rsidP="00357BC8">
            <w:pPr>
              <w:jc w:val="both"/>
              <w:rPr>
                <w:rFonts w:eastAsia="Arial" w:cs="Arial"/>
                <w:color w:val="D13438"/>
                <w:sz w:val="22"/>
                <w:szCs w:val="22"/>
                <w:lang w:val="es-CO"/>
              </w:rPr>
            </w:pPr>
          </w:p>
          <w:p w14:paraId="11BB1923" w14:textId="77777777" w:rsidR="00357BC8" w:rsidRPr="00F519FF" w:rsidRDefault="00357BC8" w:rsidP="00357BC8">
            <w:pPr>
              <w:jc w:val="both"/>
              <w:rPr>
                <w:rFonts w:eastAsia="Arial" w:cs="Arial"/>
                <w:color w:val="000000" w:themeColor="text1"/>
                <w:sz w:val="22"/>
                <w:szCs w:val="22"/>
                <w:lang w:val="es-CO"/>
              </w:rPr>
            </w:pPr>
            <w:r w:rsidRPr="00F519FF">
              <w:rPr>
                <w:rFonts w:eastAsia="Arial" w:cs="Arial"/>
                <w:color w:val="000000" w:themeColor="text1"/>
                <w:sz w:val="22"/>
                <w:szCs w:val="22"/>
                <w:lang w:val="es-CO"/>
              </w:rPr>
              <w:t>La disposición constitucional y lo establecido en la Ley 1341 de 2009, modificada en algunos apartes por la Ley 1978 de 2019, que sustentan la expedición del proyecto normativo se encuentran actualmente vigentes y no han tenido limitaciones vía jurisprudencia.</w:t>
            </w:r>
          </w:p>
          <w:p w14:paraId="51C0119B" w14:textId="77777777" w:rsidR="00357BC8" w:rsidRPr="00FF500C" w:rsidRDefault="00357BC8" w:rsidP="00357BC8">
            <w:pPr>
              <w:jc w:val="both"/>
              <w:rPr>
                <w:rFonts w:eastAsia="Arial" w:cs="Arial"/>
                <w:color w:val="D13438"/>
                <w:sz w:val="22"/>
                <w:szCs w:val="22"/>
                <w:lang w:val="es-CO"/>
              </w:rPr>
            </w:pPr>
          </w:p>
          <w:p w14:paraId="5070427F" w14:textId="77777777" w:rsidR="00357BC8" w:rsidRPr="00F519FF" w:rsidRDefault="00357BC8" w:rsidP="00357BC8">
            <w:pPr>
              <w:pStyle w:val="Prrafodelista"/>
              <w:numPr>
                <w:ilvl w:val="0"/>
                <w:numId w:val="56"/>
              </w:numPr>
              <w:jc w:val="both"/>
              <w:rPr>
                <w:rFonts w:eastAsia="Arial" w:cs="Arial"/>
                <w:color w:val="000000" w:themeColor="text1"/>
                <w:sz w:val="22"/>
                <w:szCs w:val="22"/>
                <w:lang w:val="es-CO"/>
              </w:rPr>
            </w:pPr>
            <w:r w:rsidRPr="00F519FF">
              <w:rPr>
                <w:rFonts w:eastAsia="Arial" w:cs="Arial"/>
                <w:color w:val="000000" w:themeColor="text1"/>
                <w:sz w:val="22"/>
                <w:szCs w:val="22"/>
                <w:lang w:val="es-CO"/>
              </w:rPr>
              <w:t xml:space="preserve">Disposiciones derogadas, subrogadas, modificadas, adicionadas o sustituidas </w:t>
            </w:r>
          </w:p>
          <w:p w14:paraId="7DB3DE25" w14:textId="77777777" w:rsidR="00357BC8" w:rsidRPr="00FF500C" w:rsidRDefault="00357BC8" w:rsidP="00357BC8">
            <w:pPr>
              <w:jc w:val="both"/>
              <w:rPr>
                <w:rFonts w:eastAsia="Arial" w:cs="Arial"/>
                <w:color w:val="D13438"/>
                <w:sz w:val="22"/>
                <w:szCs w:val="22"/>
                <w:lang w:val="es-CO"/>
              </w:rPr>
            </w:pPr>
          </w:p>
          <w:p w14:paraId="785E33BD" w14:textId="77777777" w:rsidR="00357BC8" w:rsidRPr="00F519FF" w:rsidRDefault="00357BC8" w:rsidP="00357BC8">
            <w:pPr>
              <w:jc w:val="both"/>
              <w:rPr>
                <w:rFonts w:eastAsia="Arial" w:cs="Arial"/>
                <w:color w:val="000000" w:themeColor="text1"/>
                <w:sz w:val="22"/>
                <w:szCs w:val="22"/>
                <w:lang w:val="es-CO"/>
              </w:rPr>
            </w:pPr>
            <w:r w:rsidRPr="00F519FF">
              <w:rPr>
                <w:rFonts w:eastAsia="Arial" w:cs="Arial"/>
                <w:color w:val="000000" w:themeColor="text1"/>
                <w:sz w:val="22"/>
                <w:szCs w:val="22"/>
                <w:lang w:val="es-CO"/>
              </w:rPr>
              <w:t>El proyecto de resolución modifica la Resolución 1075 de 2020.</w:t>
            </w:r>
          </w:p>
          <w:p w14:paraId="50F3D511" w14:textId="77777777" w:rsidR="00357BC8" w:rsidRPr="00FF500C" w:rsidRDefault="00357BC8" w:rsidP="00357BC8">
            <w:pPr>
              <w:jc w:val="both"/>
              <w:rPr>
                <w:rFonts w:eastAsia="Arial" w:cs="Arial"/>
                <w:color w:val="D13438"/>
                <w:sz w:val="22"/>
                <w:szCs w:val="22"/>
                <w:lang w:val="es-CO"/>
              </w:rPr>
            </w:pPr>
          </w:p>
          <w:p w14:paraId="3541CD4F" w14:textId="77777777" w:rsidR="00357BC8" w:rsidRPr="00F519FF" w:rsidRDefault="00357BC8" w:rsidP="00357BC8">
            <w:pPr>
              <w:pStyle w:val="Prrafodelista"/>
              <w:numPr>
                <w:ilvl w:val="0"/>
                <w:numId w:val="56"/>
              </w:numPr>
              <w:jc w:val="both"/>
              <w:rPr>
                <w:rFonts w:eastAsia="Arial" w:cs="Arial"/>
                <w:color w:val="000000" w:themeColor="text1"/>
                <w:sz w:val="22"/>
                <w:szCs w:val="22"/>
                <w:lang w:val="es-CO"/>
              </w:rPr>
            </w:pPr>
            <w:r w:rsidRPr="00F519FF">
              <w:rPr>
                <w:rFonts w:eastAsia="Arial" w:cs="Arial"/>
                <w:color w:val="000000" w:themeColor="text1"/>
                <w:sz w:val="22"/>
                <w:szCs w:val="22"/>
                <w:lang w:val="es-CO"/>
              </w:rPr>
              <w:t>Frente a la revisión y análisis de la jurisprudencia que tenga impacto o sea relevante para la expedición del proyecto normativo (órganos de cierre de cada jurisdicción).</w:t>
            </w:r>
          </w:p>
          <w:p w14:paraId="386E2B43" w14:textId="77777777" w:rsidR="00357BC8" w:rsidRPr="00F519FF" w:rsidRDefault="00357BC8" w:rsidP="00357BC8">
            <w:pPr>
              <w:jc w:val="both"/>
              <w:rPr>
                <w:rFonts w:eastAsia="Arial" w:cs="Arial"/>
                <w:color w:val="000000" w:themeColor="text1"/>
                <w:sz w:val="22"/>
                <w:szCs w:val="22"/>
                <w:lang w:val="es-CO"/>
              </w:rPr>
            </w:pPr>
          </w:p>
          <w:p w14:paraId="757E81D4" w14:textId="77777777" w:rsidR="00357BC8" w:rsidRPr="00F519FF" w:rsidRDefault="00357BC8" w:rsidP="00357BC8">
            <w:pPr>
              <w:jc w:val="both"/>
              <w:rPr>
                <w:rFonts w:eastAsia="Arial" w:cs="Arial"/>
                <w:color w:val="000000" w:themeColor="text1"/>
                <w:sz w:val="22"/>
                <w:szCs w:val="22"/>
                <w:lang w:val="es-CO"/>
              </w:rPr>
            </w:pPr>
            <w:r w:rsidRPr="00F519FF">
              <w:rPr>
                <w:rFonts w:eastAsia="Arial" w:cs="Arial"/>
                <w:color w:val="000000" w:themeColor="text1"/>
                <w:sz w:val="22"/>
                <w:szCs w:val="22"/>
                <w:lang w:val="es-CO"/>
              </w:rPr>
              <w:t>A la fecha no hay precedentes jurisprudenciales que puedan tener impacto o ser relevantes para la    expedición del acto administrativo.</w:t>
            </w:r>
          </w:p>
          <w:p w14:paraId="11478FB7" w14:textId="77777777" w:rsidR="00357BC8" w:rsidRPr="00F519FF" w:rsidRDefault="00357BC8" w:rsidP="00357BC8">
            <w:pPr>
              <w:jc w:val="both"/>
              <w:rPr>
                <w:rFonts w:eastAsia="Arial" w:cs="Arial"/>
                <w:color w:val="000000" w:themeColor="text1"/>
                <w:sz w:val="22"/>
                <w:szCs w:val="22"/>
                <w:lang w:val="es-CO"/>
              </w:rPr>
            </w:pPr>
          </w:p>
          <w:p w14:paraId="01610FF7" w14:textId="77777777" w:rsidR="00357BC8" w:rsidRPr="00F519FF" w:rsidRDefault="00357BC8" w:rsidP="00357BC8">
            <w:pPr>
              <w:pStyle w:val="Prrafodelista"/>
              <w:numPr>
                <w:ilvl w:val="0"/>
                <w:numId w:val="56"/>
              </w:numPr>
              <w:jc w:val="both"/>
              <w:rPr>
                <w:rFonts w:eastAsia="Arial" w:cs="Arial"/>
                <w:color w:val="000000" w:themeColor="text1"/>
                <w:sz w:val="22"/>
                <w:szCs w:val="22"/>
                <w:lang w:val="es-CO"/>
              </w:rPr>
            </w:pPr>
            <w:r w:rsidRPr="00F519FF">
              <w:rPr>
                <w:rFonts w:eastAsia="Arial" w:cs="Arial"/>
                <w:color w:val="000000" w:themeColor="text1"/>
                <w:sz w:val="22"/>
                <w:szCs w:val="22"/>
                <w:lang w:val="es-CO"/>
              </w:rPr>
              <w:t xml:space="preserve">Frente a circunstancias jurídicas adicionales </w:t>
            </w:r>
          </w:p>
          <w:p w14:paraId="03AE17DA" w14:textId="77777777" w:rsidR="00357BC8" w:rsidRPr="00F519FF" w:rsidRDefault="00357BC8" w:rsidP="00357BC8">
            <w:pPr>
              <w:jc w:val="both"/>
              <w:rPr>
                <w:rFonts w:eastAsia="Arial" w:cs="Arial"/>
                <w:color w:val="000000" w:themeColor="text1"/>
                <w:sz w:val="22"/>
                <w:szCs w:val="22"/>
                <w:lang w:val="es-CO"/>
              </w:rPr>
            </w:pPr>
          </w:p>
          <w:p w14:paraId="48D5C49D" w14:textId="77777777" w:rsidR="00357BC8" w:rsidRPr="00F519FF" w:rsidRDefault="00357BC8" w:rsidP="00357BC8">
            <w:pPr>
              <w:jc w:val="both"/>
              <w:rPr>
                <w:rFonts w:eastAsia="Arial" w:cs="Arial"/>
                <w:color w:val="000000" w:themeColor="text1"/>
                <w:sz w:val="22"/>
                <w:szCs w:val="22"/>
                <w:lang w:val="es-CO"/>
              </w:rPr>
            </w:pPr>
            <w:r w:rsidRPr="00F519FF">
              <w:rPr>
                <w:rFonts w:eastAsia="Arial" w:cs="Arial"/>
                <w:color w:val="000000" w:themeColor="text1"/>
                <w:sz w:val="22"/>
                <w:szCs w:val="22"/>
                <w:lang w:val="es-CO"/>
              </w:rPr>
              <w:t xml:space="preserve">No se identificó ninguna otra circunstancia jurídica que pueda ser relevante para la expedición del proyecto de decreto en comento. </w:t>
            </w:r>
          </w:p>
          <w:p w14:paraId="4BE485C5" w14:textId="77777777" w:rsidR="00357BC8" w:rsidRPr="00F519FF" w:rsidRDefault="00357BC8" w:rsidP="00357BC8">
            <w:pPr>
              <w:jc w:val="both"/>
              <w:rPr>
                <w:rFonts w:eastAsia="Arial" w:cs="Arial"/>
                <w:color w:val="000000" w:themeColor="text1"/>
                <w:sz w:val="22"/>
                <w:szCs w:val="22"/>
                <w:lang w:val="es-CO"/>
              </w:rPr>
            </w:pPr>
          </w:p>
          <w:p w14:paraId="18ECC324" w14:textId="77777777" w:rsidR="00357BC8" w:rsidRPr="00F519FF" w:rsidRDefault="00357BC8" w:rsidP="00357BC8">
            <w:pPr>
              <w:jc w:val="both"/>
              <w:rPr>
                <w:rFonts w:eastAsia="Arial" w:cs="Arial"/>
                <w:color w:val="000000" w:themeColor="text1"/>
                <w:sz w:val="22"/>
                <w:szCs w:val="22"/>
                <w:lang w:val="es-CO"/>
              </w:rPr>
            </w:pPr>
            <w:r w:rsidRPr="00F519FF">
              <w:rPr>
                <w:rFonts w:eastAsia="Arial" w:cs="Arial"/>
                <w:color w:val="000000" w:themeColor="text1"/>
                <w:sz w:val="22"/>
                <w:szCs w:val="22"/>
                <w:lang w:val="es-CO"/>
              </w:rPr>
              <w:t>Finalmente, resulta pertinente indicar que el proyecto normativo se encuentra ajustado a la Constitución y a la Ley.</w:t>
            </w:r>
          </w:p>
          <w:p w14:paraId="4E06F71F" w14:textId="77777777" w:rsidR="00357BC8" w:rsidRPr="00FF500C" w:rsidRDefault="00357BC8" w:rsidP="00357BC8">
            <w:pPr>
              <w:pStyle w:val="Prrafodelista"/>
              <w:jc w:val="both"/>
              <w:rPr>
                <w:rFonts w:eastAsia="Arial" w:cs="Arial"/>
                <w:b/>
                <w:bCs/>
                <w:color w:val="D13438"/>
                <w:sz w:val="22"/>
                <w:szCs w:val="22"/>
                <w:u w:val="single"/>
                <w:lang w:val="es-CO"/>
              </w:rPr>
            </w:pPr>
          </w:p>
          <w:p w14:paraId="7C433F31" w14:textId="77777777" w:rsidR="00357BC8" w:rsidRPr="00F519FF" w:rsidRDefault="00357BC8" w:rsidP="00357BC8">
            <w:pPr>
              <w:pStyle w:val="Prrafodelista"/>
              <w:numPr>
                <w:ilvl w:val="0"/>
                <w:numId w:val="49"/>
              </w:numPr>
              <w:jc w:val="both"/>
              <w:rPr>
                <w:color w:val="000000" w:themeColor="text1"/>
                <w:lang w:val="es-CO"/>
              </w:rPr>
            </w:pPr>
            <w:r w:rsidRPr="00F519FF">
              <w:rPr>
                <w:rFonts w:eastAsia="Arial" w:cs="Arial"/>
                <w:b/>
                <w:bCs/>
                <w:color w:val="000000" w:themeColor="text1"/>
                <w:sz w:val="22"/>
                <w:szCs w:val="22"/>
                <w:lang w:val="es-CO"/>
              </w:rPr>
              <w:t>EL ANÁLISIS DE LAS DECISIONES JUDICIALES DE LOS ORGANOS DE CIERRE DE LAS JURISDICCIONES QUE PUDIERAN TENER IMPACTO O SER RELEVANTES PARA LOS EFECTOS DE LA VALIDEZ DEL PROYECTO NORMATIVO.</w:t>
            </w:r>
          </w:p>
          <w:p w14:paraId="3ADC4053" w14:textId="77777777" w:rsidR="00357BC8" w:rsidRPr="00FF500C" w:rsidRDefault="00357BC8" w:rsidP="00357BC8">
            <w:pPr>
              <w:jc w:val="both"/>
              <w:rPr>
                <w:rFonts w:eastAsia="Arial" w:cs="Arial"/>
                <w:color w:val="D13438"/>
                <w:sz w:val="22"/>
                <w:szCs w:val="22"/>
                <w:lang w:val="es-CO"/>
              </w:rPr>
            </w:pPr>
          </w:p>
          <w:p w14:paraId="2E9C7E01" w14:textId="77777777" w:rsidR="00357BC8" w:rsidRPr="00FF500C" w:rsidRDefault="00357BC8" w:rsidP="00357BC8">
            <w:pPr>
              <w:jc w:val="both"/>
              <w:rPr>
                <w:rFonts w:eastAsia="Arial" w:cs="Arial"/>
                <w:color w:val="D13438"/>
                <w:sz w:val="22"/>
                <w:szCs w:val="22"/>
                <w:lang w:val="es-CO"/>
              </w:rPr>
            </w:pPr>
            <w:r w:rsidRPr="00F519FF">
              <w:rPr>
                <w:rFonts w:eastAsia="Arial" w:cs="Arial"/>
                <w:color w:val="000000" w:themeColor="text1"/>
                <w:sz w:val="22"/>
                <w:szCs w:val="22"/>
                <w:lang w:val="es-CO"/>
              </w:rPr>
              <w:lastRenderedPageBreak/>
              <w:t>A la fecha no hay precedentes jurisprudenciales que puedan tener impacto o ser relevantes para la    expedición del acto administrativo.</w:t>
            </w:r>
          </w:p>
          <w:p w14:paraId="449ABBA3" w14:textId="77777777" w:rsidR="00357BC8" w:rsidRPr="00F519FF" w:rsidRDefault="00357BC8" w:rsidP="00357BC8">
            <w:pPr>
              <w:pStyle w:val="Prrafodelista"/>
              <w:jc w:val="both"/>
              <w:rPr>
                <w:rFonts w:eastAsia="Arial" w:cs="Arial"/>
                <w:b/>
                <w:bCs/>
                <w:color w:val="000000" w:themeColor="text1"/>
                <w:sz w:val="22"/>
                <w:szCs w:val="22"/>
                <w:lang w:val="es-CO"/>
              </w:rPr>
            </w:pPr>
          </w:p>
          <w:p w14:paraId="7F1D3CCB" w14:textId="77777777" w:rsidR="00357BC8" w:rsidRPr="00F519FF" w:rsidRDefault="00357BC8" w:rsidP="00357BC8">
            <w:pPr>
              <w:pStyle w:val="Prrafodelista"/>
              <w:numPr>
                <w:ilvl w:val="0"/>
                <w:numId w:val="49"/>
              </w:numPr>
              <w:jc w:val="both"/>
              <w:rPr>
                <w:color w:val="000000" w:themeColor="text1"/>
                <w:lang w:val="es-CO"/>
              </w:rPr>
            </w:pPr>
            <w:r w:rsidRPr="00F519FF">
              <w:rPr>
                <w:rFonts w:eastAsia="Arial" w:cs="Arial"/>
                <w:b/>
                <w:bCs/>
                <w:color w:val="000000" w:themeColor="text1"/>
                <w:sz w:val="22"/>
                <w:szCs w:val="22"/>
                <w:lang w:val="es-CO"/>
              </w:rPr>
              <w:t>ARGUMENTOS RELEVANTES SOBRE LA COHERENCIA CON INSTRUMENTOS INTERNACIONALES EN CASO DE QUE APLIQUE.</w:t>
            </w:r>
          </w:p>
          <w:p w14:paraId="1FB23D1F" w14:textId="77777777" w:rsidR="00357BC8" w:rsidRPr="00FF500C" w:rsidRDefault="00357BC8" w:rsidP="00357BC8">
            <w:pPr>
              <w:jc w:val="both"/>
              <w:rPr>
                <w:lang w:val="es-CO"/>
              </w:rPr>
            </w:pPr>
          </w:p>
          <w:p w14:paraId="4F90563F" w14:textId="77777777" w:rsidR="00357BC8" w:rsidRPr="00F519FF" w:rsidRDefault="00357BC8" w:rsidP="00357BC8">
            <w:pPr>
              <w:jc w:val="both"/>
              <w:rPr>
                <w:rFonts w:eastAsia="Verdana" w:cs="Arial"/>
                <w:sz w:val="22"/>
                <w:szCs w:val="22"/>
                <w:lang w:val="es"/>
              </w:rPr>
            </w:pPr>
            <w:r w:rsidRPr="00F519FF">
              <w:rPr>
                <w:rFonts w:eastAsia="Verdana" w:cs="Arial"/>
                <w:sz w:val="22"/>
                <w:szCs w:val="22"/>
                <w:lang w:val="es-CO"/>
              </w:rPr>
              <w:t>Se encuentra por ejemplo que la Organización para la Cooperación y el Desarrollo Económicos (OCDE), destacó la importancia de una asignación eficiente y continua del espectro radioeléctrico para promover la competencia y mejorar la conectividad. A manera de referencia, el "Estudio de la OCDE sobre</w:t>
            </w:r>
            <w:r>
              <w:rPr>
                <w:rFonts w:eastAsia="Verdana" w:cs="Arial"/>
              </w:rPr>
              <w:t xml:space="preserve"> </w:t>
            </w:r>
            <w:r w:rsidRPr="00F519FF">
              <w:rPr>
                <w:rFonts w:eastAsia="Verdana" w:cs="Arial"/>
                <w:sz w:val="22"/>
                <w:szCs w:val="22"/>
                <w:lang w:val="es-CO"/>
              </w:rPr>
              <w:t xml:space="preserve">telecomunicaciones y radiodifusión en México" (OCDE, 2017), señala que asignaciones esporádicas de espectro en el pasado generaron escasez. </w:t>
            </w:r>
            <w:r w:rsidRPr="00F519FF">
              <w:rPr>
                <w:rFonts w:eastAsia="Verdana" w:cs="Arial"/>
                <w:sz w:val="22"/>
                <w:szCs w:val="22"/>
                <w:lang w:val="es"/>
              </w:rPr>
              <w:t>Así mismo, dicha organización indica que el marcado crecimiento esperado en el tráfico de datos móviles en países que hacen parte de la OECD requerirá</w:t>
            </w:r>
            <w:r w:rsidRPr="00F519FF">
              <w:rPr>
                <w:rFonts w:eastAsia="Verdana" w:cs="Arial"/>
                <w:b/>
                <w:bCs/>
                <w:sz w:val="22"/>
                <w:szCs w:val="22"/>
                <w:lang w:val="es"/>
              </w:rPr>
              <w:t xml:space="preserve"> </w:t>
            </w:r>
            <w:r w:rsidRPr="00F519FF">
              <w:rPr>
                <w:rFonts w:eastAsia="Verdana" w:cs="Arial"/>
                <w:sz w:val="22"/>
                <w:szCs w:val="22"/>
                <w:lang w:val="es"/>
              </w:rPr>
              <w:t>más frecuencias disponibles si quiere evitarse la llamada “crisis del espectro”.</w:t>
            </w:r>
          </w:p>
          <w:p w14:paraId="6F498FD7" w14:textId="77777777" w:rsidR="00357BC8" w:rsidRPr="00F519FF" w:rsidRDefault="00357BC8" w:rsidP="00357BC8">
            <w:pPr>
              <w:jc w:val="both"/>
              <w:rPr>
                <w:rFonts w:eastAsia="Verdana" w:cs="Arial"/>
                <w:sz w:val="22"/>
                <w:szCs w:val="22"/>
                <w:lang w:val="es-CO"/>
              </w:rPr>
            </w:pPr>
            <w:r w:rsidRPr="00F519FF">
              <w:rPr>
                <w:rFonts w:eastAsia="Verdana" w:cs="Arial"/>
                <w:sz w:val="22"/>
                <w:szCs w:val="22"/>
                <w:lang w:val="es-CO"/>
              </w:rPr>
              <w:t xml:space="preserve"> </w:t>
            </w:r>
          </w:p>
          <w:p w14:paraId="1169849B" w14:textId="02F72BF5" w:rsidR="00357BC8" w:rsidRPr="00357BC8" w:rsidRDefault="00357BC8" w:rsidP="00357BC8">
            <w:pPr>
              <w:jc w:val="both"/>
              <w:rPr>
                <w:rFonts w:eastAsia="Verdana" w:cs="Arial"/>
                <w:sz w:val="22"/>
                <w:szCs w:val="22"/>
                <w:lang w:val="es-CO"/>
              </w:rPr>
            </w:pPr>
            <w:r w:rsidRPr="00F519FF">
              <w:rPr>
                <w:rFonts w:eastAsia="Verdana" w:cs="Arial"/>
                <w:sz w:val="22"/>
                <w:szCs w:val="22"/>
                <w:lang w:val="es-CO"/>
              </w:rPr>
              <w:t xml:space="preserve">En esta misma vía, la Comisión Europea señaló en un estudio denominado </w:t>
            </w:r>
            <w:r w:rsidRPr="00F519FF">
              <w:rPr>
                <w:rFonts w:eastAsia="Verdana" w:cs="Arial"/>
                <w:i/>
                <w:iCs/>
                <w:sz w:val="22"/>
                <w:szCs w:val="22"/>
                <w:lang w:val="es-CO"/>
              </w:rPr>
              <w:t>“</w:t>
            </w:r>
            <w:r w:rsidRPr="00F519FF">
              <w:rPr>
                <w:rFonts w:eastAsia="Verdana" w:cs="Arial"/>
                <w:sz w:val="22"/>
                <w:szCs w:val="22"/>
                <w:lang w:val="es-CO"/>
              </w:rPr>
              <w:t xml:space="preserve">Study </w:t>
            </w:r>
            <w:proofErr w:type="spellStart"/>
            <w:r w:rsidRPr="00F519FF">
              <w:rPr>
                <w:rFonts w:eastAsia="Verdana" w:cs="Arial"/>
                <w:sz w:val="22"/>
                <w:szCs w:val="22"/>
                <w:lang w:val="es-CO"/>
              </w:rPr>
              <w:t>on</w:t>
            </w:r>
            <w:proofErr w:type="spellEnd"/>
            <w:r w:rsidRPr="00F519FF">
              <w:rPr>
                <w:rFonts w:eastAsia="Verdana" w:cs="Arial"/>
                <w:sz w:val="22"/>
                <w:szCs w:val="22"/>
                <w:lang w:val="es-CO"/>
              </w:rPr>
              <w:t xml:space="preserve"> </w:t>
            </w:r>
            <w:proofErr w:type="spellStart"/>
            <w:r w:rsidRPr="00F519FF">
              <w:rPr>
                <w:rFonts w:eastAsia="Verdana" w:cs="Arial"/>
                <w:sz w:val="22"/>
                <w:szCs w:val="22"/>
                <w:lang w:val="es-CO"/>
              </w:rPr>
              <w:t>assessing</w:t>
            </w:r>
            <w:proofErr w:type="spellEnd"/>
            <w:r w:rsidRPr="00F519FF">
              <w:rPr>
                <w:rFonts w:eastAsia="Verdana" w:cs="Arial"/>
                <w:sz w:val="22"/>
                <w:szCs w:val="22"/>
                <w:lang w:val="es-CO"/>
              </w:rPr>
              <w:t xml:space="preserve"> </w:t>
            </w:r>
            <w:proofErr w:type="spellStart"/>
            <w:r w:rsidRPr="00F519FF">
              <w:rPr>
                <w:rFonts w:eastAsia="Verdana" w:cs="Arial"/>
                <w:sz w:val="22"/>
                <w:szCs w:val="22"/>
                <w:lang w:val="es-CO"/>
              </w:rPr>
              <w:t>the</w:t>
            </w:r>
            <w:proofErr w:type="spellEnd"/>
            <w:r w:rsidRPr="00F519FF">
              <w:rPr>
                <w:rFonts w:eastAsia="Verdana" w:cs="Arial"/>
                <w:sz w:val="22"/>
                <w:szCs w:val="22"/>
                <w:lang w:val="es-CO"/>
              </w:rPr>
              <w:t xml:space="preserve"> </w:t>
            </w:r>
            <w:proofErr w:type="spellStart"/>
            <w:r w:rsidRPr="00F519FF">
              <w:rPr>
                <w:rFonts w:eastAsia="Verdana" w:cs="Arial"/>
                <w:sz w:val="22"/>
                <w:szCs w:val="22"/>
                <w:lang w:val="es-CO"/>
              </w:rPr>
              <w:t>efficiency</w:t>
            </w:r>
            <w:proofErr w:type="spellEnd"/>
            <w:r w:rsidRPr="00F519FF">
              <w:rPr>
                <w:rFonts w:eastAsia="Verdana" w:cs="Arial"/>
                <w:sz w:val="22"/>
                <w:szCs w:val="22"/>
                <w:lang w:val="es-CO"/>
              </w:rPr>
              <w:t xml:space="preserve"> </w:t>
            </w:r>
            <w:proofErr w:type="spellStart"/>
            <w:r w:rsidRPr="00F519FF">
              <w:rPr>
                <w:rFonts w:eastAsia="Verdana" w:cs="Arial"/>
                <w:sz w:val="22"/>
                <w:szCs w:val="22"/>
                <w:lang w:val="es-CO"/>
              </w:rPr>
              <w:t>of</w:t>
            </w:r>
            <w:proofErr w:type="spellEnd"/>
            <w:r w:rsidRPr="00F519FF">
              <w:rPr>
                <w:rFonts w:eastAsia="Verdana" w:cs="Arial"/>
                <w:sz w:val="22"/>
                <w:szCs w:val="22"/>
                <w:lang w:val="es-CO"/>
              </w:rPr>
              <w:t xml:space="preserve"> radio </w:t>
            </w:r>
            <w:proofErr w:type="spellStart"/>
            <w:r w:rsidRPr="00F519FF">
              <w:rPr>
                <w:rFonts w:eastAsia="Verdana" w:cs="Arial"/>
                <w:sz w:val="22"/>
                <w:szCs w:val="22"/>
                <w:lang w:val="es-CO"/>
              </w:rPr>
              <w:t>spectrum</w:t>
            </w:r>
            <w:proofErr w:type="spellEnd"/>
            <w:r w:rsidRPr="00F519FF">
              <w:rPr>
                <w:rFonts w:eastAsia="Verdana" w:cs="Arial"/>
                <w:sz w:val="22"/>
                <w:szCs w:val="22"/>
                <w:lang w:val="es-CO"/>
              </w:rPr>
              <w:t xml:space="preserve"> </w:t>
            </w:r>
            <w:proofErr w:type="spellStart"/>
            <w:r w:rsidRPr="00F519FF">
              <w:rPr>
                <w:rFonts w:eastAsia="Verdana" w:cs="Arial"/>
                <w:sz w:val="22"/>
                <w:szCs w:val="22"/>
                <w:lang w:val="es-CO"/>
              </w:rPr>
              <w:t>award</w:t>
            </w:r>
            <w:proofErr w:type="spellEnd"/>
            <w:r w:rsidRPr="00F519FF">
              <w:rPr>
                <w:rFonts w:eastAsia="Verdana" w:cs="Arial"/>
                <w:sz w:val="22"/>
                <w:szCs w:val="22"/>
                <w:lang w:val="es-CO"/>
              </w:rPr>
              <w:t xml:space="preserve"> </w:t>
            </w:r>
            <w:proofErr w:type="spellStart"/>
            <w:r w:rsidRPr="00F519FF">
              <w:rPr>
                <w:rFonts w:eastAsia="Verdana" w:cs="Arial"/>
                <w:sz w:val="22"/>
                <w:szCs w:val="22"/>
                <w:lang w:val="es-CO"/>
              </w:rPr>
              <w:t>processes</w:t>
            </w:r>
            <w:proofErr w:type="spellEnd"/>
            <w:r w:rsidRPr="00F519FF">
              <w:rPr>
                <w:rFonts w:eastAsia="Verdana" w:cs="Arial"/>
                <w:sz w:val="22"/>
                <w:szCs w:val="22"/>
                <w:lang w:val="es-CO"/>
              </w:rPr>
              <w:t xml:space="preserve"> in </w:t>
            </w:r>
            <w:proofErr w:type="spellStart"/>
            <w:r w:rsidRPr="00F519FF">
              <w:rPr>
                <w:rFonts w:eastAsia="Verdana" w:cs="Arial"/>
                <w:sz w:val="22"/>
                <w:szCs w:val="22"/>
                <w:lang w:val="es-CO"/>
              </w:rPr>
              <w:t>the</w:t>
            </w:r>
            <w:proofErr w:type="spellEnd"/>
            <w:r w:rsidRPr="00F519FF">
              <w:rPr>
                <w:rFonts w:eastAsia="Verdana" w:cs="Arial"/>
                <w:sz w:val="22"/>
                <w:szCs w:val="22"/>
                <w:lang w:val="es-CO"/>
              </w:rPr>
              <w:t xml:space="preserve"> </w:t>
            </w:r>
            <w:proofErr w:type="spellStart"/>
            <w:r w:rsidRPr="00F519FF">
              <w:rPr>
                <w:rFonts w:eastAsia="Verdana" w:cs="Arial"/>
                <w:sz w:val="22"/>
                <w:szCs w:val="22"/>
                <w:lang w:val="es-CO"/>
              </w:rPr>
              <w:t>Member</w:t>
            </w:r>
            <w:proofErr w:type="spellEnd"/>
            <w:r w:rsidRPr="00F519FF">
              <w:rPr>
                <w:rFonts w:eastAsia="Verdana" w:cs="Arial"/>
                <w:sz w:val="22"/>
                <w:szCs w:val="22"/>
                <w:lang w:val="es-CO"/>
              </w:rPr>
              <w:t xml:space="preserve"> States, </w:t>
            </w:r>
            <w:proofErr w:type="spellStart"/>
            <w:r w:rsidRPr="00F519FF">
              <w:rPr>
                <w:rFonts w:eastAsia="Verdana" w:cs="Arial"/>
                <w:sz w:val="22"/>
                <w:szCs w:val="22"/>
                <w:lang w:val="es-CO"/>
              </w:rPr>
              <w:t>including</w:t>
            </w:r>
            <w:proofErr w:type="spellEnd"/>
            <w:r w:rsidRPr="00F519FF">
              <w:rPr>
                <w:rFonts w:eastAsia="Verdana" w:cs="Arial"/>
                <w:sz w:val="22"/>
                <w:szCs w:val="22"/>
                <w:lang w:val="es-CO"/>
              </w:rPr>
              <w:t xml:space="preserve"> </w:t>
            </w:r>
            <w:proofErr w:type="spellStart"/>
            <w:r w:rsidRPr="00F519FF">
              <w:rPr>
                <w:rFonts w:eastAsia="Verdana" w:cs="Arial"/>
                <w:sz w:val="22"/>
                <w:szCs w:val="22"/>
                <w:lang w:val="es-CO"/>
              </w:rPr>
              <w:t>the</w:t>
            </w:r>
            <w:proofErr w:type="spellEnd"/>
            <w:r w:rsidRPr="00F519FF">
              <w:rPr>
                <w:rFonts w:eastAsia="Verdana" w:cs="Arial"/>
                <w:sz w:val="22"/>
                <w:szCs w:val="22"/>
                <w:lang w:val="es-CO"/>
              </w:rPr>
              <w:t xml:space="preserve"> </w:t>
            </w:r>
            <w:proofErr w:type="spellStart"/>
            <w:r w:rsidRPr="00F519FF">
              <w:rPr>
                <w:rFonts w:eastAsia="Verdana" w:cs="Arial"/>
                <w:sz w:val="22"/>
                <w:szCs w:val="22"/>
                <w:lang w:val="es-CO"/>
              </w:rPr>
              <w:t>effects</w:t>
            </w:r>
            <w:proofErr w:type="spellEnd"/>
            <w:r w:rsidRPr="00F519FF">
              <w:rPr>
                <w:rFonts w:eastAsia="Verdana" w:cs="Arial"/>
                <w:sz w:val="22"/>
                <w:szCs w:val="22"/>
                <w:lang w:val="es-CO"/>
              </w:rPr>
              <w:t xml:space="preserve"> </w:t>
            </w:r>
            <w:proofErr w:type="spellStart"/>
            <w:r w:rsidRPr="00F519FF">
              <w:rPr>
                <w:rFonts w:eastAsia="Verdana" w:cs="Arial"/>
                <w:sz w:val="22"/>
                <w:szCs w:val="22"/>
                <w:lang w:val="es-CO"/>
              </w:rPr>
              <w:t>of</w:t>
            </w:r>
            <w:proofErr w:type="spellEnd"/>
            <w:r w:rsidRPr="00F519FF">
              <w:rPr>
                <w:rFonts w:eastAsia="Verdana" w:cs="Arial"/>
                <w:sz w:val="22"/>
                <w:szCs w:val="22"/>
                <w:lang w:val="es-CO"/>
              </w:rPr>
              <w:t xml:space="preserve"> </w:t>
            </w:r>
            <w:proofErr w:type="spellStart"/>
            <w:r w:rsidRPr="00F519FF">
              <w:rPr>
                <w:rFonts w:eastAsia="Verdana" w:cs="Arial"/>
                <w:sz w:val="22"/>
                <w:szCs w:val="22"/>
                <w:lang w:val="es-CO"/>
              </w:rPr>
              <w:t>applying</w:t>
            </w:r>
            <w:proofErr w:type="spellEnd"/>
            <w:r w:rsidRPr="00F519FF">
              <w:rPr>
                <w:rFonts w:eastAsia="Verdana" w:cs="Arial"/>
                <w:sz w:val="22"/>
                <w:szCs w:val="22"/>
                <w:lang w:val="es-CO"/>
              </w:rPr>
              <w:t xml:space="preserve"> </w:t>
            </w:r>
            <w:proofErr w:type="spellStart"/>
            <w:r w:rsidRPr="00F519FF">
              <w:rPr>
                <w:rFonts w:eastAsia="Verdana" w:cs="Arial"/>
                <w:sz w:val="22"/>
                <w:szCs w:val="22"/>
                <w:lang w:val="es-CO"/>
              </w:rPr>
              <w:t>the</w:t>
            </w:r>
            <w:proofErr w:type="spellEnd"/>
            <w:r w:rsidRPr="00F519FF">
              <w:rPr>
                <w:rFonts w:eastAsia="Verdana" w:cs="Arial"/>
                <w:sz w:val="22"/>
                <w:szCs w:val="22"/>
                <w:lang w:val="es-CO"/>
              </w:rPr>
              <w:t xml:space="preserve"> </w:t>
            </w:r>
            <w:proofErr w:type="spellStart"/>
            <w:r w:rsidRPr="00F519FF">
              <w:rPr>
                <w:rFonts w:eastAsia="Verdana" w:cs="Arial"/>
                <w:sz w:val="22"/>
                <w:szCs w:val="22"/>
                <w:lang w:val="es-CO"/>
              </w:rPr>
              <w:t>European</w:t>
            </w:r>
            <w:proofErr w:type="spellEnd"/>
            <w:r w:rsidRPr="00F519FF">
              <w:rPr>
                <w:rFonts w:eastAsia="Verdana" w:cs="Arial"/>
                <w:sz w:val="22"/>
                <w:szCs w:val="22"/>
                <w:lang w:val="es-CO"/>
              </w:rPr>
              <w:t xml:space="preserve"> Electronic </w:t>
            </w:r>
            <w:proofErr w:type="spellStart"/>
            <w:r w:rsidRPr="00F519FF">
              <w:rPr>
                <w:rFonts w:eastAsia="Verdana" w:cs="Arial"/>
                <w:sz w:val="22"/>
                <w:szCs w:val="22"/>
                <w:lang w:val="es-CO"/>
              </w:rPr>
              <w:t>Communications</w:t>
            </w:r>
            <w:proofErr w:type="spellEnd"/>
            <w:r w:rsidRPr="00F519FF">
              <w:rPr>
                <w:rFonts w:eastAsia="Verdana" w:cs="Arial"/>
                <w:sz w:val="22"/>
                <w:szCs w:val="22"/>
                <w:lang w:val="es-CO"/>
              </w:rPr>
              <w:t xml:space="preserve"> Code</w:t>
            </w:r>
            <w:r w:rsidRPr="00F519FF">
              <w:rPr>
                <w:rFonts w:eastAsia="Verdana" w:cs="Arial"/>
                <w:i/>
                <w:iCs/>
                <w:sz w:val="22"/>
                <w:szCs w:val="22"/>
                <w:lang w:val="es-CO"/>
              </w:rPr>
              <w:t>”</w:t>
            </w:r>
            <w:r w:rsidRPr="00F519FF">
              <w:rPr>
                <w:rFonts w:eastAsia="Verdana" w:cs="Arial"/>
                <w:sz w:val="22"/>
                <w:szCs w:val="22"/>
                <w:lang w:val="es-CO"/>
              </w:rPr>
              <w:t xml:space="preserve"> que la adjudicación temprana del espectro es beneficiosa para el despliegue de la red, y se asocia con mejores resultados en lo que respecta a la cobertura de la población con tecnología 5G y la disponibilidad más temprana de dos redes 5G por Estado miembro.</w:t>
            </w:r>
          </w:p>
          <w:p w14:paraId="1810DA72" w14:textId="77777777" w:rsidR="00357BC8" w:rsidRPr="00FF500C" w:rsidRDefault="00357BC8" w:rsidP="00357BC8">
            <w:pPr>
              <w:pStyle w:val="Prrafodelista"/>
              <w:jc w:val="both"/>
              <w:rPr>
                <w:lang w:val="es-CO"/>
              </w:rPr>
            </w:pPr>
          </w:p>
          <w:p w14:paraId="5998FA5D" w14:textId="77777777" w:rsidR="00357BC8" w:rsidRPr="006E6F0E" w:rsidRDefault="00357BC8" w:rsidP="00357BC8">
            <w:pPr>
              <w:pStyle w:val="Prrafodelista"/>
              <w:jc w:val="both"/>
              <w:rPr>
                <w:lang w:val="es-CO"/>
              </w:rPr>
            </w:pPr>
          </w:p>
          <w:p w14:paraId="5CC9AF67" w14:textId="3B34E79D" w:rsidR="00357BC8" w:rsidRPr="00F519FF" w:rsidRDefault="00357BC8" w:rsidP="00357BC8">
            <w:pPr>
              <w:pStyle w:val="Prrafodelista"/>
              <w:numPr>
                <w:ilvl w:val="0"/>
                <w:numId w:val="49"/>
              </w:numPr>
              <w:jc w:val="both"/>
              <w:rPr>
                <w:color w:val="000000" w:themeColor="text1"/>
                <w:lang w:val="es-CO"/>
              </w:rPr>
            </w:pPr>
            <w:r w:rsidRPr="00F519FF">
              <w:rPr>
                <w:rFonts w:eastAsia="Arial" w:cs="Arial"/>
                <w:b/>
                <w:bCs/>
                <w:color w:val="000000" w:themeColor="text1"/>
                <w:sz w:val="22"/>
                <w:szCs w:val="22"/>
                <w:lang w:val="es-CO"/>
              </w:rPr>
              <w:t>EL ANÁLISIS DEL IMPACTO MEDIOAMBIENTAL, INCLUYENDO EL ANÁLISIS DE SOSTENIBILIDAD MEDIOAMBIENTAL CUANDO SE REQUIERA.</w:t>
            </w:r>
          </w:p>
          <w:p w14:paraId="405AF8A8" w14:textId="77777777" w:rsidR="00357BC8" w:rsidRPr="00FF500C" w:rsidRDefault="00357BC8" w:rsidP="00357BC8">
            <w:pPr>
              <w:jc w:val="both"/>
              <w:rPr>
                <w:rFonts w:eastAsia="Arial" w:cs="Arial"/>
                <w:color w:val="D13438"/>
                <w:sz w:val="22"/>
                <w:szCs w:val="22"/>
                <w:lang w:val="es-CO"/>
              </w:rPr>
            </w:pPr>
          </w:p>
          <w:p w14:paraId="7D0210A1" w14:textId="77777777" w:rsidR="00357BC8" w:rsidRPr="00F519FF" w:rsidRDefault="00357BC8" w:rsidP="00357BC8">
            <w:pPr>
              <w:jc w:val="both"/>
              <w:rPr>
                <w:rFonts w:eastAsia="Arial" w:cs="Arial"/>
                <w:color w:val="000000" w:themeColor="text1"/>
                <w:sz w:val="22"/>
                <w:szCs w:val="22"/>
                <w:lang w:val="es-CO"/>
              </w:rPr>
            </w:pPr>
            <w:r w:rsidRPr="00F519FF">
              <w:rPr>
                <w:rFonts w:eastAsia="Arial" w:cs="Arial"/>
                <w:color w:val="000000" w:themeColor="text1"/>
                <w:sz w:val="22"/>
                <w:szCs w:val="22"/>
              </w:rPr>
              <w:t>La norma por expedir no genera impacto medioambiental.</w:t>
            </w:r>
          </w:p>
          <w:p w14:paraId="5344FB41" w14:textId="77777777" w:rsidR="00357BC8" w:rsidRPr="00FF500C" w:rsidRDefault="00357BC8" w:rsidP="00357BC8">
            <w:pPr>
              <w:jc w:val="both"/>
              <w:rPr>
                <w:rFonts w:eastAsia="Arial" w:cs="Arial"/>
                <w:b/>
                <w:bCs/>
                <w:color w:val="D13438"/>
                <w:sz w:val="22"/>
                <w:szCs w:val="22"/>
                <w:u w:val="single"/>
                <w:lang w:val="es-CO"/>
              </w:rPr>
            </w:pPr>
          </w:p>
          <w:p w14:paraId="1867D5BE" w14:textId="77777777" w:rsidR="00357BC8" w:rsidRPr="00F519FF" w:rsidRDefault="00357BC8" w:rsidP="00357BC8">
            <w:pPr>
              <w:pStyle w:val="Prrafodelista"/>
              <w:numPr>
                <w:ilvl w:val="0"/>
                <w:numId w:val="49"/>
              </w:numPr>
              <w:jc w:val="both"/>
              <w:rPr>
                <w:color w:val="000000" w:themeColor="text1"/>
                <w:lang w:val="es-CO"/>
              </w:rPr>
            </w:pPr>
            <w:r w:rsidRPr="00F519FF">
              <w:rPr>
                <w:rFonts w:eastAsia="Arial" w:cs="Arial"/>
                <w:b/>
                <w:bCs/>
                <w:color w:val="000000" w:themeColor="text1"/>
                <w:sz w:val="22"/>
                <w:szCs w:val="22"/>
                <w:lang w:val="es-CO"/>
              </w:rPr>
              <w:t>EL ANÁLISIS DEL IMPACTO SOBRE EL PATRIMONIO CULTURAL DE LA NACIÓN, CUANDO SE REQUIERA.</w:t>
            </w:r>
          </w:p>
          <w:p w14:paraId="627F876E" w14:textId="77777777" w:rsidR="00357BC8" w:rsidRPr="00F519FF" w:rsidRDefault="00357BC8" w:rsidP="00357BC8">
            <w:pPr>
              <w:pStyle w:val="Prrafodelista"/>
              <w:jc w:val="both"/>
              <w:rPr>
                <w:color w:val="000000" w:themeColor="text1"/>
                <w:lang w:val="es-CO"/>
              </w:rPr>
            </w:pPr>
          </w:p>
          <w:p w14:paraId="517B63A6" w14:textId="77777777" w:rsidR="00357BC8" w:rsidRPr="00F519FF" w:rsidRDefault="00357BC8" w:rsidP="00357BC8">
            <w:pPr>
              <w:jc w:val="both"/>
              <w:rPr>
                <w:color w:val="000000" w:themeColor="text1"/>
                <w:lang w:val="es-CO"/>
              </w:rPr>
            </w:pPr>
            <w:r w:rsidRPr="006E6F0E">
              <w:rPr>
                <w:rFonts w:eastAsia="Arial" w:cs="Arial"/>
                <w:color w:val="000000" w:themeColor="text1"/>
                <w:sz w:val="22"/>
                <w:szCs w:val="22"/>
                <w:lang w:val="es-CO"/>
              </w:rPr>
              <w:t>La norma para expedir no</w:t>
            </w:r>
            <w:r w:rsidRPr="00F519FF">
              <w:rPr>
                <w:rFonts w:eastAsia="Arial" w:cs="Arial"/>
                <w:color w:val="000000" w:themeColor="text1"/>
                <w:sz w:val="22"/>
                <w:szCs w:val="22"/>
                <w:lang w:val="es-CO"/>
              </w:rPr>
              <w:t xml:space="preserve"> genera impacto sobre el patrimonio cultural de la nación.</w:t>
            </w:r>
          </w:p>
          <w:p w14:paraId="05AAA53C" w14:textId="77777777" w:rsidR="00357BC8" w:rsidRPr="00F519FF" w:rsidRDefault="00357BC8" w:rsidP="00357BC8">
            <w:pPr>
              <w:pStyle w:val="Prrafodelista"/>
              <w:jc w:val="both"/>
              <w:rPr>
                <w:rFonts w:eastAsia="Arial" w:cs="Arial"/>
                <w:b/>
                <w:bCs/>
                <w:color w:val="000000" w:themeColor="text1"/>
                <w:sz w:val="22"/>
                <w:szCs w:val="22"/>
                <w:lang w:val="es-CO"/>
              </w:rPr>
            </w:pPr>
          </w:p>
          <w:p w14:paraId="7E919EAC" w14:textId="77777777" w:rsidR="00357BC8" w:rsidRPr="00F519FF" w:rsidRDefault="00357BC8" w:rsidP="00357BC8">
            <w:pPr>
              <w:pStyle w:val="Prrafodelista"/>
              <w:numPr>
                <w:ilvl w:val="0"/>
                <w:numId w:val="49"/>
              </w:numPr>
              <w:jc w:val="both"/>
              <w:rPr>
                <w:color w:val="000000" w:themeColor="text1"/>
                <w:lang w:val="es-CO"/>
              </w:rPr>
            </w:pPr>
            <w:r w:rsidRPr="00F519FF">
              <w:rPr>
                <w:rFonts w:eastAsia="Arial" w:cs="Arial"/>
                <w:b/>
                <w:bCs/>
                <w:color w:val="000000" w:themeColor="text1"/>
                <w:sz w:val="22"/>
                <w:szCs w:val="22"/>
                <w:lang w:val="es-CO"/>
              </w:rPr>
              <w:t>EL ANÁLISIS ECONÓMICO, FINANCIERO, FISCAL O ADMINISTRATIVO DE LOS POSIBLES EFECTOS DEL ACTO DE CARÁCTER GENERAL Y ABSTRACTO. EN CASO DE QUE DICHO TIPO DE REGULACIÓN CUENTE CON UNA METODOLOGÍA DE ANÁLISIS ECONÓMICO ESTABLECIDA POR LA LEY O ACTO ADMINISTRATIVO, SE PODRÁ ANEXAR PARA TAL FIN.</w:t>
            </w:r>
          </w:p>
          <w:p w14:paraId="33812F4F" w14:textId="77777777" w:rsidR="00357BC8" w:rsidRPr="00F519FF" w:rsidRDefault="00357BC8" w:rsidP="00357BC8">
            <w:pPr>
              <w:pStyle w:val="Prrafodelista"/>
              <w:jc w:val="both"/>
              <w:rPr>
                <w:color w:val="000000" w:themeColor="text1"/>
                <w:lang w:val="es-CO"/>
              </w:rPr>
            </w:pPr>
          </w:p>
          <w:p w14:paraId="7E00C93B" w14:textId="77777777" w:rsidR="00357BC8" w:rsidRPr="00F519FF" w:rsidRDefault="00357BC8" w:rsidP="00357BC8">
            <w:pPr>
              <w:jc w:val="both"/>
              <w:rPr>
                <w:rFonts w:eastAsia="Arial" w:cs="Arial"/>
                <w:color w:val="000000" w:themeColor="text1"/>
                <w:sz w:val="22"/>
                <w:szCs w:val="22"/>
              </w:rPr>
            </w:pPr>
            <w:r w:rsidRPr="00F519FF">
              <w:rPr>
                <w:rFonts w:eastAsia="Arial" w:cs="Arial"/>
                <w:color w:val="000000" w:themeColor="text1"/>
                <w:sz w:val="22"/>
                <w:szCs w:val="22"/>
              </w:rPr>
              <w:t>La expedición de la Resolución no implica erogación alguna por parte del Estado.</w:t>
            </w:r>
          </w:p>
          <w:p w14:paraId="7F34CCF9" w14:textId="77777777" w:rsidR="00357BC8" w:rsidRPr="00F519FF" w:rsidRDefault="00357BC8" w:rsidP="00357BC8">
            <w:pPr>
              <w:pStyle w:val="Prrafodelista"/>
              <w:jc w:val="both"/>
              <w:rPr>
                <w:rFonts w:eastAsia="Arial" w:cs="Arial"/>
                <w:color w:val="000000" w:themeColor="text1"/>
                <w:sz w:val="22"/>
                <w:szCs w:val="22"/>
              </w:rPr>
            </w:pPr>
          </w:p>
          <w:p w14:paraId="27A86611" w14:textId="77777777" w:rsidR="00357BC8" w:rsidRPr="00F519FF" w:rsidRDefault="00357BC8" w:rsidP="00357BC8">
            <w:pPr>
              <w:pStyle w:val="Prrafodelista"/>
              <w:numPr>
                <w:ilvl w:val="0"/>
                <w:numId w:val="49"/>
              </w:numPr>
              <w:jc w:val="both"/>
              <w:rPr>
                <w:rFonts w:eastAsia="Arial" w:cs="Arial"/>
                <w:color w:val="000000" w:themeColor="text1"/>
                <w:sz w:val="22"/>
                <w:szCs w:val="22"/>
                <w:lang w:val="es-CO"/>
              </w:rPr>
            </w:pPr>
            <w:r w:rsidRPr="00F519FF">
              <w:rPr>
                <w:rFonts w:eastAsia="Arial" w:cs="Arial"/>
                <w:b/>
                <w:bCs/>
                <w:color w:val="000000" w:themeColor="text1"/>
                <w:sz w:val="22"/>
                <w:szCs w:val="22"/>
                <w:lang w:val="es-CO"/>
              </w:rPr>
              <w:t>LA VIABILIDAD O DISPONIBILIDAD PRESUPUESTAL EXPEDIDA POR EL MINISTERIO DE HACIENDA Y CRÉDITO PÚBLICO, CUANDO SE REQUIERA.</w:t>
            </w:r>
          </w:p>
          <w:p w14:paraId="02606C87" w14:textId="77777777" w:rsidR="00357BC8" w:rsidRPr="00F519FF" w:rsidRDefault="00357BC8" w:rsidP="00357BC8">
            <w:pPr>
              <w:jc w:val="both"/>
              <w:rPr>
                <w:rFonts w:eastAsia="Arial" w:cs="Arial"/>
                <w:color w:val="000000" w:themeColor="text1"/>
                <w:sz w:val="22"/>
                <w:szCs w:val="22"/>
                <w:lang w:val="es-CO"/>
              </w:rPr>
            </w:pPr>
          </w:p>
          <w:p w14:paraId="48301C0F" w14:textId="77777777" w:rsidR="00357BC8" w:rsidRPr="00F519FF" w:rsidRDefault="00357BC8" w:rsidP="00357BC8">
            <w:pPr>
              <w:spacing w:line="259" w:lineRule="auto"/>
              <w:jc w:val="both"/>
              <w:rPr>
                <w:rFonts w:eastAsia="Arial" w:cs="Arial"/>
                <w:color w:val="000000" w:themeColor="text1"/>
                <w:sz w:val="22"/>
                <w:szCs w:val="22"/>
                <w:lang w:val="es-CO"/>
              </w:rPr>
            </w:pPr>
            <w:r w:rsidRPr="00F519FF">
              <w:rPr>
                <w:rFonts w:eastAsia="Arial" w:cs="Arial"/>
                <w:color w:val="000000" w:themeColor="text1"/>
                <w:sz w:val="22"/>
                <w:szCs w:val="22"/>
              </w:rPr>
              <w:t>En razón a que la expedición de la Resolución objeto de esta memoria justificativa no genera erogación alguna de recursos por parte del Estado, no se requiere disponibilidad presupuestal para su implementación.</w:t>
            </w:r>
          </w:p>
          <w:p w14:paraId="78B13AF3" w14:textId="77777777" w:rsidR="00357BC8" w:rsidRPr="00F519FF" w:rsidRDefault="00357BC8" w:rsidP="00357BC8">
            <w:pPr>
              <w:jc w:val="both"/>
              <w:rPr>
                <w:rFonts w:eastAsia="Arial" w:cs="Arial"/>
                <w:color w:val="000000" w:themeColor="text1"/>
                <w:sz w:val="22"/>
                <w:szCs w:val="22"/>
                <w:lang w:val="es-CO"/>
              </w:rPr>
            </w:pPr>
          </w:p>
          <w:p w14:paraId="422F6268" w14:textId="77777777" w:rsidR="00357BC8" w:rsidRPr="00F519FF" w:rsidRDefault="00357BC8" w:rsidP="00357BC8">
            <w:pPr>
              <w:jc w:val="both"/>
              <w:rPr>
                <w:rFonts w:eastAsia="Arial" w:cs="Arial"/>
                <w:b/>
                <w:bCs/>
                <w:color w:val="000000" w:themeColor="text1"/>
                <w:sz w:val="22"/>
                <w:szCs w:val="22"/>
                <w:lang w:val="es-CO"/>
              </w:rPr>
            </w:pPr>
          </w:p>
          <w:p w14:paraId="2EDEF970" w14:textId="77777777" w:rsidR="00357BC8" w:rsidRPr="00F519FF" w:rsidRDefault="00357BC8" w:rsidP="00357BC8">
            <w:pPr>
              <w:pStyle w:val="Prrafodelista"/>
              <w:numPr>
                <w:ilvl w:val="0"/>
                <w:numId w:val="49"/>
              </w:numPr>
              <w:jc w:val="both"/>
              <w:rPr>
                <w:rFonts w:eastAsia="Arial" w:cs="Arial"/>
                <w:color w:val="000000" w:themeColor="text1"/>
                <w:sz w:val="22"/>
                <w:szCs w:val="22"/>
                <w:lang w:val="es-CO"/>
              </w:rPr>
            </w:pPr>
            <w:r w:rsidRPr="00F519FF">
              <w:rPr>
                <w:rFonts w:eastAsia="Arial" w:cs="Arial"/>
                <w:b/>
                <w:bCs/>
                <w:color w:val="000000" w:themeColor="text1"/>
                <w:sz w:val="22"/>
                <w:szCs w:val="22"/>
                <w:lang w:val="es-CO"/>
              </w:rPr>
              <w:t xml:space="preserve">CUALQUIER OTRO ASPECTO QUE LA ENTIDAD PRODUCTORA DEL PROYECTO NORMATIVO CONSIDERE RELEVANTE O DE IMPORTANCIA PARA LA ADOPCIÓN DE LA DECISIÓN.  </w:t>
            </w:r>
          </w:p>
          <w:p w14:paraId="3B14065E" w14:textId="77777777" w:rsidR="00357BC8" w:rsidRDefault="00357BC8" w:rsidP="00357BC8">
            <w:pPr>
              <w:spacing w:before="240" w:after="240"/>
              <w:jc w:val="both"/>
              <w:rPr>
                <w:rFonts w:eastAsia="Arial" w:cs="Arial"/>
                <w:color w:val="000000" w:themeColor="text1"/>
                <w:sz w:val="22"/>
                <w:szCs w:val="22"/>
              </w:rPr>
            </w:pPr>
            <w:r w:rsidRPr="00F519FF">
              <w:rPr>
                <w:rFonts w:eastAsia="Arial" w:cs="Arial"/>
                <w:color w:val="000000" w:themeColor="text1"/>
                <w:sz w:val="22"/>
                <w:szCs w:val="22"/>
              </w:rPr>
              <w:lastRenderedPageBreak/>
              <w:t>En cuanto a los aspectos técnicos, la Agencia Nacional del Espectro elaboró y presentó al Ministerio de Tecnologías de la Información y las Comunicaciones el estudio técnico que sustenta el proyecto normativo, en el cual se analizan, entre otros elementos, la disponibilidad actual del espectro, el comportamiento de las asignaciones en distintos grupos de bandas, así como identificación de mecanismos para la asignación de espectro a través de subasta y la importancia de asignar espectro para el bienestar social.</w:t>
            </w:r>
          </w:p>
          <w:p w14:paraId="4CD27D53" w14:textId="0145FF82" w:rsidR="00734827" w:rsidRPr="00357BC8" w:rsidRDefault="00357BC8" w:rsidP="00357BC8">
            <w:pPr>
              <w:spacing w:before="240" w:after="240"/>
              <w:jc w:val="both"/>
              <w:rPr>
                <w:rFonts w:eastAsia="Arial" w:cs="Arial"/>
                <w:color w:val="000000" w:themeColor="text1"/>
                <w:sz w:val="22"/>
                <w:szCs w:val="22"/>
              </w:rPr>
            </w:pPr>
            <w:r w:rsidRPr="00F519FF">
              <w:rPr>
                <w:rFonts w:eastAsia="Arial" w:cs="Arial"/>
                <w:color w:val="000000" w:themeColor="text1"/>
                <w:sz w:val="22"/>
                <w:szCs w:val="22"/>
              </w:rPr>
              <w:t>Dicho análisis permite contar con insumos técnicos para el planteamiento de un mecanismo de asignación estándar de espectro remante, en la medida en que integra consideraciones económicas e identificación de mecanismos de asignación teniendo en cuenta objetivos y complejidad de cada proceso.</w:t>
            </w:r>
          </w:p>
        </w:tc>
      </w:tr>
      <w:tr w:rsidR="00DF60FD" w:rsidRPr="009F7CED" w14:paraId="2C8A0E56" w14:textId="77777777" w:rsidTr="0075705D">
        <w:trPr>
          <w:trHeight w:val="47"/>
        </w:trPr>
        <w:tc>
          <w:tcPr>
            <w:tcW w:w="10774" w:type="dxa"/>
            <w:gridSpan w:val="3"/>
            <w:shd w:val="clear" w:color="auto" w:fill="FFFFFF"/>
            <w:vAlign w:val="center"/>
          </w:tcPr>
          <w:p w14:paraId="2EF9499E" w14:textId="77777777" w:rsidR="00251FCE" w:rsidRPr="009F7CED" w:rsidRDefault="00251FCE" w:rsidP="0075705D">
            <w:pPr>
              <w:jc w:val="both"/>
              <w:rPr>
                <w:lang w:eastAsia="es-CO"/>
              </w:rPr>
            </w:pPr>
          </w:p>
        </w:tc>
      </w:tr>
      <w:tr w:rsidR="00DF60FD" w:rsidRPr="009F7CED" w14:paraId="1D35CE88"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1B77C6B6" w14:textId="45F05244" w:rsidR="00795C6B" w:rsidRPr="00795C6B" w:rsidRDefault="00795C6B" w:rsidP="0075705D">
            <w:pPr>
              <w:pStyle w:val="Listavistosa-nfasis11"/>
              <w:spacing w:line="240" w:lineRule="auto"/>
              <w:ind w:left="494"/>
              <w:jc w:val="both"/>
              <w:rPr>
                <w:rFonts w:ascii="Arial" w:hAnsi="Arial" w:cs="Arial"/>
                <w:i/>
                <w:color w:val="808080"/>
                <w:sz w:val="18"/>
              </w:rPr>
            </w:pPr>
            <w:r w:rsidRPr="00795C6B">
              <w:rPr>
                <w:rFonts w:ascii="Arial" w:hAnsi="Arial" w:cs="Arial"/>
                <w:i/>
                <w:color w:val="808080"/>
                <w:sz w:val="18"/>
              </w:rPr>
              <w:t>(Por favor indique el ámbito de aplicación o sujetos obligados de la norma)</w:t>
            </w:r>
          </w:p>
          <w:p w14:paraId="5D0EE678" w14:textId="77777777" w:rsidR="00795C6B" w:rsidRDefault="00795C6B" w:rsidP="0075705D">
            <w:pPr>
              <w:rPr>
                <w:rFonts w:cs="Arial"/>
                <w:b/>
                <w:color w:val="000000"/>
                <w:sz w:val="22"/>
                <w:szCs w:val="22"/>
              </w:rPr>
            </w:pPr>
          </w:p>
          <w:p w14:paraId="1FAC65D5" w14:textId="77777777" w:rsidR="00795C6B" w:rsidRDefault="00795C6B" w:rsidP="0075705D">
            <w:pPr>
              <w:rPr>
                <w:rFonts w:cs="Arial"/>
                <w:b/>
                <w:color w:val="000000"/>
                <w:sz w:val="22"/>
                <w:szCs w:val="22"/>
              </w:rPr>
            </w:pPr>
          </w:p>
          <w:p w14:paraId="33CB66DC" w14:textId="77777777" w:rsidR="00795C6B" w:rsidRPr="009F7CED" w:rsidRDefault="00795C6B" w:rsidP="0075705D">
            <w:pPr>
              <w:rPr>
                <w:rFonts w:cs="Arial"/>
                <w:iCs/>
                <w:color w:val="000000"/>
                <w:sz w:val="22"/>
                <w:szCs w:val="22"/>
              </w:rPr>
            </w:pPr>
          </w:p>
        </w:tc>
      </w:tr>
      <w:tr w:rsidR="00DF60FD" w:rsidRPr="009F7CED" w14:paraId="568C284A" w14:textId="77777777" w:rsidTr="0075705D">
        <w:trPr>
          <w:trHeight w:val="278"/>
        </w:trPr>
        <w:tc>
          <w:tcPr>
            <w:tcW w:w="10774" w:type="dxa"/>
            <w:gridSpan w:val="3"/>
            <w:tcBorders>
              <w:bottom w:val="single" w:sz="4" w:space="0" w:color="auto"/>
            </w:tcBorders>
            <w:shd w:val="clear" w:color="auto" w:fill="FFFFFF"/>
            <w:vAlign w:val="center"/>
          </w:tcPr>
          <w:p w14:paraId="33A8E311" w14:textId="77777777" w:rsidR="00D05B67" w:rsidRDefault="00D05B67" w:rsidP="00795C6B">
            <w:pPr>
              <w:pBdr>
                <w:top w:val="single" w:sz="4" w:space="1" w:color="auto"/>
                <w:left w:val="single" w:sz="4" w:space="4" w:color="auto"/>
                <w:bottom w:val="single" w:sz="4" w:space="1" w:color="auto"/>
                <w:right w:val="single" w:sz="4" w:space="4" w:color="auto"/>
              </w:pBdr>
              <w:jc w:val="both"/>
              <w:rPr>
                <w:rFonts w:cs="Arial"/>
                <w:sz w:val="22"/>
                <w:szCs w:val="22"/>
                <w:lang w:val="es-CO" w:eastAsia="es-CO"/>
              </w:rPr>
            </w:pPr>
          </w:p>
          <w:p w14:paraId="711BC3D6" w14:textId="77777777" w:rsidR="00795C6B" w:rsidRDefault="00795C6B" w:rsidP="00795C6B">
            <w:pPr>
              <w:pBdr>
                <w:top w:val="single" w:sz="4" w:space="1" w:color="auto"/>
                <w:left w:val="single" w:sz="4" w:space="4" w:color="auto"/>
                <w:bottom w:val="single" w:sz="4" w:space="1" w:color="auto"/>
                <w:right w:val="single" w:sz="4" w:space="4" w:color="auto"/>
              </w:pBdr>
              <w:jc w:val="both"/>
              <w:rPr>
                <w:rFonts w:cs="Arial"/>
                <w:sz w:val="22"/>
                <w:szCs w:val="22"/>
                <w:lang w:val="es-CO" w:eastAsia="es-CO"/>
              </w:rPr>
            </w:pPr>
          </w:p>
          <w:p w14:paraId="5134DF94" w14:textId="77777777" w:rsidR="00795C6B" w:rsidRDefault="00795C6B" w:rsidP="00795C6B">
            <w:pPr>
              <w:pBdr>
                <w:top w:val="single" w:sz="4" w:space="1" w:color="auto"/>
                <w:left w:val="single" w:sz="4" w:space="4" w:color="auto"/>
                <w:bottom w:val="single" w:sz="4" w:space="1" w:color="auto"/>
                <w:right w:val="single" w:sz="4" w:space="4" w:color="auto"/>
              </w:pBdr>
              <w:jc w:val="both"/>
              <w:rPr>
                <w:rFonts w:cs="Arial"/>
                <w:sz w:val="22"/>
                <w:szCs w:val="22"/>
                <w:lang w:val="es-CO" w:eastAsia="es-CO"/>
              </w:rPr>
            </w:pPr>
          </w:p>
          <w:p w14:paraId="74720DE6" w14:textId="77777777" w:rsidR="00795C6B" w:rsidRPr="009F7CED" w:rsidRDefault="00795C6B" w:rsidP="00795C6B">
            <w:pPr>
              <w:pBdr>
                <w:top w:val="single" w:sz="4" w:space="1" w:color="auto"/>
                <w:left w:val="single" w:sz="4" w:space="4" w:color="auto"/>
                <w:bottom w:val="single" w:sz="4" w:space="1" w:color="auto"/>
                <w:right w:val="single" w:sz="4" w:space="4" w:color="auto"/>
              </w:pBdr>
              <w:jc w:val="both"/>
              <w:rPr>
                <w:rFonts w:cs="Arial"/>
                <w:sz w:val="22"/>
                <w:szCs w:val="22"/>
                <w:lang w:val="es-CO" w:eastAsia="es-CO"/>
              </w:rPr>
            </w:pPr>
          </w:p>
        </w:tc>
      </w:tr>
      <w:tr w:rsidR="00DF60FD" w:rsidRPr="009F7CED" w14:paraId="6EEDB6EA" w14:textId="77777777" w:rsidTr="0075705D">
        <w:trPr>
          <w:trHeight w:val="925"/>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33FBAC9" w14:textId="77777777" w:rsidR="00843EFF" w:rsidRPr="00795C6B" w:rsidRDefault="00843EFF" w:rsidP="00357BC8">
            <w:pPr>
              <w:pStyle w:val="Listavistosa-nfasis11"/>
              <w:jc w:val="both"/>
              <w:rPr>
                <w:rFonts w:cs="Arial"/>
              </w:rPr>
            </w:pPr>
          </w:p>
        </w:tc>
      </w:tr>
      <w:tr w:rsidR="00DF60FD" w:rsidRPr="009F7CED" w14:paraId="5561A09B" w14:textId="77777777" w:rsidTr="0075705D">
        <w:trPr>
          <w:trHeight w:val="66"/>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08F1FA0" w14:textId="77777777" w:rsidR="00843EFF" w:rsidRPr="009F7CED" w:rsidRDefault="00843EFF" w:rsidP="00A161B9">
            <w:pPr>
              <w:rPr>
                <w:rFonts w:cs="Arial"/>
                <w:b/>
                <w:color w:val="000000"/>
                <w:sz w:val="22"/>
                <w:szCs w:val="22"/>
              </w:rPr>
            </w:pPr>
          </w:p>
          <w:p w14:paraId="57A29785" w14:textId="77777777" w:rsidR="00F44A2E" w:rsidRDefault="00F44A2E" w:rsidP="00F44A2E">
            <w:pPr>
              <w:jc w:val="both"/>
              <w:rPr>
                <w:sz w:val="22"/>
                <w:szCs w:val="22"/>
                <w:lang w:eastAsia="es-CO"/>
              </w:rPr>
            </w:pPr>
          </w:p>
          <w:p w14:paraId="4AAA52F6" w14:textId="77777777" w:rsidR="00696582" w:rsidRDefault="00696582" w:rsidP="00F44A2E">
            <w:pPr>
              <w:jc w:val="both"/>
              <w:rPr>
                <w:sz w:val="22"/>
                <w:szCs w:val="22"/>
                <w:lang w:eastAsia="es-CO"/>
              </w:rPr>
            </w:pPr>
          </w:p>
          <w:p w14:paraId="67DDB395" w14:textId="77777777" w:rsidR="00F77DB8" w:rsidRPr="00F77DB8" w:rsidRDefault="00F77DB8" w:rsidP="00F77DB8">
            <w:pPr>
              <w:rPr>
                <w:sz w:val="22"/>
                <w:szCs w:val="22"/>
                <w:lang w:eastAsia="es-CO"/>
              </w:rPr>
            </w:pPr>
          </w:p>
          <w:p w14:paraId="139BA6FB" w14:textId="033D75D2" w:rsidR="00F77DB8" w:rsidRPr="00F77DB8" w:rsidRDefault="00F77DB8" w:rsidP="00F77DB8">
            <w:pPr>
              <w:rPr>
                <w:sz w:val="22"/>
                <w:szCs w:val="22"/>
                <w:lang w:eastAsia="es-CO"/>
              </w:rPr>
            </w:pPr>
          </w:p>
        </w:tc>
      </w:tr>
      <w:tr w:rsidR="00DF60FD" w:rsidRPr="009F7CED" w14:paraId="3380BF08" w14:textId="77777777" w:rsidTr="00696582">
        <w:trPr>
          <w:trHeight w:val="1295"/>
        </w:trPr>
        <w:tc>
          <w:tcPr>
            <w:tcW w:w="10774" w:type="dxa"/>
            <w:gridSpan w:val="3"/>
            <w:tcBorders>
              <w:top w:val="single" w:sz="4" w:space="0" w:color="auto"/>
              <w:bottom w:val="single" w:sz="4" w:space="0" w:color="auto"/>
            </w:tcBorders>
            <w:shd w:val="clear" w:color="auto" w:fill="FFFFFF"/>
            <w:vAlign w:val="center"/>
          </w:tcPr>
          <w:p w14:paraId="4C14822C" w14:textId="77777777" w:rsidR="00D05B67" w:rsidRDefault="00D05B67" w:rsidP="00FA4A9E">
            <w:pPr>
              <w:jc w:val="both"/>
              <w:rPr>
                <w:rFonts w:cs="Arial"/>
                <w:b/>
                <w:color w:val="000000"/>
                <w:sz w:val="22"/>
                <w:szCs w:val="22"/>
              </w:rPr>
            </w:pPr>
          </w:p>
          <w:p w14:paraId="49D2B544" w14:textId="77777777" w:rsidR="00696582" w:rsidRPr="009F7CED" w:rsidRDefault="00696582" w:rsidP="00FA4A9E">
            <w:pPr>
              <w:jc w:val="both"/>
              <w:rPr>
                <w:rFonts w:cs="Arial"/>
                <w:b/>
                <w:color w:val="000000"/>
                <w:sz w:val="22"/>
                <w:szCs w:val="22"/>
              </w:rPr>
            </w:pPr>
          </w:p>
        </w:tc>
      </w:tr>
      <w:tr w:rsidR="00DF60FD" w:rsidRPr="009F7CED" w14:paraId="7FFFE844" w14:textId="77777777" w:rsidTr="00696582">
        <w:trPr>
          <w:trHeight w:val="317"/>
        </w:trPr>
        <w:tc>
          <w:tcPr>
            <w:tcW w:w="10774" w:type="dxa"/>
            <w:gridSpan w:val="3"/>
            <w:tcBorders>
              <w:top w:val="single" w:sz="4" w:space="0" w:color="auto"/>
              <w:bottom w:val="single" w:sz="4" w:space="0" w:color="auto"/>
            </w:tcBorders>
            <w:shd w:val="clear" w:color="auto" w:fill="FFFFFF"/>
            <w:vAlign w:val="center"/>
          </w:tcPr>
          <w:p w14:paraId="6D2D5AC3" w14:textId="235BAA7F" w:rsidR="00D05B67" w:rsidRPr="009F7CED" w:rsidRDefault="00D05B67" w:rsidP="00357BC8">
            <w:pPr>
              <w:jc w:val="both"/>
              <w:rPr>
                <w:rFonts w:cs="Arial"/>
                <w:sz w:val="22"/>
                <w:szCs w:val="22"/>
              </w:rPr>
            </w:pPr>
          </w:p>
        </w:tc>
      </w:tr>
      <w:tr w:rsidR="00DF60FD" w:rsidRPr="009F7CED" w14:paraId="6A58A95F"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177E7B9B" w14:textId="77777777" w:rsidR="00843EFF" w:rsidRPr="009F7CED" w:rsidRDefault="00843EFF" w:rsidP="00A161B9">
            <w:pPr>
              <w:rPr>
                <w:rFonts w:cs="Arial"/>
                <w:b/>
                <w:color w:val="000000"/>
                <w:sz w:val="22"/>
                <w:szCs w:val="22"/>
              </w:rPr>
            </w:pPr>
          </w:p>
        </w:tc>
      </w:tr>
      <w:tr w:rsidR="00DF60FD" w:rsidRPr="009F7CED" w14:paraId="06548953"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666686F6" w14:textId="77777777" w:rsidR="00DF60FD" w:rsidRPr="009F7CED" w:rsidRDefault="00DF60FD" w:rsidP="00F55DC4">
            <w:pPr>
              <w:jc w:val="both"/>
              <w:rPr>
                <w:rFonts w:cs="Arial"/>
                <w:sz w:val="22"/>
                <w:szCs w:val="22"/>
              </w:rPr>
            </w:pPr>
          </w:p>
        </w:tc>
      </w:tr>
      <w:tr w:rsidR="00DF60FD" w:rsidRPr="009F7CED" w14:paraId="48EE83C9"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7424F596" w14:textId="77777777" w:rsidR="00DF60FD" w:rsidRPr="009F7CED" w:rsidRDefault="00DF60FD" w:rsidP="00A161B9">
            <w:pPr>
              <w:rPr>
                <w:rFonts w:cs="Arial"/>
                <w:color w:val="996633"/>
                <w:sz w:val="22"/>
                <w:szCs w:val="22"/>
              </w:rPr>
            </w:pPr>
          </w:p>
        </w:tc>
      </w:tr>
      <w:tr w:rsidR="00DF60FD" w:rsidRPr="009F7CED" w14:paraId="73EBA1B1"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01429F73" w14:textId="77777777" w:rsidR="00DF60FD" w:rsidRPr="009F7CED" w:rsidRDefault="00DF60FD" w:rsidP="00F55DC4">
            <w:pPr>
              <w:jc w:val="both"/>
              <w:rPr>
                <w:rFonts w:cs="Arial"/>
                <w:sz w:val="22"/>
                <w:szCs w:val="22"/>
              </w:rPr>
            </w:pPr>
          </w:p>
        </w:tc>
      </w:tr>
      <w:tr w:rsidR="00DF60FD" w:rsidRPr="009F7CED" w14:paraId="6D3320AF"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31A6F5DE" w14:textId="77777777" w:rsidR="00DF60FD" w:rsidRPr="009F7CED" w:rsidRDefault="00DF60FD" w:rsidP="00C7294E">
            <w:pPr>
              <w:jc w:val="center"/>
              <w:rPr>
                <w:rFonts w:cs="Arial"/>
                <w:sz w:val="22"/>
                <w:szCs w:val="22"/>
              </w:rPr>
            </w:pPr>
          </w:p>
        </w:tc>
      </w:tr>
      <w:tr w:rsidR="00DF60FD" w:rsidRPr="009F7CED" w14:paraId="24E12D6C"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5D79CE03" w14:textId="77777777" w:rsidR="00DF60FD" w:rsidRPr="009F7CED" w:rsidRDefault="00DF60FD" w:rsidP="00843EFF">
            <w:pPr>
              <w:jc w:val="center"/>
              <w:rPr>
                <w:rFonts w:cs="Arial"/>
                <w:sz w:val="22"/>
                <w:szCs w:val="22"/>
                <w:u w:val="single"/>
              </w:rPr>
            </w:pPr>
          </w:p>
        </w:tc>
      </w:tr>
      <w:tr w:rsidR="00DF60FD" w:rsidRPr="00D965B1" w14:paraId="05769870" w14:textId="77777777" w:rsidTr="00112EF1">
        <w:trPr>
          <w:trHeight w:val="416"/>
        </w:trPr>
        <w:tc>
          <w:tcPr>
            <w:tcW w:w="10774" w:type="dxa"/>
            <w:gridSpan w:val="3"/>
            <w:tcBorders>
              <w:top w:val="single" w:sz="4" w:space="0" w:color="auto"/>
              <w:bottom w:val="single" w:sz="4" w:space="0" w:color="auto"/>
            </w:tcBorders>
            <w:shd w:val="clear" w:color="auto" w:fill="D9D9D9"/>
            <w:vAlign w:val="center"/>
          </w:tcPr>
          <w:p w14:paraId="6D984406" w14:textId="77777777" w:rsidR="00F55DC4" w:rsidRPr="00AF569A" w:rsidRDefault="00DF60FD" w:rsidP="00696582">
            <w:pPr>
              <w:jc w:val="center"/>
              <w:rPr>
                <w:rFonts w:cs="Arial"/>
                <w:sz w:val="22"/>
                <w:szCs w:val="22"/>
              </w:rPr>
            </w:pPr>
            <w:r w:rsidRPr="00AF569A">
              <w:rPr>
                <w:rFonts w:cs="Arial"/>
                <w:b/>
                <w:sz w:val="22"/>
                <w:szCs w:val="22"/>
              </w:rPr>
              <w:t>ANEXOS</w:t>
            </w:r>
            <w:r w:rsidR="00D05B67" w:rsidRPr="00AF569A">
              <w:rPr>
                <w:rFonts w:cs="Arial"/>
                <w:b/>
                <w:sz w:val="22"/>
                <w:szCs w:val="22"/>
              </w:rPr>
              <w:t>:</w:t>
            </w:r>
            <w:r w:rsidR="00696582" w:rsidRPr="00AF569A">
              <w:rPr>
                <w:rFonts w:cs="Arial"/>
                <w:sz w:val="22"/>
                <w:szCs w:val="22"/>
              </w:rPr>
              <w:t xml:space="preserve"> </w:t>
            </w:r>
          </w:p>
        </w:tc>
      </w:tr>
      <w:tr w:rsidR="00D05B67" w:rsidRPr="009F7CED" w14:paraId="527C3750"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31C2B6B6" w14:textId="77777777" w:rsidR="00D05B67" w:rsidRDefault="00D05B67" w:rsidP="00D05B67">
            <w:pPr>
              <w:jc w:val="both"/>
              <w:rPr>
                <w:rFonts w:cs="Arial"/>
                <w:sz w:val="22"/>
                <w:szCs w:val="22"/>
              </w:rPr>
            </w:pPr>
            <w:r>
              <w:rPr>
                <w:rFonts w:cs="Arial"/>
                <w:sz w:val="22"/>
                <w:szCs w:val="22"/>
              </w:rPr>
              <w:t xml:space="preserve">Certificación de cumplimiento de requisitos de consulta, publicidad y de incorporación en la agenda regulatoria </w:t>
            </w:r>
          </w:p>
          <w:p w14:paraId="15E83C89" w14:textId="77777777" w:rsidR="00D05B67" w:rsidRPr="00084B49" w:rsidRDefault="00D05B67" w:rsidP="00D05B67">
            <w:pPr>
              <w:jc w:val="both"/>
              <w:rPr>
                <w:rFonts w:cs="Arial"/>
                <w:i/>
                <w:color w:val="808080"/>
                <w:sz w:val="22"/>
                <w:szCs w:val="22"/>
              </w:rPr>
            </w:pPr>
            <w:r w:rsidRPr="00084B49">
              <w:rPr>
                <w:rFonts w:cs="Arial"/>
                <w:i/>
                <w:color w:val="808080"/>
                <w:szCs w:val="22"/>
              </w:rPr>
              <w:t>(Firmada por el servidor público competente –entidad originadora)</w:t>
            </w:r>
          </w:p>
        </w:tc>
        <w:tc>
          <w:tcPr>
            <w:tcW w:w="3119" w:type="dxa"/>
            <w:tcBorders>
              <w:top w:val="single" w:sz="4" w:space="0" w:color="auto"/>
              <w:left w:val="single" w:sz="4" w:space="0" w:color="auto"/>
              <w:bottom w:val="single" w:sz="4" w:space="0" w:color="auto"/>
            </w:tcBorders>
            <w:shd w:val="clear" w:color="auto" w:fill="FFFFFF"/>
            <w:vAlign w:val="center"/>
          </w:tcPr>
          <w:p w14:paraId="09671423" w14:textId="77777777" w:rsidR="00D05B67" w:rsidRPr="00084B49" w:rsidRDefault="00D05B67" w:rsidP="00D05B67">
            <w:pPr>
              <w:jc w:val="both"/>
              <w:rPr>
                <w:rFonts w:cs="Arial"/>
                <w:i/>
                <w:color w:val="808080"/>
                <w:sz w:val="22"/>
                <w:szCs w:val="22"/>
              </w:rPr>
            </w:pPr>
            <w:r w:rsidRPr="00084B49">
              <w:rPr>
                <w:rFonts w:cs="Arial"/>
                <w:i/>
                <w:color w:val="808080"/>
                <w:sz w:val="22"/>
                <w:szCs w:val="22"/>
              </w:rPr>
              <w:t>(Marque con una x)</w:t>
            </w:r>
          </w:p>
        </w:tc>
      </w:tr>
      <w:tr w:rsidR="00D05B67" w:rsidRPr="009F7CED" w14:paraId="4B96F93D"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0262E589" w14:textId="77777777" w:rsidR="00D05B67" w:rsidRDefault="00D05B67" w:rsidP="00D05B67">
            <w:pPr>
              <w:jc w:val="both"/>
              <w:rPr>
                <w:rFonts w:cs="Arial"/>
                <w:sz w:val="22"/>
                <w:szCs w:val="22"/>
              </w:rPr>
            </w:pPr>
            <w:r>
              <w:rPr>
                <w:rFonts w:cs="Arial"/>
                <w:sz w:val="22"/>
                <w:szCs w:val="22"/>
              </w:rPr>
              <w:t>Concepto</w:t>
            </w:r>
            <w:r w:rsidR="005F30C3">
              <w:rPr>
                <w:rFonts w:cs="Arial"/>
                <w:sz w:val="22"/>
                <w:szCs w:val="22"/>
              </w:rPr>
              <w:t>(s)</w:t>
            </w:r>
            <w:r>
              <w:rPr>
                <w:rFonts w:cs="Arial"/>
                <w:sz w:val="22"/>
                <w:szCs w:val="22"/>
              </w:rPr>
              <w:t xml:space="preserve"> de Min</w:t>
            </w:r>
            <w:r w:rsidR="005F30C3">
              <w:rPr>
                <w:rFonts w:cs="Arial"/>
                <w:sz w:val="22"/>
                <w:szCs w:val="22"/>
              </w:rPr>
              <w:t>isterio de</w:t>
            </w:r>
            <w:r>
              <w:rPr>
                <w:rFonts w:cs="Arial"/>
                <w:sz w:val="22"/>
                <w:szCs w:val="22"/>
              </w:rPr>
              <w:t xml:space="preserve"> Comercio</w:t>
            </w:r>
            <w:r w:rsidR="005F30C3">
              <w:rPr>
                <w:rFonts w:cs="Arial"/>
                <w:sz w:val="22"/>
                <w:szCs w:val="22"/>
              </w:rPr>
              <w:t>, Industria y Turismo</w:t>
            </w:r>
          </w:p>
          <w:p w14:paraId="270C7AB5" w14:textId="77777777" w:rsidR="00D05B67" w:rsidRPr="00084B49" w:rsidRDefault="005F30C3" w:rsidP="00D05B67">
            <w:pPr>
              <w:jc w:val="both"/>
              <w:rPr>
                <w:rFonts w:cs="Arial"/>
                <w:i/>
                <w:color w:val="808080"/>
                <w:sz w:val="22"/>
                <w:szCs w:val="22"/>
              </w:rPr>
            </w:pPr>
            <w:r w:rsidRPr="00084B49">
              <w:rPr>
                <w:rFonts w:cs="Arial"/>
                <w:i/>
                <w:color w:val="808080"/>
                <w:szCs w:val="22"/>
              </w:rPr>
              <w:lastRenderedPageBreak/>
              <w:t>(Cuando se trate de un proyecto de reglamento técnico o de procedimientos de evaluación de conformidad)</w:t>
            </w:r>
          </w:p>
        </w:tc>
        <w:tc>
          <w:tcPr>
            <w:tcW w:w="3119" w:type="dxa"/>
            <w:tcBorders>
              <w:top w:val="single" w:sz="4" w:space="0" w:color="auto"/>
              <w:left w:val="single" w:sz="4" w:space="0" w:color="auto"/>
              <w:bottom w:val="single" w:sz="4" w:space="0" w:color="auto"/>
            </w:tcBorders>
            <w:shd w:val="clear" w:color="auto" w:fill="FFFFFF"/>
            <w:vAlign w:val="center"/>
          </w:tcPr>
          <w:p w14:paraId="24CC459A" w14:textId="77777777" w:rsidR="00D05B67" w:rsidRDefault="005F30C3" w:rsidP="00D05B67">
            <w:pPr>
              <w:jc w:val="both"/>
              <w:rPr>
                <w:rFonts w:cs="Arial"/>
                <w:sz w:val="22"/>
                <w:szCs w:val="22"/>
              </w:rPr>
            </w:pPr>
            <w:r w:rsidRPr="005F30C3">
              <w:rPr>
                <w:rFonts w:cs="Arial"/>
                <w:i/>
                <w:color w:val="808080"/>
                <w:sz w:val="22"/>
                <w:szCs w:val="22"/>
              </w:rPr>
              <w:lastRenderedPageBreak/>
              <w:t>(Marque con una x)</w:t>
            </w:r>
          </w:p>
        </w:tc>
      </w:tr>
      <w:tr w:rsidR="005F30C3" w:rsidRPr="009F7CED" w14:paraId="4241CE5C"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79E48042" w14:textId="77777777" w:rsidR="005F30C3" w:rsidRDefault="005F30C3" w:rsidP="00D05B67">
            <w:pPr>
              <w:jc w:val="both"/>
              <w:rPr>
                <w:rFonts w:cs="Arial"/>
                <w:sz w:val="22"/>
                <w:szCs w:val="22"/>
              </w:rPr>
            </w:pPr>
            <w:r>
              <w:rPr>
                <w:rFonts w:cs="Arial"/>
                <w:sz w:val="22"/>
                <w:szCs w:val="22"/>
              </w:rPr>
              <w:t xml:space="preserve">Informe de observaciones y respuestas </w:t>
            </w:r>
          </w:p>
          <w:p w14:paraId="4E1961C8" w14:textId="77777777" w:rsidR="005F30C3" w:rsidRPr="00084B49" w:rsidRDefault="005F30C3" w:rsidP="00D05B67">
            <w:pPr>
              <w:jc w:val="both"/>
              <w:rPr>
                <w:rFonts w:cs="Arial"/>
                <w:i/>
                <w:color w:val="808080"/>
                <w:sz w:val="22"/>
                <w:szCs w:val="22"/>
              </w:rPr>
            </w:pPr>
            <w:r w:rsidRPr="00084B49">
              <w:rPr>
                <w:rFonts w:cs="Arial"/>
                <w:i/>
                <w:color w:val="808080"/>
                <w:szCs w:val="22"/>
              </w:rPr>
              <w:t>(Análisis del informe con la evaluación de las observaciones de los ciudadanos y grupos de interés sobre el proyecto normativo)</w:t>
            </w:r>
          </w:p>
        </w:tc>
        <w:tc>
          <w:tcPr>
            <w:tcW w:w="3119" w:type="dxa"/>
            <w:tcBorders>
              <w:top w:val="single" w:sz="4" w:space="0" w:color="auto"/>
              <w:left w:val="single" w:sz="4" w:space="0" w:color="auto"/>
              <w:bottom w:val="single" w:sz="4" w:space="0" w:color="auto"/>
            </w:tcBorders>
            <w:shd w:val="clear" w:color="auto" w:fill="FFFFFF"/>
            <w:vAlign w:val="center"/>
          </w:tcPr>
          <w:p w14:paraId="3EC90E99" w14:textId="77777777" w:rsidR="005F30C3" w:rsidRDefault="005F30C3" w:rsidP="00D05B67">
            <w:pPr>
              <w:jc w:val="both"/>
              <w:rPr>
                <w:rFonts w:cs="Arial"/>
                <w:sz w:val="22"/>
                <w:szCs w:val="22"/>
              </w:rPr>
            </w:pPr>
            <w:r w:rsidRPr="005F30C3">
              <w:rPr>
                <w:rFonts w:cs="Arial"/>
                <w:i/>
                <w:color w:val="808080"/>
                <w:sz w:val="22"/>
                <w:szCs w:val="22"/>
              </w:rPr>
              <w:t>(Marque con una x)</w:t>
            </w:r>
          </w:p>
        </w:tc>
      </w:tr>
      <w:tr w:rsidR="005F30C3" w:rsidRPr="009F7CED" w14:paraId="07676EB5"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719683E6" w14:textId="77777777" w:rsidR="005F30C3" w:rsidRDefault="005F30C3" w:rsidP="00D05B67">
            <w:pPr>
              <w:jc w:val="both"/>
              <w:rPr>
                <w:rFonts w:cs="Arial"/>
                <w:sz w:val="22"/>
                <w:szCs w:val="22"/>
              </w:rPr>
            </w:pPr>
            <w:r>
              <w:rPr>
                <w:rFonts w:cs="Arial"/>
                <w:sz w:val="22"/>
                <w:szCs w:val="22"/>
              </w:rPr>
              <w:t>Concepto de Abogacía de la Competencia de la Superintendencia de Industria y Comercio</w:t>
            </w:r>
          </w:p>
          <w:p w14:paraId="364EFEA6" w14:textId="77777777" w:rsidR="005F30C3" w:rsidRPr="00084B49" w:rsidRDefault="005F30C3" w:rsidP="00D05B67">
            <w:pPr>
              <w:jc w:val="both"/>
              <w:rPr>
                <w:rFonts w:cs="Arial"/>
                <w:i/>
                <w:color w:val="808080"/>
                <w:sz w:val="22"/>
                <w:szCs w:val="22"/>
              </w:rPr>
            </w:pPr>
            <w:r w:rsidRPr="00084B49">
              <w:rPr>
                <w:rFonts w:cs="Arial"/>
                <w:i/>
                <w:color w:val="808080"/>
                <w:szCs w:val="22"/>
              </w:rPr>
              <w:t>(Cuando los proyectos normativos tengan incidencia en la libre competencia de los mercados)</w:t>
            </w:r>
          </w:p>
        </w:tc>
        <w:tc>
          <w:tcPr>
            <w:tcW w:w="3119" w:type="dxa"/>
            <w:tcBorders>
              <w:top w:val="single" w:sz="4" w:space="0" w:color="auto"/>
              <w:left w:val="single" w:sz="4" w:space="0" w:color="auto"/>
              <w:bottom w:val="single" w:sz="4" w:space="0" w:color="auto"/>
            </w:tcBorders>
            <w:shd w:val="clear" w:color="auto" w:fill="FFFFFF"/>
            <w:vAlign w:val="center"/>
          </w:tcPr>
          <w:p w14:paraId="0F8BF5F5" w14:textId="77777777" w:rsidR="005F30C3" w:rsidRDefault="005F30C3" w:rsidP="00D05B67">
            <w:pPr>
              <w:jc w:val="both"/>
              <w:rPr>
                <w:rFonts w:cs="Arial"/>
                <w:sz w:val="22"/>
                <w:szCs w:val="22"/>
              </w:rPr>
            </w:pPr>
            <w:r w:rsidRPr="005F30C3">
              <w:rPr>
                <w:rFonts w:cs="Arial"/>
                <w:i/>
                <w:color w:val="808080"/>
                <w:sz w:val="22"/>
                <w:szCs w:val="22"/>
              </w:rPr>
              <w:t>(Marque con una x)</w:t>
            </w:r>
          </w:p>
        </w:tc>
      </w:tr>
      <w:tr w:rsidR="005F30C3" w:rsidRPr="009F7CED" w14:paraId="19E5B7FC"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260EB9CC" w14:textId="77777777" w:rsidR="005F30C3" w:rsidRDefault="005F30C3" w:rsidP="00D05B67">
            <w:pPr>
              <w:jc w:val="both"/>
              <w:rPr>
                <w:rFonts w:cs="Arial"/>
                <w:sz w:val="22"/>
                <w:szCs w:val="22"/>
              </w:rPr>
            </w:pPr>
            <w:r>
              <w:rPr>
                <w:rFonts w:cs="Arial"/>
                <w:sz w:val="22"/>
                <w:szCs w:val="22"/>
              </w:rPr>
              <w:t>Concepto de aprobación nuevos trámites del Departamento Administrativo de la Función Pública</w:t>
            </w:r>
          </w:p>
          <w:p w14:paraId="1DFA88C0" w14:textId="77777777" w:rsidR="005F30C3" w:rsidRDefault="005F30C3" w:rsidP="00D05B67">
            <w:pPr>
              <w:jc w:val="both"/>
              <w:rPr>
                <w:rFonts w:cs="Arial"/>
                <w:sz w:val="22"/>
                <w:szCs w:val="22"/>
              </w:rPr>
            </w:pPr>
            <w:r w:rsidRPr="00084B49">
              <w:rPr>
                <w:rFonts w:cs="Arial"/>
                <w:i/>
                <w:color w:val="808080"/>
                <w:szCs w:val="22"/>
              </w:rPr>
              <w:t>(Cuando el proyecto normativo adopte o modifique un trámite)</w:t>
            </w:r>
          </w:p>
        </w:tc>
        <w:tc>
          <w:tcPr>
            <w:tcW w:w="3119" w:type="dxa"/>
            <w:tcBorders>
              <w:top w:val="single" w:sz="4" w:space="0" w:color="auto"/>
              <w:left w:val="single" w:sz="4" w:space="0" w:color="auto"/>
              <w:bottom w:val="single" w:sz="4" w:space="0" w:color="auto"/>
            </w:tcBorders>
            <w:shd w:val="clear" w:color="auto" w:fill="FFFFFF"/>
            <w:vAlign w:val="center"/>
          </w:tcPr>
          <w:p w14:paraId="2F5CE5B9" w14:textId="77777777" w:rsidR="005F30C3" w:rsidRDefault="005F30C3" w:rsidP="00D05B67">
            <w:pPr>
              <w:jc w:val="both"/>
              <w:rPr>
                <w:rFonts w:cs="Arial"/>
                <w:sz w:val="22"/>
                <w:szCs w:val="22"/>
              </w:rPr>
            </w:pPr>
            <w:r w:rsidRPr="005F30C3">
              <w:rPr>
                <w:rFonts w:cs="Arial"/>
                <w:i/>
                <w:color w:val="808080"/>
                <w:sz w:val="22"/>
                <w:szCs w:val="22"/>
              </w:rPr>
              <w:t>(Marque con una x)</w:t>
            </w:r>
          </w:p>
        </w:tc>
      </w:tr>
      <w:tr w:rsidR="005F30C3" w:rsidRPr="009F7CED" w14:paraId="3322BE2A"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1CD006DB" w14:textId="77777777" w:rsidR="005F30C3" w:rsidRDefault="005F30C3" w:rsidP="00084B49">
            <w:pPr>
              <w:jc w:val="both"/>
              <w:rPr>
                <w:rFonts w:cs="Arial"/>
                <w:sz w:val="22"/>
                <w:szCs w:val="22"/>
              </w:rPr>
            </w:pPr>
            <w:r>
              <w:rPr>
                <w:rFonts w:cs="Arial"/>
                <w:sz w:val="22"/>
                <w:szCs w:val="22"/>
              </w:rPr>
              <w:t xml:space="preserve">Otro </w:t>
            </w:r>
          </w:p>
          <w:p w14:paraId="73A3BDE5" w14:textId="77777777" w:rsidR="005F30C3" w:rsidRDefault="005F30C3" w:rsidP="00084B49">
            <w:pPr>
              <w:jc w:val="both"/>
              <w:rPr>
                <w:rFonts w:cs="Arial"/>
                <w:sz w:val="22"/>
                <w:szCs w:val="22"/>
              </w:rPr>
            </w:pPr>
            <w:r w:rsidRPr="00084B49">
              <w:rPr>
                <w:rFonts w:cs="Arial"/>
                <w:i/>
                <w:color w:val="808080"/>
                <w:szCs w:val="22"/>
              </w:rPr>
              <w:t>(Cualquier otro aspecto que la entidad originadora de la norma considere relevante o de importancia)</w:t>
            </w:r>
          </w:p>
        </w:tc>
        <w:tc>
          <w:tcPr>
            <w:tcW w:w="3119" w:type="dxa"/>
            <w:tcBorders>
              <w:top w:val="single" w:sz="4" w:space="0" w:color="auto"/>
              <w:left w:val="single" w:sz="4" w:space="0" w:color="auto"/>
              <w:bottom w:val="single" w:sz="4" w:space="0" w:color="auto"/>
            </w:tcBorders>
            <w:shd w:val="clear" w:color="auto" w:fill="FFFFFF"/>
            <w:vAlign w:val="center"/>
          </w:tcPr>
          <w:p w14:paraId="6BB8FF30" w14:textId="77777777" w:rsidR="005F30C3" w:rsidRDefault="005F30C3" w:rsidP="00D05B67">
            <w:pPr>
              <w:jc w:val="both"/>
              <w:rPr>
                <w:rFonts w:cs="Arial"/>
                <w:sz w:val="22"/>
                <w:szCs w:val="22"/>
              </w:rPr>
            </w:pPr>
            <w:r w:rsidRPr="005F30C3">
              <w:rPr>
                <w:rFonts w:cs="Arial"/>
                <w:i/>
                <w:color w:val="808080"/>
                <w:sz w:val="22"/>
                <w:szCs w:val="22"/>
              </w:rPr>
              <w:t>(Marque con una x)</w:t>
            </w:r>
          </w:p>
        </w:tc>
      </w:tr>
    </w:tbl>
    <w:p w14:paraId="56E6101F" w14:textId="77777777" w:rsidR="00301DC2" w:rsidRPr="009F7CED" w:rsidRDefault="00301DC2" w:rsidP="00587695">
      <w:pPr>
        <w:ind w:right="-377"/>
        <w:jc w:val="both"/>
        <w:rPr>
          <w:rFonts w:cs="Arial"/>
          <w:sz w:val="22"/>
          <w:szCs w:val="22"/>
        </w:rPr>
      </w:pPr>
    </w:p>
    <w:p w14:paraId="53055E4F" w14:textId="77777777" w:rsidR="00B66D03" w:rsidRPr="00D05B67" w:rsidRDefault="000B30A6" w:rsidP="00696582">
      <w:pPr>
        <w:ind w:left="-1276" w:right="-377" w:firstLine="283"/>
        <w:jc w:val="both"/>
        <w:rPr>
          <w:rFonts w:cs="Arial"/>
          <w:b/>
          <w:sz w:val="22"/>
          <w:szCs w:val="22"/>
        </w:rPr>
      </w:pPr>
      <w:r w:rsidRPr="00D05B67">
        <w:rPr>
          <w:rFonts w:cs="Arial"/>
          <w:b/>
          <w:sz w:val="22"/>
          <w:szCs w:val="22"/>
        </w:rPr>
        <w:t>Aprobó</w:t>
      </w:r>
      <w:r w:rsidR="00CB4D37" w:rsidRPr="00D05B67">
        <w:rPr>
          <w:rFonts w:cs="Arial"/>
          <w:b/>
          <w:sz w:val="22"/>
          <w:szCs w:val="22"/>
        </w:rPr>
        <w:t>:</w:t>
      </w:r>
    </w:p>
    <w:p w14:paraId="0FFFEFDE" w14:textId="77777777" w:rsidR="00D05B67" w:rsidRDefault="00D05B67" w:rsidP="00D05B67">
      <w:pPr>
        <w:pStyle w:val="Listavistosa-nfasis11"/>
        <w:jc w:val="both"/>
        <w:rPr>
          <w:rFonts w:ascii="Arial" w:hAnsi="Arial" w:cs="Arial"/>
          <w:b/>
        </w:rPr>
      </w:pPr>
      <w:r>
        <w:rPr>
          <w:rFonts w:ascii="Arial" w:hAnsi="Arial" w:cs="Arial"/>
          <w:b/>
        </w:rPr>
        <w:t>_________________</w:t>
      </w:r>
    </w:p>
    <w:p w14:paraId="68A1D217" w14:textId="77777777" w:rsidR="00D05B67" w:rsidRPr="00E0174F" w:rsidRDefault="00D05B67" w:rsidP="00696582">
      <w:pPr>
        <w:pStyle w:val="Listavistosa-nfasis11"/>
        <w:rPr>
          <w:rFonts w:ascii="Arial" w:hAnsi="Arial" w:cs="Arial"/>
          <w:b/>
        </w:rPr>
      </w:pPr>
      <w:r w:rsidRPr="00E0174F">
        <w:rPr>
          <w:rFonts w:ascii="Arial" w:hAnsi="Arial" w:cs="Arial"/>
          <w:b/>
        </w:rPr>
        <w:t xml:space="preserve">Nombre y firma del </w:t>
      </w:r>
      <w:r w:rsidR="00366F75" w:rsidRPr="00E0174F">
        <w:rPr>
          <w:rFonts w:ascii="Arial" w:hAnsi="Arial" w:cs="Arial"/>
          <w:b/>
        </w:rPr>
        <w:t>director o del jefe de la oficina líder del proyecto</w:t>
      </w:r>
    </w:p>
    <w:p w14:paraId="2305B046" w14:textId="77777777" w:rsidR="00D05B67" w:rsidRPr="00E0174F" w:rsidRDefault="00D05B67" w:rsidP="00696582">
      <w:pPr>
        <w:pStyle w:val="Listavistosa-nfasis11"/>
        <w:rPr>
          <w:rFonts w:ascii="Arial" w:hAnsi="Arial" w:cs="Arial"/>
          <w:b/>
        </w:rPr>
      </w:pPr>
    </w:p>
    <w:p w14:paraId="2C4820D5" w14:textId="77777777" w:rsidR="00366F75" w:rsidRPr="00E0174F" w:rsidRDefault="00366F75" w:rsidP="00366F75">
      <w:pPr>
        <w:pStyle w:val="Listavistosa-nfasis11"/>
        <w:jc w:val="both"/>
        <w:rPr>
          <w:rFonts w:ascii="Arial" w:hAnsi="Arial" w:cs="Arial"/>
          <w:b/>
        </w:rPr>
      </w:pPr>
      <w:r w:rsidRPr="00E0174F">
        <w:rPr>
          <w:rFonts w:ascii="Arial" w:hAnsi="Arial" w:cs="Arial"/>
          <w:b/>
        </w:rPr>
        <w:t>_________________</w:t>
      </w:r>
    </w:p>
    <w:p w14:paraId="66205615" w14:textId="77777777" w:rsidR="00366F75" w:rsidRDefault="00366F75" w:rsidP="00366F75">
      <w:pPr>
        <w:pStyle w:val="Listavistosa-nfasis11"/>
        <w:rPr>
          <w:rFonts w:ascii="Arial" w:hAnsi="Arial" w:cs="Arial"/>
          <w:b/>
        </w:rPr>
      </w:pPr>
      <w:r w:rsidRPr="00E0174F">
        <w:rPr>
          <w:rFonts w:ascii="Arial" w:hAnsi="Arial" w:cs="Arial"/>
          <w:b/>
        </w:rPr>
        <w:t xml:space="preserve">Nombre y firma del </w:t>
      </w:r>
      <w:proofErr w:type="gramStart"/>
      <w:r w:rsidRPr="00E0174F">
        <w:rPr>
          <w:rFonts w:ascii="Arial" w:hAnsi="Arial" w:cs="Arial"/>
          <w:b/>
        </w:rPr>
        <w:t>Director</w:t>
      </w:r>
      <w:proofErr w:type="gramEnd"/>
      <w:r w:rsidRPr="00E0174F">
        <w:rPr>
          <w:rFonts w:ascii="Arial" w:hAnsi="Arial" w:cs="Arial"/>
          <w:b/>
        </w:rPr>
        <w:t xml:space="preserve"> Jurídico del MinTIC</w:t>
      </w:r>
    </w:p>
    <w:p w14:paraId="01934125" w14:textId="77777777" w:rsidR="00E0174F" w:rsidRPr="00E0174F" w:rsidRDefault="00E0174F" w:rsidP="00366F75">
      <w:pPr>
        <w:pStyle w:val="Listavistosa-nfasis11"/>
        <w:rPr>
          <w:rFonts w:ascii="Arial" w:hAnsi="Arial" w:cs="Arial"/>
          <w:b/>
        </w:rPr>
      </w:pPr>
    </w:p>
    <w:p w14:paraId="0936CFEF" w14:textId="77777777" w:rsidR="00366F75" w:rsidRPr="00E0174F" w:rsidRDefault="00E0174F" w:rsidP="00696582">
      <w:pPr>
        <w:pStyle w:val="Listavistosa-nfasis11"/>
        <w:rPr>
          <w:rFonts w:ascii="Arial" w:hAnsi="Arial" w:cs="Arial"/>
          <w:b/>
        </w:rPr>
      </w:pPr>
      <w:r w:rsidRPr="00E0174F">
        <w:rPr>
          <w:rFonts w:ascii="Arial" w:hAnsi="Arial" w:cs="Arial"/>
          <w:b/>
        </w:rPr>
        <w:t>_________________</w:t>
      </w:r>
    </w:p>
    <w:p w14:paraId="16D3ACBD" w14:textId="31987A6F" w:rsidR="006779DA" w:rsidRPr="00366F75" w:rsidRDefault="00D05B67" w:rsidP="00696582">
      <w:pPr>
        <w:pStyle w:val="Listavistosa-nfasis11"/>
        <w:rPr>
          <w:rFonts w:ascii="Arial" w:hAnsi="Arial" w:cs="Arial"/>
          <w:b/>
          <w:color w:val="FF0000"/>
        </w:rPr>
      </w:pPr>
      <w:r w:rsidRPr="00E0174F">
        <w:rPr>
          <w:rFonts w:ascii="Arial" w:hAnsi="Arial" w:cs="Arial"/>
          <w:b/>
        </w:rPr>
        <w:t>Nombre y firma del (los) servidor(es) público(s) responsables de otras entidades</w:t>
      </w:r>
      <w:r w:rsidRPr="00E0174F">
        <w:t xml:space="preserve"> </w:t>
      </w:r>
      <w:r w:rsidR="00366F75" w:rsidRPr="00E0174F">
        <w:rPr>
          <w:color w:val="FF0000"/>
        </w:rPr>
        <w:t>(cuando aplique)</w:t>
      </w:r>
    </w:p>
    <w:sectPr w:rsidR="006779DA" w:rsidRPr="00366F75" w:rsidSect="00F77DB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616" w:right="616" w:bottom="1115" w:left="1701" w:header="720" w:footer="1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8E180" w14:textId="77777777" w:rsidR="00A45DA3" w:rsidRDefault="00A45DA3">
      <w:r>
        <w:separator/>
      </w:r>
    </w:p>
  </w:endnote>
  <w:endnote w:type="continuationSeparator" w:id="0">
    <w:p w14:paraId="10AE8D80" w14:textId="77777777" w:rsidR="00A45DA3" w:rsidRDefault="00A4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D971" w14:textId="77777777" w:rsidR="00416865" w:rsidRDefault="004168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A484" w14:textId="246E14A8" w:rsidR="00F77DB8" w:rsidRDefault="00F77DB8" w:rsidP="00F77DB8">
    <w:pPr>
      <w:pStyle w:val="Piedepgina"/>
      <w:tabs>
        <w:tab w:val="clear" w:pos="8504"/>
      </w:tabs>
      <w:ind w:left="-709"/>
      <w:rPr>
        <w:rFonts w:ascii="Calibri" w:hAnsi="Calibri" w:cs="Calibri"/>
        <w:color w:val="000000"/>
      </w:rPr>
    </w:pPr>
    <w:r>
      <w:rPr>
        <w:noProof/>
      </w:rPr>
      <w:t xml:space="preserve">                       </w:t>
    </w:r>
    <w:r>
      <w:rPr>
        <w:noProof/>
      </w:rPr>
      <w:tab/>
    </w:r>
    <w:r>
      <w:rPr>
        <w:noProof/>
      </w:rPr>
      <w:tab/>
    </w:r>
    <w:r>
      <w:rPr>
        <w:noProof/>
      </w:rPr>
      <w:tab/>
    </w:r>
    <w:r>
      <w:rPr>
        <w:noProof/>
      </w:rPr>
      <w:tab/>
    </w:r>
    <w:r>
      <w:rPr>
        <w:noProof/>
      </w:rPr>
      <w:tab/>
    </w:r>
    <w:r>
      <w:rPr>
        <w:noProof/>
      </w:rPr>
      <w:tab/>
    </w:r>
    <w:r>
      <w:rPr>
        <w:noProof/>
      </w:rPr>
      <w:tab/>
    </w:r>
    <w:r>
      <w:rPr>
        <w:rFonts w:ascii="Calibri" w:hAnsi="Calibri" w:cs="Calibri"/>
        <w:color w:val="000000"/>
      </w:rPr>
      <w:t>GJU-TIC-FM-010</w:t>
    </w:r>
  </w:p>
  <w:p w14:paraId="25B85007" w14:textId="6E3FE63E" w:rsidR="00F77DB8" w:rsidRDefault="00F77DB8" w:rsidP="00F77DB8">
    <w:pPr>
      <w:pStyle w:val="Piedepgina"/>
      <w:tabs>
        <w:tab w:val="clear" w:pos="8504"/>
      </w:tabs>
      <w:ind w:left="-709"/>
      <w:rPr>
        <w:rFonts w:ascii="Calibri" w:hAnsi="Calibri" w:cs="Calibri"/>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         V2</w:t>
    </w:r>
    <w:r>
      <w:rPr>
        <w:rFonts w:ascii="Calibri" w:hAnsi="Calibri" w:cs="Calibri"/>
        <w:color w:val="000000"/>
      </w:rPr>
      <w:tab/>
    </w:r>
  </w:p>
  <w:p w14:paraId="7B62638E" w14:textId="643DD8EB" w:rsidR="00836C6A" w:rsidRDefault="00F77DB8" w:rsidP="00F77DB8">
    <w:pPr>
      <w:pStyle w:val="Piedepgina"/>
      <w:jc w:val="right"/>
    </w:pPr>
    <w:r>
      <w:rPr>
        <w:rFonts w:ascii="Calibri" w:hAnsi="Calibri" w:cs="Calibri"/>
        <w:color w:val="000000"/>
      </w:rPr>
      <w:tab/>
    </w:r>
    <w:r>
      <w:rPr>
        <w:rFonts w:ascii="Calibri" w:hAnsi="Calibri" w:cs="Calibri"/>
        <w:color w:val="000000"/>
      </w:rPr>
      <w:tab/>
      <w:t xml:space="preserve">                                   </w:t>
    </w:r>
    <w:r>
      <w:rPr>
        <w:rFonts w:ascii="Calibri" w:hAnsi="Calibri" w:cs="Calibri"/>
        <w:color w:val="000000"/>
      </w:rPr>
      <w:tab/>
    </w:r>
    <w:r>
      <w:rPr>
        <w:rFonts w:ascii="Calibri" w:hAnsi="Calibri" w:cs="Calibri"/>
        <w:color w:val="000000"/>
      </w:rPr>
      <w:tab/>
    </w:r>
    <w:r>
      <w:rPr>
        <w:noProof/>
      </w:rPr>
      <w:tab/>
    </w:r>
    <w:r w:rsidR="00B237AC">
      <w:rPr>
        <w:noProof/>
      </w:rPr>
      <mc:AlternateContent>
        <mc:Choice Requires="wps">
          <w:drawing>
            <wp:anchor distT="0" distB="0" distL="114300" distR="114300" simplePos="0" relativeHeight="251657216" behindDoc="0" locked="0" layoutInCell="0" allowOverlap="1" wp14:anchorId="475BE78E" wp14:editId="29452DD3">
              <wp:simplePos x="0" y="0"/>
              <wp:positionH relativeFrom="page">
                <wp:posOffset>0</wp:posOffset>
              </wp:positionH>
              <wp:positionV relativeFrom="page">
                <wp:posOffset>9594215</wp:posOffset>
              </wp:positionV>
              <wp:extent cx="7772400" cy="273685"/>
              <wp:effectExtent l="0" t="2540" r="0" b="0"/>
              <wp:wrapNone/>
              <wp:docPr id="8" name="MSIPCM6e1c4ae9bb68bcc40527ef41" descr="{&quot;HashCode&quot;:-324040364,&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DF9FE" w14:textId="4A625D82" w:rsidR="00FE2D84" w:rsidRPr="00AF569A" w:rsidRDefault="00692F01" w:rsidP="00692F01">
                          <w:pPr>
                            <w:rPr>
                              <w:rFonts w:ascii="Calibri" w:hAnsi="Calibri" w:cs="Calibri"/>
                              <w:color w:val="000000"/>
                            </w:rPr>
                          </w:pPr>
                          <w:r>
                            <w:rPr>
                              <w:rFonts w:ascii="Calibri" w:hAnsi="Calibri" w:cs="Calibri"/>
                              <w:color w:val="000000"/>
                            </w:rPr>
                            <w:t>Pública</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BE78E" id="_x0000_t202" coordsize="21600,21600" o:spt="202" path="m,l,21600r21600,l21600,xe">
              <v:stroke joinstyle="miter"/>
              <v:path gradientshapeok="t" o:connecttype="rect"/>
            </v:shapetype>
            <v:shape id="MSIPCM6e1c4ae9bb68bcc40527ef41" o:spid="_x0000_s1026" type="#_x0000_t202" alt="{&quot;HashCode&quot;:-324040364,&quot;Height&quot;:792.0,&quot;Width&quot;:612.0,&quot;Placement&quot;:&quot;Footer&quot;,&quot;Index&quot;:&quot;Primary&quot;,&quot;Section&quot;:1,&quot;Top&quot;:0.0,&quot;Left&quot;:0.0}" style="position:absolute;left:0;text-align:left;margin-left:0;margin-top:755.45pt;width:612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" o:allowincell="f" filled="f" stroked="f">
              <v:textbox inset="20pt,0,,0">
                <w:txbxContent>
                  <w:p w14:paraId="21CDF9FE" w14:textId="4A625D82" w:rsidR="00FE2D84" w:rsidRPr="00AF569A" w:rsidRDefault="00692F01" w:rsidP="00692F01">
                    <w:pPr>
                      <w:rPr>
                        <w:rFonts w:ascii="Calibri" w:hAnsi="Calibri" w:cs="Calibri"/>
                        <w:color w:val="000000"/>
                      </w:rPr>
                    </w:pPr>
                    <w:r>
                      <w:rPr>
                        <w:rFonts w:ascii="Calibri" w:hAnsi="Calibri" w:cs="Calibri"/>
                        <w:color w:val="000000"/>
                      </w:rPr>
                      <w:t>Pública</w:t>
                    </w:r>
                  </w:p>
                </w:txbxContent>
              </v:textbox>
              <w10:wrap anchorx="page" anchory="page"/>
            </v:shape>
          </w:pict>
        </mc:Fallback>
      </mc:AlternateContent>
    </w:r>
  </w:p>
  <w:p w14:paraId="089230A1" w14:textId="4395C5FA" w:rsidR="00F07A7D" w:rsidRPr="0084294E" w:rsidRDefault="00F07A7D" w:rsidP="008C703D">
    <w:pPr>
      <w:pStyle w:val="Piedepgina"/>
      <w:ind w:left="-851"/>
      <w:rPr>
        <w:sz w:val="18"/>
        <w:szCs w:val="18"/>
        <w:lang w:val="es-C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EE956" w14:textId="13516AA7" w:rsidR="00AF569A" w:rsidRDefault="00F77DB8" w:rsidP="003650D5">
    <w:pPr>
      <w:pStyle w:val="Piedepgina"/>
      <w:ind w:left="-709"/>
      <w:rPr>
        <w:rFonts w:ascii="Calibri" w:hAnsi="Calibri" w:cs="Calibri"/>
        <w:color w:val="000000"/>
      </w:rPr>
    </w:pPr>
    <w:r>
      <w:rPr>
        <w:noProof/>
      </w:rPr>
      <w:tab/>
    </w:r>
    <w:r>
      <w:rPr>
        <w:noProof/>
      </w:rPr>
      <w:tab/>
    </w:r>
  </w:p>
  <w:p w14:paraId="7E9BB38D" w14:textId="6A6E08F1" w:rsidR="00F77DB8" w:rsidRDefault="00F77DB8" w:rsidP="00F77DB8">
    <w:pPr>
      <w:pStyle w:val="Piedepgina"/>
      <w:tabs>
        <w:tab w:val="clear" w:pos="8504"/>
      </w:tabs>
      <w:ind w:left="-709"/>
      <w:rPr>
        <w:rFonts w:ascii="Calibri" w:hAnsi="Calibri" w:cs="Calibri"/>
        <w:color w:val="000000"/>
      </w:rPr>
    </w:pPr>
    <w:r>
      <w:rPr>
        <w:noProof/>
      </w:rPr>
      <w:tab/>
    </w:r>
    <w:r>
      <w:rPr>
        <w:noProof/>
      </w:rPr>
      <w:tab/>
    </w:r>
    <w:r>
      <w:rPr>
        <w:noProof/>
      </w:rPr>
      <w:tab/>
    </w:r>
    <w:r>
      <w:rPr>
        <w:noProof/>
      </w:rPr>
      <w:tab/>
      <w:t xml:space="preserve">    </w:t>
    </w:r>
    <w:r>
      <w:rPr>
        <w:noProof/>
      </w:rPr>
      <w:tab/>
      <w:t xml:space="preserve">                       </w:t>
    </w:r>
    <w:r>
      <w:rPr>
        <w:rFonts w:ascii="Calibri" w:hAnsi="Calibri" w:cs="Calibri"/>
        <w:color w:val="000000"/>
      </w:rPr>
      <w:t>GJU-TIC-FM-010</w:t>
    </w:r>
  </w:p>
  <w:p w14:paraId="0D0AAF29" w14:textId="3D3F049B" w:rsidR="00F77DB8" w:rsidRDefault="00F77DB8" w:rsidP="00F77DB8">
    <w:pPr>
      <w:pStyle w:val="Piedepgina"/>
      <w:tabs>
        <w:tab w:val="clear" w:pos="8504"/>
      </w:tabs>
      <w:ind w:left="-709"/>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                      V2</w:t>
    </w:r>
    <w:r>
      <w:rPr>
        <w:noProof/>
      </w:rPr>
      <w:tab/>
    </w: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CA65C" w14:textId="77777777" w:rsidR="00A45DA3" w:rsidRDefault="00A45DA3">
      <w:r>
        <w:separator/>
      </w:r>
    </w:p>
  </w:footnote>
  <w:footnote w:type="continuationSeparator" w:id="0">
    <w:p w14:paraId="0CD3AA24" w14:textId="77777777" w:rsidR="00A45DA3" w:rsidRDefault="00A45DA3">
      <w:r>
        <w:continuationSeparator/>
      </w:r>
    </w:p>
  </w:footnote>
  <w:footnote w:id="1">
    <w:p w14:paraId="6591008D" w14:textId="77777777" w:rsidR="00734827" w:rsidRPr="00F6232A" w:rsidRDefault="00734827" w:rsidP="00734827">
      <w:pPr>
        <w:pStyle w:val="Textonotapie"/>
        <w:rPr>
          <w:lang w:val="es-CO"/>
        </w:rPr>
      </w:pPr>
      <w:r>
        <w:rPr>
          <w:rStyle w:val="Refdenotaalpie"/>
        </w:rPr>
        <w:footnoteRef/>
      </w:r>
      <w:r w:rsidRPr="00125EE4">
        <w:t xml:space="preserve"> Thomas W. Hazlett and Roberto E. Muñoz</w:t>
      </w:r>
      <w:r>
        <w:t xml:space="preserve">. </w:t>
      </w:r>
      <w:r w:rsidRPr="00125EE4">
        <w:t>The RAND Journal of Economics</w:t>
      </w:r>
      <w:r>
        <w:t xml:space="preserve">. </w:t>
      </w:r>
      <w:r w:rsidRPr="00F6232A">
        <w:rPr>
          <w:lang w:val="es-CO"/>
        </w:rPr>
        <w:t>Vol. 40, No. 3 (Autumn, 2009), pp. 424-454.</w:t>
      </w:r>
    </w:p>
  </w:footnote>
  <w:footnote w:id="2">
    <w:p w14:paraId="5C6E92A1" w14:textId="77777777" w:rsidR="00734827" w:rsidRPr="00704D5E" w:rsidRDefault="00734827" w:rsidP="00734827">
      <w:pPr>
        <w:pStyle w:val="Textonotapie"/>
        <w:rPr>
          <w:lang w:val="es-CO"/>
        </w:rPr>
      </w:pPr>
      <w:r>
        <w:rPr>
          <w:rStyle w:val="Refdenotaalpie"/>
        </w:rPr>
        <w:footnoteRef/>
      </w:r>
      <w:r w:rsidRPr="00704D5E">
        <w:rPr>
          <w:lang w:val="es-CO"/>
        </w:rPr>
        <w:t xml:space="preserve"> Planeación, D. N. (3 de </w:t>
      </w:r>
      <w:proofErr w:type="gramStart"/>
      <w:r w:rsidRPr="00704D5E">
        <w:rPr>
          <w:lang w:val="es-CO"/>
        </w:rPr>
        <w:t>Agosto</w:t>
      </w:r>
      <w:proofErr w:type="gramEnd"/>
      <w:r w:rsidRPr="00704D5E">
        <w:rPr>
          <w:lang w:val="es-CO"/>
        </w:rPr>
        <w:t xml:space="preserve"> de 2023). Departamento Nacional de Planeación - DNP. Obtenido de </w:t>
      </w:r>
      <w:hyperlink r:id="rId1" w:history="1">
        <w:r w:rsidRPr="002E2A48">
          <w:rPr>
            <w:rStyle w:val="Hipervnculo"/>
            <w:lang w:val="es-CO"/>
          </w:rPr>
          <w:t>https://www.dnp.gov.co/plan-nacional-desarrollo/pnd-2022-2026</w:t>
        </w:r>
      </w:hyperlink>
      <w:r>
        <w:rPr>
          <w:lang w:val="es-CO"/>
        </w:rPr>
        <w:t xml:space="preserve"> </w:t>
      </w:r>
    </w:p>
  </w:footnote>
  <w:footnote w:id="3">
    <w:p w14:paraId="18FC1AA9" w14:textId="77777777" w:rsidR="00734827" w:rsidRPr="00F7188E" w:rsidRDefault="00734827" w:rsidP="00734827">
      <w:pPr>
        <w:pStyle w:val="Textonotapie"/>
        <w:rPr>
          <w:lang w:val="es-CO"/>
        </w:rPr>
      </w:pPr>
      <w:r>
        <w:rPr>
          <w:rStyle w:val="Refdenotaalpie"/>
        </w:rPr>
        <w:footnoteRef/>
      </w:r>
      <w:r w:rsidRPr="00F7188E">
        <w:rPr>
          <w:lang w:val="es-CO"/>
        </w:rPr>
        <w:t xml:space="preserve"> MINTIC. (2024). Plan Integral de Expansión de Conectividad Digital. Recuperado en https://mintic.gov.co/portal/inicio/Sala-de-prensa/Noticias/399468:Lanzamiento-del-Plan-Integral-de-Expa.</w:t>
      </w:r>
    </w:p>
  </w:footnote>
  <w:footnote w:id="4">
    <w:p w14:paraId="1A9775A7" w14:textId="77777777" w:rsidR="00734827" w:rsidRPr="00BA099F" w:rsidRDefault="00734827" w:rsidP="00734827">
      <w:pPr>
        <w:pStyle w:val="Textonotapie"/>
        <w:rPr>
          <w:lang w:val="pt-PT"/>
        </w:rPr>
      </w:pPr>
      <w:r>
        <w:rPr>
          <w:rStyle w:val="Refdenotaalpie"/>
        </w:rPr>
        <w:footnoteRef/>
      </w:r>
      <w:r w:rsidRPr="00BA099F">
        <w:rPr>
          <w:lang w:val="pt-PT"/>
        </w:rPr>
        <w:t xml:space="preserve"> </w:t>
      </w:r>
      <w:r w:rsidRPr="00BA099F">
        <w:rPr>
          <w:lang w:val="pt-PT"/>
        </w:rPr>
        <w:t>Ibídem</w:t>
      </w:r>
    </w:p>
  </w:footnote>
  <w:footnote w:id="5">
    <w:p w14:paraId="3F893A3F" w14:textId="77777777" w:rsidR="00734827" w:rsidRPr="00BA099F" w:rsidRDefault="00734827" w:rsidP="00734827">
      <w:pPr>
        <w:pStyle w:val="Textonotapie"/>
        <w:rPr>
          <w:lang w:val="pt-PT"/>
        </w:rPr>
      </w:pPr>
      <w:r>
        <w:rPr>
          <w:rStyle w:val="Refdenotaalpie"/>
        </w:rPr>
        <w:footnoteRef/>
      </w:r>
      <w:r w:rsidRPr="00BA099F">
        <w:rPr>
          <w:lang w:val="pt-PT"/>
        </w:rPr>
        <w:t xml:space="preserve"> </w:t>
      </w:r>
      <w:r w:rsidRPr="00BA099F">
        <w:rPr>
          <w:lang w:val="pt-PT"/>
        </w:rPr>
        <w:t>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CA40" w14:textId="77777777" w:rsidR="00416865" w:rsidRDefault="0041686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03BF" w14:textId="77777777" w:rsidR="00F07A7D" w:rsidRDefault="00F07A7D">
    <w:pPr>
      <w:pStyle w:val="Encabezado"/>
    </w:pPr>
  </w:p>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5775"/>
      <w:gridCol w:w="1449"/>
    </w:tblGrid>
    <w:tr w:rsidR="008C703D" w14:paraId="190BE4D9" w14:textId="77777777" w:rsidTr="008C703D">
      <w:tc>
        <w:tcPr>
          <w:tcW w:w="3574" w:type="dxa"/>
        </w:tcPr>
        <w:p w14:paraId="09BB7B8D" w14:textId="74D00299" w:rsidR="008C703D" w:rsidRPr="00366F75" w:rsidRDefault="00B237AC" w:rsidP="00366F75">
          <w:pPr>
            <w:rPr>
              <w:rFonts w:ascii="Times New Roman" w:hAnsi="Times New Roman"/>
              <w:sz w:val="24"/>
              <w:szCs w:val="24"/>
              <w:lang w:val="es-CO" w:eastAsia="es-CO"/>
            </w:rPr>
          </w:pPr>
          <w:r>
            <w:rPr>
              <w:noProof/>
            </w:rPr>
            <w:drawing>
              <wp:inline distT="0" distB="0" distL="0" distR="0" wp14:anchorId="075A7932" wp14:editId="6A19A4B1">
                <wp:extent cx="2095500" cy="571500"/>
                <wp:effectExtent l="0" t="0" r="0" b="0"/>
                <wp:docPr id="81" name="Imagen 81" descr="71B3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1B32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71500"/>
                        </a:xfrm>
                        <a:prstGeom prst="rect">
                          <a:avLst/>
                        </a:prstGeom>
                        <a:noFill/>
                        <a:ln>
                          <a:noFill/>
                        </a:ln>
                      </pic:spPr>
                    </pic:pic>
                  </a:graphicData>
                </a:graphic>
              </wp:inline>
            </w:drawing>
          </w:r>
        </w:p>
      </w:tc>
      <w:tc>
        <w:tcPr>
          <w:tcW w:w="5775" w:type="dxa"/>
          <w:vAlign w:val="center"/>
        </w:tcPr>
        <w:p w14:paraId="787F766F" w14:textId="77777777" w:rsidR="008C703D" w:rsidRDefault="008C703D" w:rsidP="001447C1">
          <w:pPr>
            <w:pStyle w:val="Ttulo2"/>
            <w:ind w:left="72" w:right="72"/>
          </w:pPr>
          <w:r w:rsidRPr="00FD3D04">
            <w:rPr>
              <w:rFonts w:cs="Arial"/>
              <w:bCs/>
              <w:color w:val="000000"/>
              <w:sz w:val="24"/>
              <w:szCs w:val="24"/>
            </w:rPr>
            <w:t>FORMATO MEMORIA JUSTIFICATIVA</w:t>
          </w:r>
        </w:p>
      </w:tc>
      <w:tc>
        <w:tcPr>
          <w:tcW w:w="1449" w:type="dxa"/>
          <w:vAlign w:val="center"/>
        </w:tcPr>
        <w:p w14:paraId="4CEF7297" w14:textId="7E6064B0" w:rsidR="008C703D" w:rsidRDefault="00B237AC" w:rsidP="008C703D">
          <w:pPr>
            <w:pStyle w:val="Ttulo2"/>
            <w:ind w:right="72"/>
          </w:pPr>
          <w:r>
            <w:rPr>
              <w:noProof/>
            </w:rPr>
            <w:drawing>
              <wp:inline distT="0" distB="0" distL="0" distR="0" wp14:anchorId="34E81AE1" wp14:editId="47C57D30">
                <wp:extent cx="647700" cy="609600"/>
                <wp:effectExtent l="0" t="0" r="0" b="0"/>
                <wp:docPr id="82" name="Imagen 82" descr="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r>
  </w:tbl>
  <w:p w14:paraId="78571213" w14:textId="77777777" w:rsidR="00F07A7D" w:rsidRDefault="00F07A7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5752"/>
      <w:gridCol w:w="1979"/>
    </w:tblGrid>
    <w:tr w:rsidR="008C703D" w14:paraId="20778B37" w14:textId="77777777" w:rsidTr="00D97F1C">
      <w:trPr>
        <w:trHeight w:val="1408"/>
      </w:trPr>
      <w:tc>
        <w:tcPr>
          <w:tcW w:w="3067" w:type="dxa"/>
        </w:tcPr>
        <w:p w14:paraId="69C28DE1" w14:textId="716EAEEE" w:rsidR="008C703D" w:rsidRPr="00366F75" w:rsidRDefault="002B5285" w:rsidP="00D97F1C">
          <w:pPr>
            <w:jc w:val="center"/>
            <w:rPr>
              <w:rFonts w:ascii="Times New Roman" w:hAnsi="Times New Roman"/>
              <w:sz w:val="24"/>
              <w:szCs w:val="24"/>
              <w:lang w:val="es-CO" w:eastAsia="es-CO"/>
            </w:rPr>
          </w:pPr>
          <w:r>
            <w:rPr>
              <w:rFonts w:ascii="Times New Roman" w:hAnsi="Times New Roman"/>
              <w:noProof/>
              <w:sz w:val="24"/>
              <w:szCs w:val="24"/>
              <w:lang w:val="es-CO" w:eastAsia="es-CO"/>
            </w:rPr>
            <w:drawing>
              <wp:inline distT="0" distB="0" distL="0" distR="0" wp14:anchorId="3E39D739" wp14:editId="535DE86C">
                <wp:extent cx="478790" cy="857250"/>
                <wp:effectExtent l="0" t="0" r="0" b="0"/>
                <wp:docPr id="2004918440" name="Imagen 4" descr="Imagen que contiene competencia de atletismo, dibujo, tabla, balonces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18440" name="Imagen 4" descr="Imagen que contiene competencia de atletismo, dibujo, tabla, balonces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79415" cy="858369"/>
                        </a:xfrm>
                        <a:prstGeom prst="rect">
                          <a:avLst/>
                        </a:prstGeom>
                      </pic:spPr>
                    </pic:pic>
                  </a:graphicData>
                </a:graphic>
              </wp:inline>
            </w:drawing>
          </w:r>
        </w:p>
      </w:tc>
      <w:tc>
        <w:tcPr>
          <w:tcW w:w="5752" w:type="dxa"/>
          <w:vAlign w:val="center"/>
        </w:tcPr>
        <w:p w14:paraId="67C9E327" w14:textId="77777777" w:rsidR="008C703D" w:rsidRDefault="008C703D" w:rsidP="00FD3D04">
          <w:pPr>
            <w:pStyle w:val="Ttulo2"/>
            <w:ind w:left="72" w:right="72"/>
          </w:pPr>
          <w:r w:rsidRPr="00FD3D04">
            <w:rPr>
              <w:rFonts w:cs="Arial"/>
              <w:bCs/>
              <w:color w:val="000000"/>
              <w:sz w:val="24"/>
              <w:szCs w:val="24"/>
            </w:rPr>
            <w:t>FORMATO MEMORIA JUSTIFICATIVA</w:t>
          </w:r>
        </w:p>
      </w:tc>
      <w:tc>
        <w:tcPr>
          <w:tcW w:w="1979" w:type="dxa"/>
          <w:vAlign w:val="center"/>
        </w:tcPr>
        <w:p w14:paraId="471C3705" w14:textId="1AC9FB15" w:rsidR="008C703D" w:rsidRDefault="00B237AC" w:rsidP="008C703D">
          <w:pPr>
            <w:pStyle w:val="Ttulo2"/>
            <w:ind w:right="72"/>
          </w:pPr>
          <w:r>
            <w:rPr>
              <w:noProof/>
            </w:rPr>
            <w:drawing>
              <wp:inline distT="0" distB="0" distL="0" distR="0" wp14:anchorId="2F43C1A8" wp14:editId="4D56ECDF">
                <wp:extent cx="647700" cy="609600"/>
                <wp:effectExtent l="0" t="0" r="0" b="0"/>
                <wp:docPr id="85" name="Imagen 85" descr="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r>
  </w:tbl>
  <w:p w14:paraId="25249300" w14:textId="77777777" w:rsidR="00350767" w:rsidRDefault="003507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073"/>
    <w:multiLevelType w:val="hybridMultilevel"/>
    <w:tmpl w:val="903E42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1B7AA8"/>
    <w:multiLevelType w:val="hybridMultilevel"/>
    <w:tmpl w:val="C7A0D9CE"/>
    <w:lvl w:ilvl="0" w:tplc="6C3E1EFE">
      <w:start w:val="1"/>
      <w:numFmt w:val="decimal"/>
      <w:lvlText w:val="%1."/>
      <w:lvlJc w:val="left"/>
      <w:pPr>
        <w:tabs>
          <w:tab w:val="num" w:pos="720"/>
        </w:tabs>
        <w:ind w:left="720" w:hanging="360"/>
      </w:pPr>
    </w:lvl>
    <w:lvl w:ilvl="1" w:tplc="5E38E59C" w:tentative="1">
      <w:start w:val="1"/>
      <w:numFmt w:val="decimal"/>
      <w:lvlText w:val="%2."/>
      <w:lvlJc w:val="left"/>
      <w:pPr>
        <w:tabs>
          <w:tab w:val="num" w:pos="1440"/>
        </w:tabs>
        <w:ind w:left="1440" w:hanging="360"/>
      </w:pPr>
    </w:lvl>
    <w:lvl w:ilvl="2" w:tplc="3ECEF144" w:tentative="1">
      <w:start w:val="1"/>
      <w:numFmt w:val="decimal"/>
      <w:lvlText w:val="%3."/>
      <w:lvlJc w:val="left"/>
      <w:pPr>
        <w:tabs>
          <w:tab w:val="num" w:pos="2160"/>
        </w:tabs>
        <w:ind w:left="2160" w:hanging="360"/>
      </w:pPr>
    </w:lvl>
    <w:lvl w:ilvl="3" w:tplc="7C72942E" w:tentative="1">
      <w:start w:val="1"/>
      <w:numFmt w:val="decimal"/>
      <w:lvlText w:val="%4."/>
      <w:lvlJc w:val="left"/>
      <w:pPr>
        <w:tabs>
          <w:tab w:val="num" w:pos="2880"/>
        </w:tabs>
        <w:ind w:left="2880" w:hanging="360"/>
      </w:pPr>
    </w:lvl>
    <w:lvl w:ilvl="4" w:tplc="15B66BCA" w:tentative="1">
      <w:start w:val="1"/>
      <w:numFmt w:val="decimal"/>
      <w:lvlText w:val="%5."/>
      <w:lvlJc w:val="left"/>
      <w:pPr>
        <w:tabs>
          <w:tab w:val="num" w:pos="3600"/>
        </w:tabs>
        <w:ind w:left="3600" w:hanging="360"/>
      </w:pPr>
    </w:lvl>
    <w:lvl w:ilvl="5" w:tplc="9F9E177C" w:tentative="1">
      <w:start w:val="1"/>
      <w:numFmt w:val="decimal"/>
      <w:lvlText w:val="%6."/>
      <w:lvlJc w:val="left"/>
      <w:pPr>
        <w:tabs>
          <w:tab w:val="num" w:pos="4320"/>
        </w:tabs>
        <w:ind w:left="4320" w:hanging="360"/>
      </w:pPr>
    </w:lvl>
    <w:lvl w:ilvl="6" w:tplc="2EDE5CAA" w:tentative="1">
      <w:start w:val="1"/>
      <w:numFmt w:val="decimal"/>
      <w:lvlText w:val="%7."/>
      <w:lvlJc w:val="left"/>
      <w:pPr>
        <w:tabs>
          <w:tab w:val="num" w:pos="5040"/>
        </w:tabs>
        <w:ind w:left="5040" w:hanging="360"/>
      </w:pPr>
    </w:lvl>
    <w:lvl w:ilvl="7" w:tplc="453800D0" w:tentative="1">
      <w:start w:val="1"/>
      <w:numFmt w:val="decimal"/>
      <w:lvlText w:val="%8."/>
      <w:lvlJc w:val="left"/>
      <w:pPr>
        <w:tabs>
          <w:tab w:val="num" w:pos="5760"/>
        </w:tabs>
        <w:ind w:left="5760" w:hanging="360"/>
      </w:pPr>
    </w:lvl>
    <w:lvl w:ilvl="8" w:tplc="6D086DE4" w:tentative="1">
      <w:start w:val="1"/>
      <w:numFmt w:val="decimal"/>
      <w:lvlText w:val="%9."/>
      <w:lvlJc w:val="left"/>
      <w:pPr>
        <w:tabs>
          <w:tab w:val="num" w:pos="6480"/>
        </w:tabs>
        <w:ind w:left="6480" w:hanging="360"/>
      </w:pPr>
    </w:lvl>
  </w:abstractNum>
  <w:abstractNum w:abstractNumId="2" w15:restartNumberingAfterBreak="0">
    <w:nsid w:val="05C15AB7"/>
    <w:multiLevelType w:val="hybridMultilevel"/>
    <w:tmpl w:val="D4E88312"/>
    <w:lvl w:ilvl="0" w:tplc="FFFFFFFF">
      <w:start w:val="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95F1F71"/>
    <w:multiLevelType w:val="hybridMultilevel"/>
    <w:tmpl w:val="E220938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937E34"/>
    <w:multiLevelType w:val="hybridMultilevel"/>
    <w:tmpl w:val="EBC2F2E6"/>
    <w:lvl w:ilvl="0" w:tplc="D3C24856">
      <w:numFmt w:val="bullet"/>
      <w:lvlText w:val="-"/>
      <w:lvlJc w:val="left"/>
      <w:pPr>
        <w:ind w:left="360" w:hanging="360"/>
      </w:pPr>
      <w:rPr>
        <w:rFonts w:ascii="Arial" w:eastAsia="Arial Unicode MS" w:hAnsi="Arial" w:cs="Arial" w:hint="default"/>
      </w:rPr>
    </w:lvl>
    <w:lvl w:ilvl="1" w:tplc="240A000D">
      <w:start w:val="1"/>
      <w:numFmt w:val="bullet"/>
      <w:lvlText w:val=""/>
      <w:lvlJc w:val="left"/>
      <w:pPr>
        <w:ind w:left="1080" w:hanging="360"/>
      </w:pPr>
      <w:rPr>
        <w:rFonts w:ascii="Wingdings" w:hAnsi="Wingdings"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5" w15:restartNumberingAfterBreak="0">
    <w:nsid w:val="0DE945B7"/>
    <w:multiLevelType w:val="hybridMultilevel"/>
    <w:tmpl w:val="9BA8E9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F7F2FD2"/>
    <w:multiLevelType w:val="hybridMultilevel"/>
    <w:tmpl w:val="23780C54"/>
    <w:lvl w:ilvl="0" w:tplc="7122AF36">
      <w:start w:val="1"/>
      <w:numFmt w:val="decimal"/>
      <w:lvlText w:val="%1."/>
      <w:lvlJc w:val="left"/>
      <w:pPr>
        <w:ind w:left="720" w:hanging="360"/>
      </w:pPr>
      <w:rPr>
        <w:rFonts w:ascii="Arial" w:eastAsia="Calibri" w:hAnsi="Arial" w:cs="Arial" w:hint="default"/>
        <w:b/>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57E2A17"/>
    <w:multiLevelType w:val="hybridMultilevel"/>
    <w:tmpl w:val="D4E88312"/>
    <w:lvl w:ilvl="0" w:tplc="FFFFFFFF">
      <w:start w:val="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6237551"/>
    <w:multiLevelType w:val="hybridMultilevel"/>
    <w:tmpl w:val="F31863BA"/>
    <w:lvl w:ilvl="0" w:tplc="4844D3A2">
      <w:start w:val="1"/>
      <w:numFmt w:val="decimal"/>
      <w:lvlText w:val="%1."/>
      <w:lvlJc w:val="left"/>
      <w:pPr>
        <w:tabs>
          <w:tab w:val="num" w:pos="720"/>
        </w:tabs>
        <w:ind w:left="720" w:hanging="360"/>
      </w:pPr>
    </w:lvl>
    <w:lvl w:ilvl="1" w:tplc="6AB2CE74">
      <w:start w:val="1"/>
      <w:numFmt w:val="lowerLetter"/>
      <w:lvlText w:val="%2."/>
      <w:lvlJc w:val="left"/>
      <w:pPr>
        <w:tabs>
          <w:tab w:val="num" w:pos="1440"/>
        </w:tabs>
        <w:ind w:left="1440" w:hanging="360"/>
      </w:pPr>
    </w:lvl>
    <w:lvl w:ilvl="2" w:tplc="AF469408" w:tentative="1">
      <w:start w:val="1"/>
      <w:numFmt w:val="decimal"/>
      <w:lvlText w:val="%3."/>
      <w:lvlJc w:val="left"/>
      <w:pPr>
        <w:tabs>
          <w:tab w:val="num" w:pos="2160"/>
        </w:tabs>
        <w:ind w:left="2160" w:hanging="360"/>
      </w:pPr>
    </w:lvl>
    <w:lvl w:ilvl="3" w:tplc="74B006E4" w:tentative="1">
      <w:start w:val="1"/>
      <w:numFmt w:val="decimal"/>
      <w:lvlText w:val="%4."/>
      <w:lvlJc w:val="left"/>
      <w:pPr>
        <w:tabs>
          <w:tab w:val="num" w:pos="2880"/>
        </w:tabs>
        <w:ind w:left="2880" w:hanging="360"/>
      </w:pPr>
    </w:lvl>
    <w:lvl w:ilvl="4" w:tplc="D234A008" w:tentative="1">
      <w:start w:val="1"/>
      <w:numFmt w:val="decimal"/>
      <w:lvlText w:val="%5."/>
      <w:lvlJc w:val="left"/>
      <w:pPr>
        <w:tabs>
          <w:tab w:val="num" w:pos="3600"/>
        </w:tabs>
        <w:ind w:left="3600" w:hanging="360"/>
      </w:pPr>
    </w:lvl>
    <w:lvl w:ilvl="5" w:tplc="CE5E6C8C" w:tentative="1">
      <w:start w:val="1"/>
      <w:numFmt w:val="decimal"/>
      <w:lvlText w:val="%6."/>
      <w:lvlJc w:val="left"/>
      <w:pPr>
        <w:tabs>
          <w:tab w:val="num" w:pos="4320"/>
        </w:tabs>
        <w:ind w:left="4320" w:hanging="360"/>
      </w:pPr>
    </w:lvl>
    <w:lvl w:ilvl="6" w:tplc="BDE48C7A" w:tentative="1">
      <w:start w:val="1"/>
      <w:numFmt w:val="decimal"/>
      <w:lvlText w:val="%7."/>
      <w:lvlJc w:val="left"/>
      <w:pPr>
        <w:tabs>
          <w:tab w:val="num" w:pos="5040"/>
        </w:tabs>
        <w:ind w:left="5040" w:hanging="360"/>
      </w:pPr>
    </w:lvl>
    <w:lvl w:ilvl="7" w:tplc="C144C09A" w:tentative="1">
      <w:start w:val="1"/>
      <w:numFmt w:val="decimal"/>
      <w:lvlText w:val="%8."/>
      <w:lvlJc w:val="left"/>
      <w:pPr>
        <w:tabs>
          <w:tab w:val="num" w:pos="5760"/>
        </w:tabs>
        <w:ind w:left="5760" w:hanging="360"/>
      </w:pPr>
    </w:lvl>
    <w:lvl w:ilvl="8" w:tplc="696275EC" w:tentative="1">
      <w:start w:val="1"/>
      <w:numFmt w:val="decimal"/>
      <w:lvlText w:val="%9."/>
      <w:lvlJc w:val="left"/>
      <w:pPr>
        <w:tabs>
          <w:tab w:val="num" w:pos="6480"/>
        </w:tabs>
        <w:ind w:left="6480" w:hanging="360"/>
      </w:pPr>
    </w:lvl>
  </w:abstractNum>
  <w:abstractNum w:abstractNumId="9" w15:restartNumberingAfterBreak="0">
    <w:nsid w:val="178D43E1"/>
    <w:multiLevelType w:val="hybridMultilevel"/>
    <w:tmpl w:val="3E3C0C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80077F4"/>
    <w:multiLevelType w:val="hybridMultilevel"/>
    <w:tmpl w:val="471ED7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18D45B4F"/>
    <w:multiLevelType w:val="hybridMultilevel"/>
    <w:tmpl w:val="AA66A2AC"/>
    <w:lvl w:ilvl="0" w:tplc="14BA60AE">
      <w:start w:val="4"/>
      <w:numFmt w:val="bullet"/>
      <w:lvlText w:val="-"/>
      <w:lvlJc w:val="left"/>
      <w:pPr>
        <w:ind w:left="720" w:hanging="360"/>
      </w:pPr>
      <w:rPr>
        <w:rFonts w:ascii="Arial" w:hAnsi="Arial" w:hint="default"/>
      </w:rPr>
    </w:lvl>
    <w:lvl w:ilvl="1" w:tplc="8A3C8CBA">
      <w:start w:val="1"/>
      <w:numFmt w:val="bullet"/>
      <w:lvlText w:val="o"/>
      <w:lvlJc w:val="left"/>
      <w:pPr>
        <w:ind w:left="1440" w:hanging="360"/>
      </w:pPr>
      <w:rPr>
        <w:rFonts w:ascii="Courier New" w:hAnsi="Courier New" w:hint="default"/>
      </w:rPr>
    </w:lvl>
    <w:lvl w:ilvl="2" w:tplc="2F8C6564">
      <w:start w:val="1"/>
      <w:numFmt w:val="bullet"/>
      <w:lvlText w:val=""/>
      <w:lvlJc w:val="left"/>
      <w:pPr>
        <w:ind w:left="2160" w:hanging="360"/>
      </w:pPr>
      <w:rPr>
        <w:rFonts w:ascii="Wingdings" w:hAnsi="Wingdings" w:hint="default"/>
      </w:rPr>
    </w:lvl>
    <w:lvl w:ilvl="3" w:tplc="24DC7096">
      <w:start w:val="1"/>
      <w:numFmt w:val="bullet"/>
      <w:lvlText w:val=""/>
      <w:lvlJc w:val="left"/>
      <w:pPr>
        <w:ind w:left="2880" w:hanging="360"/>
      </w:pPr>
      <w:rPr>
        <w:rFonts w:ascii="Symbol" w:hAnsi="Symbol" w:hint="default"/>
      </w:rPr>
    </w:lvl>
    <w:lvl w:ilvl="4" w:tplc="ABBE06EA">
      <w:start w:val="1"/>
      <w:numFmt w:val="bullet"/>
      <w:lvlText w:val="o"/>
      <w:lvlJc w:val="left"/>
      <w:pPr>
        <w:ind w:left="3600" w:hanging="360"/>
      </w:pPr>
      <w:rPr>
        <w:rFonts w:ascii="Courier New" w:hAnsi="Courier New" w:hint="default"/>
      </w:rPr>
    </w:lvl>
    <w:lvl w:ilvl="5" w:tplc="90D4A96C">
      <w:start w:val="1"/>
      <w:numFmt w:val="bullet"/>
      <w:lvlText w:val=""/>
      <w:lvlJc w:val="left"/>
      <w:pPr>
        <w:ind w:left="4320" w:hanging="360"/>
      </w:pPr>
      <w:rPr>
        <w:rFonts w:ascii="Wingdings" w:hAnsi="Wingdings" w:hint="default"/>
      </w:rPr>
    </w:lvl>
    <w:lvl w:ilvl="6" w:tplc="068EF9D4">
      <w:start w:val="1"/>
      <w:numFmt w:val="bullet"/>
      <w:lvlText w:val=""/>
      <w:lvlJc w:val="left"/>
      <w:pPr>
        <w:ind w:left="5040" w:hanging="360"/>
      </w:pPr>
      <w:rPr>
        <w:rFonts w:ascii="Symbol" w:hAnsi="Symbol" w:hint="default"/>
      </w:rPr>
    </w:lvl>
    <w:lvl w:ilvl="7" w:tplc="F6FCB1B0">
      <w:start w:val="1"/>
      <w:numFmt w:val="bullet"/>
      <w:lvlText w:val="o"/>
      <w:lvlJc w:val="left"/>
      <w:pPr>
        <w:ind w:left="5760" w:hanging="360"/>
      </w:pPr>
      <w:rPr>
        <w:rFonts w:ascii="Courier New" w:hAnsi="Courier New" w:hint="default"/>
      </w:rPr>
    </w:lvl>
    <w:lvl w:ilvl="8" w:tplc="51EA15C2">
      <w:start w:val="1"/>
      <w:numFmt w:val="bullet"/>
      <w:lvlText w:val=""/>
      <w:lvlJc w:val="left"/>
      <w:pPr>
        <w:ind w:left="6480" w:hanging="360"/>
      </w:pPr>
      <w:rPr>
        <w:rFonts w:ascii="Wingdings" w:hAnsi="Wingdings" w:hint="default"/>
      </w:rPr>
    </w:lvl>
  </w:abstractNum>
  <w:abstractNum w:abstractNumId="12" w15:restartNumberingAfterBreak="0">
    <w:nsid w:val="1B331E40"/>
    <w:multiLevelType w:val="hybridMultilevel"/>
    <w:tmpl w:val="7EB8E8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9225D5"/>
    <w:multiLevelType w:val="hybridMultilevel"/>
    <w:tmpl w:val="2752FB6E"/>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4" w15:restartNumberingAfterBreak="0">
    <w:nsid w:val="1EEB6321"/>
    <w:multiLevelType w:val="hybridMultilevel"/>
    <w:tmpl w:val="0B3AEA3A"/>
    <w:lvl w:ilvl="0" w:tplc="811E011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F7F7418"/>
    <w:multiLevelType w:val="hybridMultilevel"/>
    <w:tmpl w:val="561034C0"/>
    <w:lvl w:ilvl="0" w:tplc="C688F99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5CC3AAB"/>
    <w:multiLevelType w:val="hybridMultilevel"/>
    <w:tmpl w:val="C72A38F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E30D56"/>
    <w:multiLevelType w:val="hybridMultilevel"/>
    <w:tmpl w:val="B512F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C7D6525"/>
    <w:multiLevelType w:val="hybridMultilevel"/>
    <w:tmpl w:val="14323D5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C8D575C"/>
    <w:multiLevelType w:val="hybridMultilevel"/>
    <w:tmpl w:val="903E42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FC438A4"/>
    <w:multiLevelType w:val="hybridMultilevel"/>
    <w:tmpl w:val="CC544A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917AA6"/>
    <w:multiLevelType w:val="hybridMultilevel"/>
    <w:tmpl w:val="78BE8B20"/>
    <w:lvl w:ilvl="0" w:tplc="D10EA2F8">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8333F05"/>
    <w:multiLevelType w:val="hybridMultilevel"/>
    <w:tmpl w:val="DBDC35E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96341FF"/>
    <w:multiLevelType w:val="multilevel"/>
    <w:tmpl w:val="078847B8"/>
    <w:lvl w:ilvl="0">
      <w:start w:val="2"/>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A7C7321"/>
    <w:multiLevelType w:val="hybridMultilevel"/>
    <w:tmpl w:val="EF704034"/>
    <w:lvl w:ilvl="0" w:tplc="3AAE91AA">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F32023"/>
    <w:multiLevelType w:val="hybridMultilevel"/>
    <w:tmpl w:val="E91C692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40A3792D"/>
    <w:multiLevelType w:val="hybridMultilevel"/>
    <w:tmpl w:val="1150A7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1951468"/>
    <w:multiLevelType w:val="hybridMultilevel"/>
    <w:tmpl w:val="D4E88312"/>
    <w:lvl w:ilvl="0" w:tplc="EEE43B1A">
      <w:start w:val="3"/>
      <w:numFmt w:val="decimal"/>
      <w:lvlText w:val="%1."/>
      <w:lvlJc w:val="left"/>
      <w:pPr>
        <w:ind w:left="720" w:hanging="360"/>
      </w:pPr>
    </w:lvl>
    <w:lvl w:ilvl="1" w:tplc="A26821BC">
      <w:start w:val="1"/>
      <w:numFmt w:val="lowerLetter"/>
      <w:lvlText w:val="%2."/>
      <w:lvlJc w:val="left"/>
      <w:pPr>
        <w:ind w:left="1440" w:hanging="360"/>
      </w:pPr>
    </w:lvl>
    <w:lvl w:ilvl="2" w:tplc="7D1640BA">
      <w:start w:val="1"/>
      <w:numFmt w:val="lowerRoman"/>
      <w:lvlText w:val="%3."/>
      <w:lvlJc w:val="right"/>
      <w:pPr>
        <w:ind w:left="2160" w:hanging="180"/>
      </w:pPr>
    </w:lvl>
    <w:lvl w:ilvl="3" w:tplc="74AED924">
      <w:start w:val="1"/>
      <w:numFmt w:val="decimal"/>
      <w:lvlText w:val="%4."/>
      <w:lvlJc w:val="left"/>
      <w:pPr>
        <w:ind w:left="2880" w:hanging="360"/>
      </w:pPr>
    </w:lvl>
    <w:lvl w:ilvl="4" w:tplc="B9F4799E">
      <w:start w:val="1"/>
      <w:numFmt w:val="lowerLetter"/>
      <w:lvlText w:val="%5."/>
      <w:lvlJc w:val="left"/>
      <w:pPr>
        <w:ind w:left="3600" w:hanging="360"/>
      </w:pPr>
    </w:lvl>
    <w:lvl w:ilvl="5" w:tplc="352665AC">
      <w:start w:val="1"/>
      <w:numFmt w:val="lowerRoman"/>
      <w:lvlText w:val="%6."/>
      <w:lvlJc w:val="right"/>
      <w:pPr>
        <w:ind w:left="4320" w:hanging="180"/>
      </w:pPr>
    </w:lvl>
    <w:lvl w:ilvl="6" w:tplc="EA5ED0F6">
      <w:start w:val="1"/>
      <w:numFmt w:val="decimal"/>
      <w:lvlText w:val="%7."/>
      <w:lvlJc w:val="left"/>
      <w:pPr>
        <w:ind w:left="5040" w:hanging="360"/>
      </w:pPr>
    </w:lvl>
    <w:lvl w:ilvl="7" w:tplc="077EDB4A">
      <w:start w:val="1"/>
      <w:numFmt w:val="lowerLetter"/>
      <w:lvlText w:val="%8."/>
      <w:lvlJc w:val="left"/>
      <w:pPr>
        <w:ind w:left="5760" w:hanging="360"/>
      </w:pPr>
    </w:lvl>
    <w:lvl w:ilvl="8" w:tplc="230024F6">
      <w:start w:val="1"/>
      <w:numFmt w:val="lowerRoman"/>
      <w:lvlText w:val="%9."/>
      <w:lvlJc w:val="right"/>
      <w:pPr>
        <w:ind w:left="6480" w:hanging="180"/>
      </w:pPr>
    </w:lvl>
  </w:abstractNum>
  <w:abstractNum w:abstractNumId="28" w15:restartNumberingAfterBreak="0">
    <w:nsid w:val="44BC1A61"/>
    <w:multiLevelType w:val="hybridMultilevel"/>
    <w:tmpl w:val="9C96BFC6"/>
    <w:lvl w:ilvl="0" w:tplc="AE5A3DC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9127B63"/>
    <w:multiLevelType w:val="hybridMultilevel"/>
    <w:tmpl w:val="7BC80F2C"/>
    <w:lvl w:ilvl="0" w:tplc="FFFFFFFF">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FE38A9"/>
    <w:multiLevelType w:val="hybridMultilevel"/>
    <w:tmpl w:val="B6C654B2"/>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1" w15:restartNumberingAfterBreak="0">
    <w:nsid w:val="4D811299"/>
    <w:multiLevelType w:val="hybridMultilevel"/>
    <w:tmpl w:val="4CAE1F3E"/>
    <w:lvl w:ilvl="0" w:tplc="C5F83004">
      <w:start w:val="1440"/>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2820AD0"/>
    <w:multiLevelType w:val="hybridMultilevel"/>
    <w:tmpl w:val="44084084"/>
    <w:lvl w:ilvl="0" w:tplc="240A000D">
      <w:start w:val="1"/>
      <w:numFmt w:val="bullet"/>
      <w:lvlText w:val=""/>
      <w:lvlJc w:val="left"/>
      <w:pPr>
        <w:ind w:left="-1020" w:hanging="360"/>
      </w:pPr>
      <w:rPr>
        <w:rFonts w:ascii="Wingdings" w:hAnsi="Wingdings" w:hint="default"/>
      </w:rPr>
    </w:lvl>
    <w:lvl w:ilvl="1" w:tplc="240A0003" w:tentative="1">
      <w:start w:val="1"/>
      <w:numFmt w:val="bullet"/>
      <w:lvlText w:val="o"/>
      <w:lvlJc w:val="left"/>
      <w:pPr>
        <w:ind w:left="-300" w:hanging="360"/>
      </w:pPr>
      <w:rPr>
        <w:rFonts w:ascii="Courier New" w:hAnsi="Courier New" w:cs="Courier New" w:hint="default"/>
      </w:rPr>
    </w:lvl>
    <w:lvl w:ilvl="2" w:tplc="240A0005" w:tentative="1">
      <w:start w:val="1"/>
      <w:numFmt w:val="bullet"/>
      <w:lvlText w:val=""/>
      <w:lvlJc w:val="left"/>
      <w:pPr>
        <w:ind w:left="420" w:hanging="360"/>
      </w:pPr>
      <w:rPr>
        <w:rFonts w:ascii="Wingdings" w:hAnsi="Wingdings" w:hint="default"/>
      </w:rPr>
    </w:lvl>
    <w:lvl w:ilvl="3" w:tplc="240A0001" w:tentative="1">
      <w:start w:val="1"/>
      <w:numFmt w:val="bullet"/>
      <w:lvlText w:val=""/>
      <w:lvlJc w:val="left"/>
      <w:pPr>
        <w:ind w:left="1140" w:hanging="360"/>
      </w:pPr>
      <w:rPr>
        <w:rFonts w:ascii="Symbol" w:hAnsi="Symbol" w:hint="default"/>
      </w:rPr>
    </w:lvl>
    <w:lvl w:ilvl="4" w:tplc="240A0003" w:tentative="1">
      <w:start w:val="1"/>
      <w:numFmt w:val="bullet"/>
      <w:lvlText w:val="o"/>
      <w:lvlJc w:val="left"/>
      <w:pPr>
        <w:ind w:left="1860" w:hanging="360"/>
      </w:pPr>
      <w:rPr>
        <w:rFonts w:ascii="Courier New" w:hAnsi="Courier New" w:cs="Courier New" w:hint="default"/>
      </w:rPr>
    </w:lvl>
    <w:lvl w:ilvl="5" w:tplc="240A0005" w:tentative="1">
      <w:start w:val="1"/>
      <w:numFmt w:val="bullet"/>
      <w:lvlText w:val=""/>
      <w:lvlJc w:val="left"/>
      <w:pPr>
        <w:ind w:left="2580" w:hanging="360"/>
      </w:pPr>
      <w:rPr>
        <w:rFonts w:ascii="Wingdings" w:hAnsi="Wingdings" w:hint="default"/>
      </w:rPr>
    </w:lvl>
    <w:lvl w:ilvl="6" w:tplc="240A0001" w:tentative="1">
      <w:start w:val="1"/>
      <w:numFmt w:val="bullet"/>
      <w:lvlText w:val=""/>
      <w:lvlJc w:val="left"/>
      <w:pPr>
        <w:ind w:left="3300" w:hanging="360"/>
      </w:pPr>
      <w:rPr>
        <w:rFonts w:ascii="Symbol" w:hAnsi="Symbol" w:hint="default"/>
      </w:rPr>
    </w:lvl>
    <w:lvl w:ilvl="7" w:tplc="240A0003" w:tentative="1">
      <w:start w:val="1"/>
      <w:numFmt w:val="bullet"/>
      <w:lvlText w:val="o"/>
      <w:lvlJc w:val="left"/>
      <w:pPr>
        <w:ind w:left="4020" w:hanging="360"/>
      </w:pPr>
      <w:rPr>
        <w:rFonts w:ascii="Courier New" w:hAnsi="Courier New" w:cs="Courier New" w:hint="default"/>
      </w:rPr>
    </w:lvl>
    <w:lvl w:ilvl="8" w:tplc="240A0005" w:tentative="1">
      <w:start w:val="1"/>
      <w:numFmt w:val="bullet"/>
      <w:lvlText w:val=""/>
      <w:lvlJc w:val="left"/>
      <w:pPr>
        <w:ind w:left="4740" w:hanging="360"/>
      </w:pPr>
      <w:rPr>
        <w:rFonts w:ascii="Wingdings" w:hAnsi="Wingdings" w:hint="default"/>
      </w:rPr>
    </w:lvl>
  </w:abstractNum>
  <w:abstractNum w:abstractNumId="33" w15:restartNumberingAfterBreak="0">
    <w:nsid w:val="549CA0CA"/>
    <w:multiLevelType w:val="hybridMultilevel"/>
    <w:tmpl w:val="B656AD2A"/>
    <w:lvl w:ilvl="0" w:tplc="97B816CC">
      <w:start w:val="4"/>
      <w:numFmt w:val="bullet"/>
      <w:lvlText w:val="-"/>
      <w:lvlJc w:val="left"/>
      <w:pPr>
        <w:ind w:left="720" w:hanging="360"/>
      </w:pPr>
      <w:rPr>
        <w:rFonts w:ascii="Arial" w:hAnsi="Arial" w:hint="default"/>
      </w:rPr>
    </w:lvl>
    <w:lvl w:ilvl="1" w:tplc="FAE831AA">
      <w:start w:val="1"/>
      <w:numFmt w:val="bullet"/>
      <w:lvlText w:val="o"/>
      <w:lvlJc w:val="left"/>
      <w:pPr>
        <w:ind w:left="1440" w:hanging="360"/>
      </w:pPr>
      <w:rPr>
        <w:rFonts w:ascii="Courier New" w:hAnsi="Courier New" w:hint="default"/>
      </w:rPr>
    </w:lvl>
    <w:lvl w:ilvl="2" w:tplc="BFAEEA30">
      <w:start w:val="1"/>
      <w:numFmt w:val="bullet"/>
      <w:lvlText w:val=""/>
      <w:lvlJc w:val="left"/>
      <w:pPr>
        <w:ind w:left="2160" w:hanging="360"/>
      </w:pPr>
      <w:rPr>
        <w:rFonts w:ascii="Wingdings" w:hAnsi="Wingdings" w:hint="default"/>
      </w:rPr>
    </w:lvl>
    <w:lvl w:ilvl="3" w:tplc="F2507F36">
      <w:start w:val="1"/>
      <w:numFmt w:val="bullet"/>
      <w:lvlText w:val=""/>
      <w:lvlJc w:val="left"/>
      <w:pPr>
        <w:ind w:left="2880" w:hanging="360"/>
      </w:pPr>
      <w:rPr>
        <w:rFonts w:ascii="Symbol" w:hAnsi="Symbol" w:hint="default"/>
      </w:rPr>
    </w:lvl>
    <w:lvl w:ilvl="4" w:tplc="C98232F4">
      <w:start w:val="1"/>
      <w:numFmt w:val="bullet"/>
      <w:lvlText w:val="o"/>
      <w:lvlJc w:val="left"/>
      <w:pPr>
        <w:ind w:left="3600" w:hanging="360"/>
      </w:pPr>
      <w:rPr>
        <w:rFonts w:ascii="Courier New" w:hAnsi="Courier New" w:hint="default"/>
      </w:rPr>
    </w:lvl>
    <w:lvl w:ilvl="5" w:tplc="208044C0">
      <w:start w:val="1"/>
      <w:numFmt w:val="bullet"/>
      <w:lvlText w:val=""/>
      <w:lvlJc w:val="left"/>
      <w:pPr>
        <w:ind w:left="4320" w:hanging="360"/>
      </w:pPr>
      <w:rPr>
        <w:rFonts w:ascii="Wingdings" w:hAnsi="Wingdings" w:hint="default"/>
      </w:rPr>
    </w:lvl>
    <w:lvl w:ilvl="6" w:tplc="E2823A9E">
      <w:start w:val="1"/>
      <w:numFmt w:val="bullet"/>
      <w:lvlText w:val=""/>
      <w:lvlJc w:val="left"/>
      <w:pPr>
        <w:ind w:left="5040" w:hanging="360"/>
      </w:pPr>
      <w:rPr>
        <w:rFonts w:ascii="Symbol" w:hAnsi="Symbol" w:hint="default"/>
      </w:rPr>
    </w:lvl>
    <w:lvl w:ilvl="7" w:tplc="42A65936">
      <w:start w:val="1"/>
      <w:numFmt w:val="bullet"/>
      <w:lvlText w:val="o"/>
      <w:lvlJc w:val="left"/>
      <w:pPr>
        <w:ind w:left="5760" w:hanging="360"/>
      </w:pPr>
      <w:rPr>
        <w:rFonts w:ascii="Courier New" w:hAnsi="Courier New" w:hint="default"/>
      </w:rPr>
    </w:lvl>
    <w:lvl w:ilvl="8" w:tplc="DDE2C544">
      <w:start w:val="1"/>
      <w:numFmt w:val="bullet"/>
      <w:lvlText w:val=""/>
      <w:lvlJc w:val="left"/>
      <w:pPr>
        <w:ind w:left="6480" w:hanging="360"/>
      </w:pPr>
      <w:rPr>
        <w:rFonts w:ascii="Wingdings" w:hAnsi="Wingdings" w:hint="default"/>
      </w:rPr>
    </w:lvl>
  </w:abstractNum>
  <w:abstractNum w:abstractNumId="34" w15:restartNumberingAfterBreak="0">
    <w:nsid w:val="54B2767E"/>
    <w:multiLevelType w:val="hybridMultilevel"/>
    <w:tmpl w:val="D4E88312"/>
    <w:lvl w:ilvl="0" w:tplc="FFFFFFFF">
      <w:start w:val="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55612A01"/>
    <w:multiLevelType w:val="hybridMultilevel"/>
    <w:tmpl w:val="516C2342"/>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6" w15:restartNumberingAfterBreak="0">
    <w:nsid w:val="56C63FAB"/>
    <w:multiLevelType w:val="hybridMultilevel"/>
    <w:tmpl w:val="4B266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6FAB730"/>
    <w:multiLevelType w:val="hybridMultilevel"/>
    <w:tmpl w:val="785243CA"/>
    <w:lvl w:ilvl="0" w:tplc="EADEF550">
      <w:start w:val="1"/>
      <w:numFmt w:val="decimal"/>
      <w:lvlText w:val="%1."/>
      <w:lvlJc w:val="left"/>
      <w:pPr>
        <w:ind w:left="720" w:hanging="360"/>
      </w:pPr>
    </w:lvl>
    <w:lvl w:ilvl="1" w:tplc="8632A232">
      <w:start w:val="1"/>
      <w:numFmt w:val="lowerLetter"/>
      <w:lvlText w:val="%2."/>
      <w:lvlJc w:val="left"/>
      <w:pPr>
        <w:ind w:left="1440" w:hanging="360"/>
      </w:pPr>
    </w:lvl>
    <w:lvl w:ilvl="2" w:tplc="C5D06914">
      <w:start w:val="1"/>
      <w:numFmt w:val="lowerRoman"/>
      <w:lvlText w:val="%3."/>
      <w:lvlJc w:val="right"/>
      <w:pPr>
        <w:ind w:left="2160" w:hanging="180"/>
      </w:pPr>
    </w:lvl>
    <w:lvl w:ilvl="3" w:tplc="93B2A2EA">
      <w:start w:val="1"/>
      <w:numFmt w:val="decimal"/>
      <w:lvlText w:val="%4."/>
      <w:lvlJc w:val="left"/>
      <w:pPr>
        <w:ind w:left="2880" w:hanging="360"/>
      </w:pPr>
    </w:lvl>
    <w:lvl w:ilvl="4" w:tplc="9E0EFF90">
      <w:start w:val="1"/>
      <w:numFmt w:val="lowerLetter"/>
      <w:lvlText w:val="%5."/>
      <w:lvlJc w:val="left"/>
      <w:pPr>
        <w:ind w:left="3600" w:hanging="360"/>
      </w:pPr>
    </w:lvl>
    <w:lvl w:ilvl="5" w:tplc="CB2022DE">
      <w:start w:val="1"/>
      <w:numFmt w:val="lowerRoman"/>
      <w:lvlText w:val="%6."/>
      <w:lvlJc w:val="right"/>
      <w:pPr>
        <w:ind w:left="4320" w:hanging="180"/>
      </w:pPr>
    </w:lvl>
    <w:lvl w:ilvl="6" w:tplc="1EE0F996">
      <w:start w:val="1"/>
      <w:numFmt w:val="decimal"/>
      <w:lvlText w:val="%7."/>
      <w:lvlJc w:val="left"/>
      <w:pPr>
        <w:ind w:left="5040" w:hanging="360"/>
      </w:pPr>
    </w:lvl>
    <w:lvl w:ilvl="7" w:tplc="87F2F862">
      <w:start w:val="1"/>
      <w:numFmt w:val="lowerLetter"/>
      <w:lvlText w:val="%8."/>
      <w:lvlJc w:val="left"/>
      <w:pPr>
        <w:ind w:left="5760" w:hanging="360"/>
      </w:pPr>
    </w:lvl>
    <w:lvl w:ilvl="8" w:tplc="8AAA2B8A">
      <w:start w:val="1"/>
      <w:numFmt w:val="lowerRoman"/>
      <w:lvlText w:val="%9."/>
      <w:lvlJc w:val="right"/>
      <w:pPr>
        <w:ind w:left="6480" w:hanging="180"/>
      </w:pPr>
    </w:lvl>
  </w:abstractNum>
  <w:abstractNum w:abstractNumId="38" w15:restartNumberingAfterBreak="0">
    <w:nsid w:val="5988006D"/>
    <w:multiLevelType w:val="hybridMultilevel"/>
    <w:tmpl w:val="1F986C7A"/>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9" w15:restartNumberingAfterBreak="0">
    <w:nsid w:val="599274BB"/>
    <w:multiLevelType w:val="hybridMultilevel"/>
    <w:tmpl w:val="19B6D6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5AC27BD1"/>
    <w:multiLevelType w:val="hybridMultilevel"/>
    <w:tmpl w:val="B00A2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5D4163EC"/>
    <w:multiLevelType w:val="hybridMultilevel"/>
    <w:tmpl w:val="2B166F1E"/>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2" w15:restartNumberingAfterBreak="0">
    <w:nsid w:val="5E202DB5"/>
    <w:multiLevelType w:val="hybridMultilevel"/>
    <w:tmpl w:val="93DCF554"/>
    <w:lvl w:ilvl="0" w:tplc="4AA8817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5F423FF4"/>
    <w:multiLevelType w:val="multilevel"/>
    <w:tmpl w:val="60C2505A"/>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 w15:restartNumberingAfterBreak="0">
    <w:nsid w:val="60682FB7"/>
    <w:multiLevelType w:val="hybridMultilevel"/>
    <w:tmpl w:val="6EB8E7D0"/>
    <w:lvl w:ilvl="0" w:tplc="0C0A000F">
      <w:start w:val="1"/>
      <w:numFmt w:val="decimal"/>
      <w:lvlText w:val="%1."/>
      <w:lvlJc w:val="left"/>
      <w:pPr>
        <w:tabs>
          <w:tab w:val="num" w:pos="720"/>
        </w:tabs>
        <w:ind w:left="720" w:hanging="36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60A438E4"/>
    <w:multiLevelType w:val="hybridMultilevel"/>
    <w:tmpl w:val="1602CE3A"/>
    <w:lvl w:ilvl="0" w:tplc="BB08A936">
      <w:numFmt w:val="bullet"/>
      <w:lvlText w:val="-"/>
      <w:lvlJc w:val="left"/>
      <w:pPr>
        <w:ind w:left="322" w:hanging="360"/>
      </w:pPr>
      <w:rPr>
        <w:rFonts w:ascii="Arial" w:eastAsia="Times" w:hAnsi="Arial" w:cs="Arial" w:hint="default"/>
      </w:rPr>
    </w:lvl>
    <w:lvl w:ilvl="1" w:tplc="240A0003" w:tentative="1">
      <w:start w:val="1"/>
      <w:numFmt w:val="bullet"/>
      <w:lvlText w:val="o"/>
      <w:lvlJc w:val="left"/>
      <w:pPr>
        <w:ind w:left="1042" w:hanging="360"/>
      </w:pPr>
      <w:rPr>
        <w:rFonts w:ascii="Courier New" w:hAnsi="Courier New" w:cs="Courier New" w:hint="default"/>
      </w:rPr>
    </w:lvl>
    <w:lvl w:ilvl="2" w:tplc="240A0005" w:tentative="1">
      <w:start w:val="1"/>
      <w:numFmt w:val="bullet"/>
      <w:lvlText w:val=""/>
      <w:lvlJc w:val="left"/>
      <w:pPr>
        <w:ind w:left="1762" w:hanging="360"/>
      </w:pPr>
      <w:rPr>
        <w:rFonts w:ascii="Wingdings" w:hAnsi="Wingdings" w:hint="default"/>
      </w:rPr>
    </w:lvl>
    <w:lvl w:ilvl="3" w:tplc="240A0001" w:tentative="1">
      <w:start w:val="1"/>
      <w:numFmt w:val="bullet"/>
      <w:lvlText w:val=""/>
      <w:lvlJc w:val="left"/>
      <w:pPr>
        <w:ind w:left="2482" w:hanging="360"/>
      </w:pPr>
      <w:rPr>
        <w:rFonts w:ascii="Symbol" w:hAnsi="Symbol" w:hint="default"/>
      </w:rPr>
    </w:lvl>
    <w:lvl w:ilvl="4" w:tplc="240A0003" w:tentative="1">
      <w:start w:val="1"/>
      <w:numFmt w:val="bullet"/>
      <w:lvlText w:val="o"/>
      <w:lvlJc w:val="left"/>
      <w:pPr>
        <w:ind w:left="3202" w:hanging="360"/>
      </w:pPr>
      <w:rPr>
        <w:rFonts w:ascii="Courier New" w:hAnsi="Courier New" w:cs="Courier New" w:hint="default"/>
      </w:rPr>
    </w:lvl>
    <w:lvl w:ilvl="5" w:tplc="240A0005" w:tentative="1">
      <w:start w:val="1"/>
      <w:numFmt w:val="bullet"/>
      <w:lvlText w:val=""/>
      <w:lvlJc w:val="left"/>
      <w:pPr>
        <w:ind w:left="3922" w:hanging="360"/>
      </w:pPr>
      <w:rPr>
        <w:rFonts w:ascii="Wingdings" w:hAnsi="Wingdings" w:hint="default"/>
      </w:rPr>
    </w:lvl>
    <w:lvl w:ilvl="6" w:tplc="240A0001" w:tentative="1">
      <w:start w:val="1"/>
      <w:numFmt w:val="bullet"/>
      <w:lvlText w:val=""/>
      <w:lvlJc w:val="left"/>
      <w:pPr>
        <w:ind w:left="4642" w:hanging="360"/>
      </w:pPr>
      <w:rPr>
        <w:rFonts w:ascii="Symbol" w:hAnsi="Symbol" w:hint="default"/>
      </w:rPr>
    </w:lvl>
    <w:lvl w:ilvl="7" w:tplc="240A0003" w:tentative="1">
      <w:start w:val="1"/>
      <w:numFmt w:val="bullet"/>
      <w:lvlText w:val="o"/>
      <w:lvlJc w:val="left"/>
      <w:pPr>
        <w:ind w:left="5362" w:hanging="360"/>
      </w:pPr>
      <w:rPr>
        <w:rFonts w:ascii="Courier New" w:hAnsi="Courier New" w:cs="Courier New" w:hint="default"/>
      </w:rPr>
    </w:lvl>
    <w:lvl w:ilvl="8" w:tplc="240A0005" w:tentative="1">
      <w:start w:val="1"/>
      <w:numFmt w:val="bullet"/>
      <w:lvlText w:val=""/>
      <w:lvlJc w:val="left"/>
      <w:pPr>
        <w:ind w:left="6082" w:hanging="360"/>
      </w:pPr>
      <w:rPr>
        <w:rFonts w:ascii="Wingdings" w:hAnsi="Wingdings" w:hint="default"/>
      </w:rPr>
    </w:lvl>
  </w:abstractNum>
  <w:abstractNum w:abstractNumId="46" w15:restartNumberingAfterBreak="0">
    <w:nsid w:val="64573526"/>
    <w:multiLevelType w:val="hybridMultilevel"/>
    <w:tmpl w:val="665E973A"/>
    <w:lvl w:ilvl="0" w:tplc="2C08755A">
      <w:start w:val="1"/>
      <w:numFmt w:val="bullet"/>
      <w:lvlText w:val="•"/>
      <w:lvlJc w:val="left"/>
      <w:pPr>
        <w:tabs>
          <w:tab w:val="num" w:pos="999"/>
        </w:tabs>
        <w:ind w:left="999" w:hanging="360"/>
      </w:pPr>
      <w:rPr>
        <w:rFonts w:ascii="Arial" w:hAnsi="Arial" w:hint="default"/>
      </w:rPr>
    </w:lvl>
    <w:lvl w:ilvl="1" w:tplc="5AD0665A" w:tentative="1">
      <w:start w:val="1"/>
      <w:numFmt w:val="bullet"/>
      <w:lvlText w:val="•"/>
      <w:lvlJc w:val="left"/>
      <w:pPr>
        <w:tabs>
          <w:tab w:val="num" w:pos="1719"/>
        </w:tabs>
        <w:ind w:left="1719" w:hanging="360"/>
      </w:pPr>
      <w:rPr>
        <w:rFonts w:ascii="Arial" w:hAnsi="Arial" w:hint="default"/>
      </w:rPr>
    </w:lvl>
    <w:lvl w:ilvl="2" w:tplc="2AD44A04" w:tentative="1">
      <w:start w:val="1"/>
      <w:numFmt w:val="bullet"/>
      <w:lvlText w:val="•"/>
      <w:lvlJc w:val="left"/>
      <w:pPr>
        <w:tabs>
          <w:tab w:val="num" w:pos="2439"/>
        </w:tabs>
        <w:ind w:left="2439" w:hanging="360"/>
      </w:pPr>
      <w:rPr>
        <w:rFonts w:ascii="Arial" w:hAnsi="Arial" w:hint="default"/>
      </w:rPr>
    </w:lvl>
    <w:lvl w:ilvl="3" w:tplc="07082974" w:tentative="1">
      <w:start w:val="1"/>
      <w:numFmt w:val="bullet"/>
      <w:lvlText w:val="•"/>
      <w:lvlJc w:val="left"/>
      <w:pPr>
        <w:tabs>
          <w:tab w:val="num" w:pos="3159"/>
        </w:tabs>
        <w:ind w:left="3159" w:hanging="360"/>
      </w:pPr>
      <w:rPr>
        <w:rFonts w:ascii="Arial" w:hAnsi="Arial" w:hint="default"/>
      </w:rPr>
    </w:lvl>
    <w:lvl w:ilvl="4" w:tplc="CD76DC7C" w:tentative="1">
      <w:start w:val="1"/>
      <w:numFmt w:val="bullet"/>
      <w:lvlText w:val="•"/>
      <w:lvlJc w:val="left"/>
      <w:pPr>
        <w:tabs>
          <w:tab w:val="num" w:pos="3879"/>
        </w:tabs>
        <w:ind w:left="3879" w:hanging="360"/>
      </w:pPr>
      <w:rPr>
        <w:rFonts w:ascii="Arial" w:hAnsi="Arial" w:hint="default"/>
      </w:rPr>
    </w:lvl>
    <w:lvl w:ilvl="5" w:tplc="3D28A6E6" w:tentative="1">
      <w:start w:val="1"/>
      <w:numFmt w:val="bullet"/>
      <w:lvlText w:val="•"/>
      <w:lvlJc w:val="left"/>
      <w:pPr>
        <w:tabs>
          <w:tab w:val="num" w:pos="4599"/>
        </w:tabs>
        <w:ind w:left="4599" w:hanging="360"/>
      </w:pPr>
      <w:rPr>
        <w:rFonts w:ascii="Arial" w:hAnsi="Arial" w:hint="default"/>
      </w:rPr>
    </w:lvl>
    <w:lvl w:ilvl="6" w:tplc="590A4E18" w:tentative="1">
      <w:start w:val="1"/>
      <w:numFmt w:val="bullet"/>
      <w:lvlText w:val="•"/>
      <w:lvlJc w:val="left"/>
      <w:pPr>
        <w:tabs>
          <w:tab w:val="num" w:pos="5319"/>
        </w:tabs>
        <w:ind w:left="5319" w:hanging="360"/>
      </w:pPr>
      <w:rPr>
        <w:rFonts w:ascii="Arial" w:hAnsi="Arial" w:hint="default"/>
      </w:rPr>
    </w:lvl>
    <w:lvl w:ilvl="7" w:tplc="56BA76D8" w:tentative="1">
      <w:start w:val="1"/>
      <w:numFmt w:val="bullet"/>
      <w:lvlText w:val="•"/>
      <w:lvlJc w:val="left"/>
      <w:pPr>
        <w:tabs>
          <w:tab w:val="num" w:pos="6039"/>
        </w:tabs>
        <w:ind w:left="6039" w:hanging="360"/>
      </w:pPr>
      <w:rPr>
        <w:rFonts w:ascii="Arial" w:hAnsi="Arial" w:hint="default"/>
      </w:rPr>
    </w:lvl>
    <w:lvl w:ilvl="8" w:tplc="D56AD64E" w:tentative="1">
      <w:start w:val="1"/>
      <w:numFmt w:val="bullet"/>
      <w:lvlText w:val="•"/>
      <w:lvlJc w:val="left"/>
      <w:pPr>
        <w:tabs>
          <w:tab w:val="num" w:pos="6759"/>
        </w:tabs>
        <w:ind w:left="6759" w:hanging="360"/>
      </w:pPr>
      <w:rPr>
        <w:rFonts w:ascii="Arial" w:hAnsi="Arial" w:hint="default"/>
      </w:rPr>
    </w:lvl>
  </w:abstractNum>
  <w:abstractNum w:abstractNumId="47" w15:restartNumberingAfterBreak="0">
    <w:nsid w:val="65C86972"/>
    <w:multiLevelType w:val="hybridMultilevel"/>
    <w:tmpl w:val="EF60E5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672F3342"/>
    <w:multiLevelType w:val="hybridMultilevel"/>
    <w:tmpl w:val="903E42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82B19CB"/>
    <w:multiLevelType w:val="hybridMultilevel"/>
    <w:tmpl w:val="359E384C"/>
    <w:lvl w:ilvl="0" w:tplc="48043108">
      <w:start w:val="1"/>
      <w:numFmt w:val="decimal"/>
      <w:lvlText w:val="%1."/>
      <w:lvlJc w:val="left"/>
      <w:pPr>
        <w:ind w:left="360" w:hanging="360"/>
      </w:pPr>
      <w:rPr>
        <w:strike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0" w15:restartNumberingAfterBreak="0">
    <w:nsid w:val="6AFA48A5"/>
    <w:multiLevelType w:val="hybridMultilevel"/>
    <w:tmpl w:val="3E2221D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D8547E6"/>
    <w:multiLevelType w:val="hybridMultilevel"/>
    <w:tmpl w:val="9F3404D0"/>
    <w:lvl w:ilvl="0" w:tplc="89D2AEF6">
      <w:start w:val="1"/>
      <w:numFmt w:val="upperRoman"/>
      <w:lvlText w:val="%1."/>
      <w:lvlJc w:val="left"/>
      <w:pPr>
        <w:tabs>
          <w:tab w:val="num" w:pos="1080"/>
        </w:tabs>
        <w:ind w:left="1080" w:hanging="72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6DFA64E9"/>
    <w:multiLevelType w:val="hybridMultilevel"/>
    <w:tmpl w:val="70E22AB2"/>
    <w:lvl w:ilvl="0" w:tplc="645EFEFA">
      <w:start w:val="1"/>
      <w:numFmt w:val="upperRoman"/>
      <w:lvlText w:val="%1."/>
      <w:lvlJc w:val="left"/>
      <w:pPr>
        <w:tabs>
          <w:tab w:val="num" w:pos="1080"/>
        </w:tabs>
        <w:ind w:left="1080" w:hanging="72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7074639D"/>
    <w:multiLevelType w:val="hybridMultilevel"/>
    <w:tmpl w:val="F692C1A2"/>
    <w:lvl w:ilvl="0" w:tplc="240A000D">
      <w:start w:val="1"/>
      <w:numFmt w:val="bullet"/>
      <w:lvlText w:val=""/>
      <w:lvlJc w:val="left"/>
      <w:pPr>
        <w:ind w:left="1500" w:hanging="360"/>
      </w:pPr>
      <w:rPr>
        <w:rFonts w:ascii="Wingdings" w:hAnsi="Wingdings" w:hint="default"/>
      </w:rPr>
    </w:lvl>
    <w:lvl w:ilvl="1" w:tplc="240A0003">
      <w:start w:val="1"/>
      <w:numFmt w:val="bullet"/>
      <w:lvlText w:val="o"/>
      <w:lvlJc w:val="left"/>
      <w:pPr>
        <w:ind w:left="2220" w:hanging="360"/>
      </w:pPr>
      <w:rPr>
        <w:rFonts w:ascii="Courier New" w:hAnsi="Courier New" w:cs="Courier New" w:hint="default"/>
      </w:rPr>
    </w:lvl>
    <w:lvl w:ilvl="2" w:tplc="240A0005">
      <w:start w:val="1"/>
      <w:numFmt w:val="bullet"/>
      <w:lvlText w:val=""/>
      <w:lvlJc w:val="left"/>
      <w:pPr>
        <w:ind w:left="2940" w:hanging="360"/>
      </w:pPr>
      <w:rPr>
        <w:rFonts w:ascii="Wingdings" w:hAnsi="Wingdings" w:hint="default"/>
      </w:rPr>
    </w:lvl>
    <w:lvl w:ilvl="3" w:tplc="240A0001">
      <w:start w:val="1"/>
      <w:numFmt w:val="bullet"/>
      <w:lvlText w:val=""/>
      <w:lvlJc w:val="left"/>
      <w:pPr>
        <w:ind w:left="3660" w:hanging="360"/>
      </w:pPr>
      <w:rPr>
        <w:rFonts w:ascii="Symbol" w:hAnsi="Symbol" w:hint="default"/>
      </w:rPr>
    </w:lvl>
    <w:lvl w:ilvl="4" w:tplc="240A0003">
      <w:start w:val="1"/>
      <w:numFmt w:val="bullet"/>
      <w:lvlText w:val="o"/>
      <w:lvlJc w:val="left"/>
      <w:pPr>
        <w:ind w:left="4380" w:hanging="360"/>
      </w:pPr>
      <w:rPr>
        <w:rFonts w:ascii="Courier New" w:hAnsi="Courier New" w:cs="Courier New" w:hint="default"/>
      </w:rPr>
    </w:lvl>
    <w:lvl w:ilvl="5" w:tplc="240A0005">
      <w:start w:val="1"/>
      <w:numFmt w:val="bullet"/>
      <w:lvlText w:val=""/>
      <w:lvlJc w:val="left"/>
      <w:pPr>
        <w:ind w:left="5100" w:hanging="360"/>
      </w:pPr>
      <w:rPr>
        <w:rFonts w:ascii="Wingdings" w:hAnsi="Wingdings" w:hint="default"/>
      </w:rPr>
    </w:lvl>
    <w:lvl w:ilvl="6" w:tplc="240A0001">
      <w:start w:val="1"/>
      <w:numFmt w:val="bullet"/>
      <w:lvlText w:val=""/>
      <w:lvlJc w:val="left"/>
      <w:pPr>
        <w:ind w:left="5820" w:hanging="360"/>
      </w:pPr>
      <w:rPr>
        <w:rFonts w:ascii="Symbol" w:hAnsi="Symbol" w:hint="default"/>
      </w:rPr>
    </w:lvl>
    <w:lvl w:ilvl="7" w:tplc="240A0003">
      <w:start w:val="1"/>
      <w:numFmt w:val="bullet"/>
      <w:lvlText w:val="o"/>
      <w:lvlJc w:val="left"/>
      <w:pPr>
        <w:ind w:left="6540" w:hanging="360"/>
      </w:pPr>
      <w:rPr>
        <w:rFonts w:ascii="Courier New" w:hAnsi="Courier New" w:cs="Courier New" w:hint="default"/>
      </w:rPr>
    </w:lvl>
    <w:lvl w:ilvl="8" w:tplc="240A0005">
      <w:start w:val="1"/>
      <w:numFmt w:val="bullet"/>
      <w:lvlText w:val=""/>
      <w:lvlJc w:val="left"/>
      <w:pPr>
        <w:ind w:left="7260" w:hanging="360"/>
      </w:pPr>
      <w:rPr>
        <w:rFonts w:ascii="Wingdings" w:hAnsi="Wingdings" w:hint="default"/>
      </w:rPr>
    </w:lvl>
  </w:abstractNum>
  <w:abstractNum w:abstractNumId="54" w15:restartNumberingAfterBreak="0">
    <w:nsid w:val="72044BA6"/>
    <w:multiLevelType w:val="hybridMultilevel"/>
    <w:tmpl w:val="07EEA1E4"/>
    <w:lvl w:ilvl="0" w:tplc="FEE6611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7A7813B2"/>
    <w:multiLevelType w:val="hybridMultilevel"/>
    <w:tmpl w:val="C8E461B0"/>
    <w:lvl w:ilvl="0" w:tplc="A26EE73E">
      <w:numFmt w:val="bullet"/>
      <w:lvlText w:val="-"/>
      <w:lvlJc w:val="left"/>
      <w:pPr>
        <w:ind w:left="720" w:hanging="360"/>
      </w:pPr>
      <w:rPr>
        <w:rFonts w:ascii="Calibri" w:eastAsia="Calibri" w:hAnsi="Calibri" w:cs="Calibri" w:hint="default"/>
        <w:sz w:val="24"/>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764210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8235821">
    <w:abstractNumId w:val="13"/>
  </w:num>
  <w:num w:numId="3" w16cid:durableId="1114012470">
    <w:abstractNumId w:val="50"/>
  </w:num>
  <w:num w:numId="4" w16cid:durableId="1495878750">
    <w:abstractNumId w:val="15"/>
  </w:num>
  <w:num w:numId="5" w16cid:durableId="557397461">
    <w:abstractNumId w:val="23"/>
  </w:num>
  <w:num w:numId="6" w16cid:durableId="1452363128">
    <w:abstractNumId w:val="43"/>
  </w:num>
  <w:num w:numId="7" w16cid:durableId="2077507905">
    <w:abstractNumId w:val="16"/>
  </w:num>
  <w:num w:numId="8" w16cid:durableId="723873387">
    <w:abstractNumId w:val="24"/>
  </w:num>
  <w:num w:numId="9" w16cid:durableId="1274945304">
    <w:abstractNumId w:val="12"/>
  </w:num>
  <w:num w:numId="10" w16cid:durableId="1682467277">
    <w:abstractNumId w:val="29"/>
  </w:num>
  <w:num w:numId="11" w16cid:durableId="295569971">
    <w:abstractNumId w:val="20"/>
  </w:num>
  <w:num w:numId="12" w16cid:durableId="2041587928">
    <w:abstractNumId w:val="44"/>
  </w:num>
  <w:num w:numId="13" w16cid:durableId="1143962759">
    <w:abstractNumId w:val="51"/>
  </w:num>
  <w:num w:numId="14" w16cid:durableId="1810778263">
    <w:abstractNumId w:val="52"/>
  </w:num>
  <w:num w:numId="15" w16cid:durableId="203448388">
    <w:abstractNumId w:val="4"/>
  </w:num>
  <w:num w:numId="16" w16cid:durableId="330059455">
    <w:abstractNumId w:val="30"/>
  </w:num>
  <w:num w:numId="17" w16cid:durableId="1056273102">
    <w:abstractNumId w:val="9"/>
  </w:num>
  <w:num w:numId="18" w16cid:durableId="1453358682">
    <w:abstractNumId w:val="32"/>
  </w:num>
  <w:num w:numId="19" w16cid:durableId="1318607125">
    <w:abstractNumId w:val="38"/>
  </w:num>
  <w:num w:numId="20" w16cid:durableId="1493982206">
    <w:abstractNumId w:val="3"/>
  </w:num>
  <w:num w:numId="21" w16cid:durableId="1404764881">
    <w:abstractNumId w:val="17"/>
  </w:num>
  <w:num w:numId="22" w16cid:durableId="1919055955">
    <w:abstractNumId w:val="26"/>
  </w:num>
  <w:num w:numId="23" w16cid:durableId="838869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4796250">
    <w:abstractNumId w:val="49"/>
  </w:num>
  <w:num w:numId="25" w16cid:durableId="1019695677">
    <w:abstractNumId w:val="18"/>
  </w:num>
  <w:num w:numId="26" w16cid:durableId="102964004">
    <w:abstractNumId w:val="40"/>
  </w:num>
  <w:num w:numId="27" w16cid:durableId="1155758818">
    <w:abstractNumId w:val="36"/>
  </w:num>
  <w:num w:numId="28" w16cid:durableId="2067606572">
    <w:abstractNumId w:val="53"/>
  </w:num>
  <w:num w:numId="29" w16cid:durableId="553347100">
    <w:abstractNumId w:val="4"/>
  </w:num>
  <w:num w:numId="30" w16cid:durableId="673649708">
    <w:abstractNumId w:val="55"/>
  </w:num>
  <w:num w:numId="31" w16cid:durableId="279722129">
    <w:abstractNumId w:val="31"/>
  </w:num>
  <w:num w:numId="32" w16cid:durableId="151995985">
    <w:abstractNumId w:val="47"/>
  </w:num>
  <w:num w:numId="33" w16cid:durableId="1907762944">
    <w:abstractNumId w:val="35"/>
  </w:num>
  <w:num w:numId="34" w16cid:durableId="299191416">
    <w:abstractNumId w:val="46"/>
  </w:num>
  <w:num w:numId="35" w16cid:durableId="525797091">
    <w:abstractNumId w:val="21"/>
  </w:num>
  <w:num w:numId="36" w16cid:durableId="467937655">
    <w:abstractNumId w:val="10"/>
  </w:num>
  <w:num w:numId="37" w16cid:durableId="966008284">
    <w:abstractNumId w:val="5"/>
  </w:num>
  <w:num w:numId="38" w16cid:durableId="1033503056">
    <w:abstractNumId w:val="39"/>
  </w:num>
  <w:num w:numId="39" w16cid:durableId="203366704">
    <w:abstractNumId w:val="45"/>
  </w:num>
  <w:num w:numId="40" w16cid:durableId="628248666">
    <w:abstractNumId w:val="22"/>
  </w:num>
  <w:num w:numId="41" w16cid:durableId="1310479933">
    <w:abstractNumId w:val="54"/>
  </w:num>
  <w:num w:numId="42" w16cid:durableId="1873301327">
    <w:abstractNumId w:val="25"/>
  </w:num>
  <w:num w:numId="43" w16cid:durableId="2075932516">
    <w:abstractNumId w:val="6"/>
  </w:num>
  <w:num w:numId="44" w16cid:durableId="1847743704">
    <w:abstractNumId w:val="19"/>
  </w:num>
  <w:num w:numId="45" w16cid:durableId="1570381999">
    <w:abstractNumId w:val="28"/>
  </w:num>
  <w:num w:numId="46" w16cid:durableId="88548065">
    <w:abstractNumId w:val="14"/>
  </w:num>
  <w:num w:numId="47" w16cid:durableId="827863361">
    <w:abstractNumId w:val="0"/>
  </w:num>
  <w:num w:numId="48" w16cid:durableId="578951647">
    <w:abstractNumId w:val="48"/>
  </w:num>
  <w:num w:numId="49" w16cid:durableId="1250429626">
    <w:abstractNumId w:val="27"/>
  </w:num>
  <w:num w:numId="50" w16cid:durableId="1609577684">
    <w:abstractNumId w:val="33"/>
  </w:num>
  <w:num w:numId="51" w16cid:durableId="1603563154">
    <w:abstractNumId w:val="37"/>
  </w:num>
  <w:num w:numId="52" w16cid:durableId="544562246">
    <w:abstractNumId w:val="42"/>
  </w:num>
  <w:num w:numId="53" w16cid:durableId="580287644">
    <w:abstractNumId w:val="8"/>
  </w:num>
  <w:num w:numId="54" w16cid:durableId="262997685">
    <w:abstractNumId w:val="1"/>
  </w:num>
  <w:num w:numId="55" w16cid:durableId="36318444">
    <w:abstractNumId w:val="7"/>
  </w:num>
  <w:num w:numId="56" w16cid:durableId="315299800">
    <w:abstractNumId w:val="11"/>
  </w:num>
  <w:num w:numId="57" w16cid:durableId="1726491526">
    <w:abstractNumId w:val="2"/>
  </w:num>
  <w:num w:numId="58" w16cid:durableId="33215069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0"/>
    <w:rsid w:val="00003D24"/>
    <w:rsid w:val="00006F83"/>
    <w:rsid w:val="00007F07"/>
    <w:rsid w:val="00013C42"/>
    <w:rsid w:val="00014D67"/>
    <w:rsid w:val="00016A94"/>
    <w:rsid w:val="00021FCC"/>
    <w:rsid w:val="00024F34"/>
    <w:rsid w:val="0002546A"/>
    <w:rsid w:val="00032CBF"/>
    <w:rsid w:val="0004205E"/>
    <w:rsid w:val="00047A6E"/>
    <w:rsid w:val="00050524"/>
    <w:rsid w:val="00066463"/>
    <w:rsid w:val="0007636F"/>
    <w:rsid w:val="00081CEE"/>
    <w:rsid w:val="00084B49"/>
    <w:rsid w:val="00086B16"/>
    <w:rsid w:val="00092C0A"/>
    <w:rsid w:val="00094D9F"/>
    <w:rsid w:val="000A35DA"/>
    <w:rsid w:val="000A3E34"/>
    <w:rsid w:val="000B30A6"/>
    <w:rsid w:val="000B39C5"/>
    <w:rsid w:val="000B50F1"/>
    <w:rsid w:val="000C41BE"/>
    <w:rsid w:val="000C614C"/>
    <w:rsid w:val="000C6C52"/>
    <w:rsid w:val="000D1904"/>
    <w:rsid w:val="000D2DA8"/>
    <w:rsid w:val="000D512E"/>
    <w:rsid w:val="000E0152"/>
    <w:rsid w:val="000E1C6F"/>
    <w:rsid w:val="000E370D"/>
    <w:rsid w:val="000E65A4"/>
    <w:rsid w:val="00105533"/>
    <w:rsid w:val="001072FB"/>
    <w:rsid w:val="00112EF1"/>
    <w:rsid w:val="00116659"/>
    <w:rsid w:val="001175AA"/>
    <w:rsid w:val="00125A3A"/>
    <w:rsid w:val="00126916"/>
    <w:rsid w:val="00126980"/>
    <w:rsid w:val="001303DD"/>
    <w:rsid w:val="001348DA"/>
    <w:rsid w:val="001365B5"/>
    <w:rsid w:val="00136CD0"/>
    <w:rsid w:val="0013737F"/>
    <w:rsid w:val="00142BF2"/>
    <w:rsid w:val="001447C1"/>
    <w:rsid w:val="00145BCA"/>
    <w:rsid w:val="0015216F"/>
    <w:rsid w:val="00153523"/>
    <w:rsid w:val="00157729"/>
    <w:rsid w:val="00164587"/>
    <w:rsid w:val="001665A3"/>
    <w:rsid w:val="00173095"/>
    <w:rsid w:val="001743EF"/>
    <w:rsid w:val="00174A31"/>
    <w:rsid w:val="00177232"/>
    <w:rsid w:val="00187186"/>
    <w:rsid w:val="001978EB"/>
    <w:rsid w:val="001A2AF1"/>
    <w:rsid w:val="001C013E"/>
    <w:rsid w:val="001D1743"/>
    <w:rsid w:val="001D17CF"/>
    <w:rsid w:val="001E2543"/>
    <w:rsid w:val="001E6C60"/>
    <w:rsid w:val="001F238A"/>
    <w:rsid w:val="002171A2"/>
    <w:rsid w:val="002217D1"/>
    <w:rsid w:val="002264B8"/>
    <w:rsid w:val="00235361"/>
    <w:rsid w:val="00236F62"/>
    <w:rsid w:val="00237D76"/>
    <w:rsid w:val="00251FCE"/>
    <w:rsid w:val="00252F13"/>
    <w:rsid w:val="00254313"/>
    <w:rsid w:val="0026513E"/>
    <w:rsid w:val="002729A5"/>
    <w:rsid w:val="002862C1"/>
    <w:rsid w:val="00286449"/>
    <w:rsid w:val="00287EC3"/>
    <w:rsid w:val="00293F29"/>
    <w:rsid w:val="002941D1"/>
    <w:rsid w:val="002A18A5"/>
    <w:rsid w:val="002A2A12"/>
    <w:rsid w:val="002B5285"/>
    <w:rsid w:val="002C05D0"/>
    <w:rsid w:val="002C6429"/>
    <w:rsid w:val="002D096D"/>
    <w:rsid w:val="002D11FE"/>
    <w:rsid w:val="002D2CB2"/>
    <w:rsid w:val="002D35EC"/>
    <w:rsid w:val="002D3FE3"/>
    <w:rsid w:val="002D5E8B"/>
    <w:rsid w:val="002E4A97"/>
    <w:rsid w:val="002E71C4"/>
    <w:rsid w:val="002F226A"/>
    <w:rsid w:val="00301DC2"/>
    <w:rsid w:val="003227FD"/>
    <w:rsid w:val="00325A55"/>
    <w:rsid w:val="003343DB"/>
    <w:rsid w:val="00336655"/>
    <w:rsid w:val="00342B3C"/>
    <w:rsid w:val="00346554"/>
    <w:rsid w:val="003503EB"/>
    <w:rsid w:val="00350767"/>
    <w:rsid w:val="00350E4B"/>
    <w:rsid w:val="003533A1"/>
    <w:rsid w:val="00357BC8"/>
    <w:rsid w:val="003650D5"/>
    <w:rsid w:val="003651DE"/>
    <w:rsid w:val="00366F75"/>
    <w:rsid w:val="00367CB8"/>
    <w:rsid w:val="003711C0"/>
    <w:rsid w:val="00373197"/>
    <w:rsid w:val="00375BFA"/>
    <w:rsid w:val="0038390A"/>
    <w:rsid w:val="003A0BBF"/>
    <w:rsid w:val="003A3C08"/>
    <w:rsid w:val="003A6449"/>
    <w:rsid w:val="003A73D2"/>
    <w:rsid w:val="003B3F46"/>
    <w:rsid w:val="003B4DDE"/>
    <w:rsid w:val="003B625C"/>
    <w:rsid w:val="003C0C28"/>
    <w:rsid w:val="003C0F32"/>
    <w:rsid w:val="003C6CAC"/>
    <w:rsid w:val="003D3516"/>
    <w:rsid w:val="003E1394"/>
    <w:rsid w:val="003E582F"/>
    <w:rsid w:val="00401B59"/>
    <w:rsid w:val="00405CE5"/>
    <w:rsid w:val="0041604F"/>
    <w:rsid w:val="00416865"/>
    <w:rsid w:val="00427DD9"/>
    <w:rsid w:val="004317DB"/>
    <w:rsid w:val="00432C5C"/>
    <w:rsid w:val="00437C19"/>
    <w:rsid w:val="00461D1F"/>
    <w:rsid w:val="0046422D"/>
    <w:rsid w:val="00470148"/>
    <w:rsid w:val="00470526"/>
    <w:rsid w:val="004724CB"/>
    <w:rsid w:val="004848A4"/>
    <w:rsid w:val="004965F6"/>
    <w:rsid w:val="004A0755"/>
    <w:rsid w:val="004A6BE3"/>
    <w:rsid w:val="004B078F"/>
    <w:rsid w:val="004C4371"/>
    <w:rsid w:val="004C7D38"/>
    <w:rsid w:val="004D0D86"/>
    <w:rsid w:val="004D10C6"/>
    <w:rsid w:val="004D2643"/>
    <w:rsid w:val="004D294E"/>
    <w:rsid w:val="004D3D03"/>
    <w:rsid w:val="004D4586"/>
    <w:rsid w:val="004D6329"/>
    <w:rsid w:val="004E034B"/>
    <w:rsid w:val="004E17FC"/>
    <w:rsid w:val="004E274E"/>
    <w:rsid w:val="004E517F"/>
    <w:rsid w:val="004F778E"/>
    <w:rsid w:val="004F7A38"/>
    <w:rsid w:val="00500D07"/>
    <w:rsid w:val="0050148F"/>
    <w:rsid w:val="00502F91"/>
    <w:rsid w:val="00520AAA"/>
    <w:rsid w:val="00520B2A"/>
    <w:rsid w:val="005338E4"/>
    <w:rsid w:val="0054286C"/>
    <w:rsid w:val="00543E5A"/>
    <w:rsid w:val="00545A32"/>
    <w:rsid w:val="0054645F"/>
    <w:rsid w:val="005616ED"/>
    <w:rsid w:val="005629D0"/>
    <w:rsid w:val="00564A4E"/>
    <w:rsid w:val="005815B6"/>
    <w:rsid w:val="00584E85"/>
    <w:rsid w:val="005871DA"/>
    <w:rsid w:val="00587695"/>
    <w:rsid w:val="0059054D"/>
    <w:rsid w:val="0059316B"/>
    <w:rsid w:val="005949A8"/>
    <w:rsid w:val="005A077D"/>
    <w:rsid w:val="005A4320"/>
    <w:rsid w:val="005A498D"/>
    <w:rsid w:val="005C19CA"/>
    <w:rsid w:val="005C4522"/>
    <w:rsid w:val="005D49BF"/>
    <w:rsid w:val="005F30C3"/>
    <w:rsid w:val="005F7863"/>
    <w:rsid w:val="0060353B"/>
    <w:rsid w:val="00620876"/>
    <w:rsid w:val="00624FD0"/>
    <w:rsid w:val="00630C5E"/>
    <w:rsid w:val="006315B4"/>
    <w:rsid w:val="00635AC3"/>
    <w:rsid w:val="00636FFB"/>
    <w:rsid w:val="00654CCF"/>
    <w:rsid w:val="00665F82"/>
    <w:rsid w:val="0067186C"/>
    <w:rsid w:val="00671E11"/>
    <w:rsid w:val="006738E9"/>
    <w:rsid w:val="006779DA"/>
    <w:rsid w:val="00687EB3"/>
    <w:rsid w:val="00692980"/>
    <w:rsid w:val="00692F01"/>
    <w:rsid w:val="00693246"/>
    <w:rsid w:val="0069506F"/>
    <w:rsid w:val="00696582"/>
    <w:rsid w:val="006A1DBB"/>
    <w:rsid w:val="006B4E40"/>
    <w:rsid w:val="006C103A"/>
    <w:rsid w:val="006C4E6A"/>
    <w:rsid w:val="006C50E8"/>
    <w:rsid w:val="006D464D"/>
    <w:rsid w:val="006E6F11"/>
    <w:rsid w:val="006F0B6B"/>
    <w:rsid w:val="006F144D"/>
    <w:rsid w:val="006F461B"/>
    <w:rsid w:val="006F622C"/>
    <w:rsid w:val="00700FF6"/>
    <w:rsid w:val="00704D44"/>
    <w:rsid w:val="00715A68"/>
    <w:rsid w:val="00715DD5"/>
    <w:rsid w:val="00715ECF"/>
    <w:rsid w:val="00716282"/>
    <w:rsid w:val="00717A04"/>
    <w:rsid w:val="00717BFE"/>
    <w:rsid w:val="007208C5"/>
    <w:rsid w:val="00725BB4"/>
    <w:rsid w:val="0073180A"/>
    <w:rsid w:val="00732997"/>
    <w:rsid w:val="007336C3"/>
    <w:rsid w:val="00734827"/>
    <w:rsid w:val="00735033"/>
    <w:rsid w:val="00756485"/>
    <w:rsid w:val="0075705D"/>
    <w:rsid w:val="007626E1"/>
    <w:rsid w:val="00767F65"/>
    <w:rsid w:val="00770D6C"/>
    <w:rsid w:val="00783515"/>
    <w:rsid w:val="00787C94"/>
    <w:rsid w:val="00791BCB"/>
    <w:rsid w:val="007921BD"/>
    <w:rsid w:val="00793A02"/>
    <w:rsid w:val="00795C6B"/>
    <w:rsid w:val="007A1566"/>
    <w:rsid w:val="007A3995"/>
    <w:rsid w:val="007A5AC5"/>
    <w:rsid w:val="007B622D"/>
    <w:rsid w:val="007C4288"/>
    <w:rsid w:val="007C484E"/>
    <w:rsid w:val="007D4853"/>
    <w:rsid w:val="007D57C4"/>
    <w:rsid w:val="007E0429"/>
    <w:rsid w:val="007E41DE"/>
    <w:rsid w:val="007E4CE3"/>
    <w:rsid w:val="007F2B1F"/>
    <w:rsid w:val="00802F7A"/>
    <w:rsid w:val="00806A1C"/>
    <w:rsid w:val="0080773A"/>
    <w:rsid w:val="008173F3"/>
    <w:rsid w:val="0082092A"/>
    <w:rsid w:val="0082117C"/>
    <w:rsid w:val="008227E9"/>
    <w:rsid w:val="008252C5"/>
    <w:rsid w:val="00831860"/>
    <w:rsid w:val="00832F2D"/>
    <w:rsid w:val="00836C6A"/>
    <w:rsid w:val="00841C9F"/>
    <w:rsid w:val="0084294E"/>
    <w:rsid w:val="00843EFF"/>
    <w:rsid w:val="008442A5"/>
    <w:rsid w:val="008477A9"/>
    <w:rsid w:val="0085416A"/>
    <w:rsid w:val="00856B0F"/>
    <w:rsid w:val="0087186A"/>
    <w:rsid w:val="00872C56"/>
    <w:rsid w:val="00874F67"/>
    <w:rsid w:val="00876AC2"/>
    <w:rsid w:val="00883F43"/>
    <w:rsid w:val="00884C98"/>
    <w:rsid w:val="00884CE2"/>
    <w:rsid w:val="00885E7D"/>
    <w:rsid w:val="0089363F"/>
    <w:rsid w:val="00894D05"/>
    <w:rsid w:val="00896ED8"/>
    <w:rsid w:val="008A209D"/>
    <w:rsid w:val="008A2436"/>
    <w:rsid w:val="008A4E8C"/>
    <w:rsid w:val="008A563D"/>
    <w:rsid w:val="008B1443"/>
    <w:rsid w:val="008B3B0A"/>
    <w:rsid w:val="008C2BA0"/>
    <w:rsid w:val="008C69F2"/>
    <w:rsid w:val="008C703D"/>
    <w:rsid w:val="008D1D44"/>
    <w:rsid w:val="008D3E6C"/>
    <w:rsid w:val="008E04EC"/>
    <w:rsid w:val="008E43F4"/>
    <w:rsid w:val="008F42F6"/>
    <w:rsid w:val="008F5282"/>
    <w:rsid w:val="00912BAC"/>
    <w:rsid w:val="00925058"/>
    <w:rsid w:val="00926CDB"/>
    <w:rsid w:val="00930113"/>
    <w:rsid w:val="009356EC"/>
    <w:rsid w:val="00937FB2"/>
    <w:rsid w:val="0094114F"/>
    <w:rsid w:val="00955F42"/>
    <w:rsid w:val="0095690D"/>
    <w:rsid w:val="009609C5"/>
    <w:rsid w:val="00965B1A"/>
    <w:rsid w:val="00971B57"/>
    <w:rsid w:val="00973208"/>
    <w:rsid w:val="00976933"/>
    <w:rsid w:val="00981893"/>
    <w:rsid w:val="00984974"/>
    <w:rsid w:val="00986438"/>
    <w:rsid w:val="00987DBF"/>
    <w:rsid w:val="009970F9"/>
    <w:rsid w:val="009A5590"/>
    <w:rsid w:val="009C3837"/>
    <w:rsid w:val="009C44BD"/>
    <w:rsid w:val="009C537F"/>
    <w:rsid w:val="009D0585"/>
    <w:rsid w:val="009D2BB3"/>
    <w:rsid w:val="009E0846"/>
    <w:rsid w:val="009E1EF4"/>
    <w:rsid w:val="009E1F32"/>
    <w:rsid w:val="009E4BD5"/>
    <w:rsid w:val="009F1BE0"/>
    <w:rsid w:val="009F7CED"/>
    <w:rsid w:val="00A04569"/>
    <w:rsid w:val="00A0736A"/>
    <w:rsid w:val="00A07DE7"/>
    <w:rsid w:val="00A120D6"/>
    <w:rsid w:val="00A1301A"/>
    <w:rsid w:val="00A14C37"/>
    <w:rsid w:val="00A161B9"/>
    <w:rsid w:val="00A219D7"/>
    <w:rsid w:val="00A26A06"/>
    <w:rsid w:val="00A2785C"/>
    <w:rsid w:val="00A27D3B"/>
    <w:rsid w:val="00A33DCF"/>
    <w:rsid w:val="00A377FE"/>
    <w:rsid w:val="00A40521"/>
    <w:rsid w:val="00A4128C"/>
    <w:rsid w:val="00A41AEF"/>
    <w:rsid w:val="00A447B3"/>
    <w:rsid w:val="00A45DA3"/>
    <w:rsid w:val="00A500DD"/>
    <w:rsid w:val="00A52C3F"/>
    <w:rsid w:val="00A55DB6"/>
    <w:rsid w:val="00A61784"/>
    <w:rsid w:val="00A64120"/>
    <w:rsid w:val="00A72973"/>
    <w:rsid w:val="00A74AFD"/>
    <w:rsid w:val="00A80613"/>
    <w:rsid w:val="00A83A98"/>
    <w:rsid w:val="00A85AEA"/>
    <w:rsid w:val="00A94019"/>
    <w:rsid w:val="00AA28E8"/>
    <w:rsid w:val="00AA444E"/>
    <w:rsid w:val="00AB0708"/>
    <w:rsid w:val="00AB0C45"/>
    <w:rsid w:val="00AB6652"/>
    <w:rsid w:val="00AC1AF8"/>
    <w:rsid w:val="00AC447D"/>
    <w:rsid w:val="00AD5446"/>
    <w:rsid w:val="00AD623F"/>
    <w:rsid w:val="00AE03F3"/>
    <w:rsid w:val="00AF569A"/>
    <w:rsid w:val="00AF5E71"/>
    <w:rsid w:val="00B13AE3"/>
    <w:rsid w:val="00B237AC"/>
    <w:rsid w:val="00B25550"/>
    <w:rsid w:val="00B30DCD"/>
    <w:rsid w:val="00B377D3"/>
    <w:rsid w:val="00B4178F"/>
    <w:rsid w:val="00B4216E"/>
    <w:rsid w:val="00B448DC"/>
    <w:rsid w:val="00B463AC"/>
    <w:rsid w:val="00B51095"/>
    <w:rsid w:val="00B6123C"/>
    <w:rsid w:val="00B61CA6"/>
    <w:rsid w:val="00B65F1B"/>
    <w:rsid w:val="00B66D03"/>
    <w:rsid w:val="00B7000F"/>
    <w:rsid w:val="00B729FC"/>
    <w:rsid w:val="00B73EC6"/>
    <w:rsid w:val="00B766E4"/>
    <w:rsid w:val="00B8326D"/>
    <w:rsid w:val="00B84AF8"/>
    <w:rsid w:val="00B937B6"/>
    <w:rsid w:val="00BA450F"/>
    <w:rsid w:val="00BB545F"/>
    <w:rsid w:val="00BD4B65"/>
    <w:rsid w:val="00BE280C"/>
    <w:rsid w:val="00BF054E"/>
    <w:rsid w:val="00BF0DB9"/>
    <w:rsid w:val="00C12B93"/>
    <w:rsid w:val="00C134C3"/>
    <w:rsid w:val="00C26C14"/>
    <w:rsid w:val="00C27D76"/>
    <w:rsid w:val="00C31D59"/>
    <w:rsid w:val="00C36892"/>
    <w:rsid w:val="00C4009A"/>
    <w:rsid w:val="00C401C2"/>
    <w:rsid w:val="00C43BD2"/>
    <w:rsid w:val="00C46330"/>
    <w:rsid w:val="00C47F73"/>
    <w:rsid w:val="00C52E86"/>
    <w:rsid w:val="00C6077B"/>
    <w:rsid w:val="00C61441"/>
    <w:rsid w:val="00C7294E"/>
    <w:rsid w:val="00C91F90"/>
    <w:rsid w:val="00CA57DF"/>
    <w:rsid w:val="00CB0063"/>
    <w:rsid w:val="00CB4D37"/>
    <w:rsid w:val="00CB66F7"/>
    <w:rsid w:val="00CC0C62"/>
    <w:rsid w:val="00CC259C"/>
    <w:rsid w:val="00CC42D1"/>
    <w:rsid w:val="00CC5B3E"/>
    <w:rsid w:val="00CE1A87"/>
    <w:rsid w:val="00CF25EF"/>
    <w:rsid w:val="00D04A96"/>
    <w:rsid w:val="00D05B67"/>
    <w:rsid w:val="00D05D52"/>
    <w:rsid w:val="00D24980"/>
    <w:rsid w:val="00D26D53"/>
    <w:rsid w:val="00D31F43"/>
    <w:rsid w:val="00D40E59"/>
    <w:rsid w:val="00D415E6"/>
    <w:rsid w:val="00D444C5"/>
    <w:rsid w:val="00D530DC"/>
    <w:rsid w:val="00D62023"/>
    <w:rsid w:val="00D7070F"/>
    <w:rsid w:val="00D709DD"/>
    <w:rsid w:val="00D8294A"/>
    <w:rsid w:val="00D83F98"/>
    <w:rsid w:val="00D84A75"/>
    <w:rsid w:val="00D85F90"/>
    <w:rsid w:val="00D90649"/>
    <w:rsid w:val="00D91E89"/>
    <w:rsid w:val="00D9213D"/>
    <w:rsid w:val="00D965B1"/>
    <w:rsid w:val="00D97DF9"/>
    <w:rsid w:val="00D97F1C"/>
    <w:rsid w:val="00DA6526"/>
    <w:rsid w:val="00DA6C54"/>
    <w:rsid w:val="00DC54A3"/>
    <w:rsid w:val="00DD181C"/>
    <w:rsid w:val="00DD2F2C"/>
    <w:rsid w:val="00DD48D9"/>
    <w:rsid w:val="00DE1540"/>
    <w:rsid w:val="00DE520C"/>
    <w:rsid w:val="00DF1E66"/>
    <w:rsid w:val="00DF60FD"/>
    <w:rsid w:val="00DF6410"/>
    <w:rsid w:val="00E007F7"/>
    <w:rsid w:val="00E0174F"/>
    <w:rsid w:val="00E05F18"/>
    <w:rsid w:val="00E06A27"/>
    <w:rsid w:val="00E12202"/>
    <w:rsid w:val="00E20331"/>
    <w:rsid w:val="00E242C5"/>
    <w:rsid w:val="00E24673"/>
    <w:rsid w:val="00E24F26"/>
    <w:rsid w:val="00E261B4"/>
    <w:rsid w:val="00E31E85"/>
    <w:rsid w:val="00E407FF"/>
    <w:rsid w:val="00E40C34"/>
    <w:rsid w:val="00E41E2C"/>
    <w:rsid w:val="00E44207"/>
    <w:rsid w:val="00E66C57"/>
    <w:rsid w:val="00E66D00"/>
    <w:rsid w:val="00E7224C"/>
    <w:rsid w:val="00E729F2"/>
    <w:rsid w:val="00E75DBD"/>
    <w:rsid w:val="00E805D3"/>
    <w:rsid w:val="00E80826"/>
    <w:rsid w:val="00E84DA1"/>
    <w:rsid w:val="00E91332"/>
    <w:rsid w:val="00EA3045"/>
    <w:rsid w:val="00EC1DE8"/>
    <w:rsid w:val="00EC35AE"/>
    <w:rsid w:val="00ED4708"/>
    <w:rsid w:val="00EE0D69"/>
    <w:rsid w:val="00EE0F26"/>
    <w:rsid w:val="00EE2ABB"/>
    <w:rsid w:val="00EF192B"/>
    <w:rsid w:val="00F06B8A"/>
    <w:rsid w:val="00F07A7D"/>
    <w:rsid w:val="00F11163"/>
    <w:rsid w:val="00F153C1"/>
    <w:rsid w:val="00F16839"/>
    <w:rsid w:val="00F211E7"/>
    <w:rsid w:val="00F21D37"/>
    <w:rsid w:val="00F221F0"/>
    <w:rsid w:val="00F26136"/>
    <w:rsid w:val="00F2713B"/>
    <w:rsid w:val="00F305D8"/>
    <w:rsid w:val="00F37106"/>
    <w:rsid w:val="00F44A2E"/>
    <w:rsid w:val="00F47D57"/>
    <w:rsid w:val="00F55DC4"/>
    <w:rsid w:val="00F576B3"/>
    <w:rsid w:val="00F741AF"/>
    <w:rsid w:val="00F745E1"/>
    <w:rsid w:val="00F75A79"/>
    <w:rsid w:val="00F7620E"/>
    <w:rsid w:val="00F775AD"/>
    <w:rsid w:val="00F77DB8"/>
    <w:rsid w:val="00F80E07"/>
    <w:rsid w:val="00F90326"/>
    <w:rsid w:val="00F90F86"/>
    <w:rsid w:val="00F92DF0"/>
    <w:rsid w:val="00FA0454"/>
    <w:rsid w:val="00FA4A9E"/>
    <w:rsid w:val="00FA7D61"/>
    <w:rsid w:val="00FB1248"/>
    <w:rsid w:val="00FB1453"/>
    <w:rsid w:val="00FB217D"/>
    <w:rsid w:val="00FB29CC"/>
    <w:rsid w:val="00FC0522"/>
    <w:rsid w:val="00FC2DE3"/>
    <w:rsid w:val="00FD3D04"/>
    <w:rsid w:val="00FD49A0"/>
    <w:rsid w:val="00FE27DE"/>
    <w:rsid w:val="00FE2D84"/>
    <w:rsid w:val="00FF66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22209"/>
  <w15:chartTrackingRefBased/>
  <w15:docId w15:val="{D384484D-7BE7-4959-BF57-48077644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D84"/>
    <w:rPr>
      <w:rFonts w:ascii="Arial" w:hAnsi="Arial"/>
      <w:lang w:val="es-ES" w:eastAsia="es-ES"/>
    </w:rPr>
  </w:style>
  <w:style w:type="paragraph" w:styleId="Ttulo1">
    <w:name w:val="heading 1"/>
    <w:basedOn w:val="Normal"/>
    <w:next w:val="Normal"/>
    <w:qFormat/>
    <w:pPr>
      <w:keepNext/>
      <w:spacing w:before="240" w:after="60"/>
      <w:outlineLvl w:val="0"/>
    </w:pPr>
    <w:rPr>
      <w:b/>
      <w:color w:val="000080"/>
      <w:spacing w:val="-8"/>
      <w:kern w:val="28"/>
      <w:sz w:val="28"/>
      <w:lang w:val="es-CO"/>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jc w:val="center"/>
      <w:outlineLvl w:val="2"/>
    </w:pPr>
    <w:rPr>
      <w:rFonts w:ascii="Tahoma" w:hAnsi="Tahoma" w:cs="Tahom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overflowPunct w:val="0"/>
      <w:autoSpaceDE w:val="0"/>
      <w:autoSpaceDN w:val="0"/>
      <w:adjustRightInd w:val="0"/>
      <w:ind w:right="902"/>
      <w:textAlignment w:val="baseline"/>
    </w:pPr>
    <w:rPr>
      <w:rFonts w:ascii="Verdana" w:hAnsi="Verdana"/>
      <w:sz w:val="18"/>
      <w:lang w:val="es-CO"/>
    </w:rPr>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lang w:val="es-CO"/>
    </w:rPr>
  </w:style>
  <w:style w:type="paragraph" w:styleId="Textoindependiente">
    <w:name w:val="Body Text"/>
    <w:basedOn w:val="Normal"/>
    <w:pPr>
      <w:jc w:val="both"/>
    </w:pPr>
    <w:rPr>
      <w:rFonts w:ascii="Tahoma" w:hAnsi="Tahoma" w:cs="Tahoma"/>
      <w:iCs/>
      <w:sz w:val="18"/>
    </w:rPr>
  </w:style>
  <w:style w:type="paragraph" w:customStyle="1" w:styleId="Textoindependiente31">
    <w:name w:val="Texto independiente 31"/>
    <w:basedOn w:val="Normal"/>
    <w:pPr>
      <w:widowControl w:val="0"/>
      <w:overflowPunct w:val="0"/>
      <w:autoSpaceDE w:val="0"/>
      <w:autoSpaceDN w:val="0"/>
      <w:adjustRightInd w:val="0"/>
      <w:jc w:val="both"/>
      <w:textAlignment w:val="baseline"/>
    </w:pPr>
    <w:rPr>
      <w:b/>
      <w:sz w:val="24"/>
      <w:lang w:val="es-CO"/>
    </w:rPr>
  </w:style>
  <w:style w:type="character" w:customStyle="1" w:styleId="InitialStyle">
    <w:name w:val="InitialStyle"/>
    <w:rPr>
      <w:rFonts w:ascii="Courier New" w:hAnsi="Courier New"/>
      <w:color w:val="auto"/>
      <w:spacing w:val="0"/>
      <w:sz w:val="28"/>
    </w:rPr>
  </w:style>
  <w:style w:type="paragraph" w:styleId="Textoindependiente2">
    <w:name w:val="Body Text 2"/>
    <w:basedOn w:val="Normal"/>
    <w:rsid w:val="003227FD"/>
    <w:pPr>
      <w:spacing w:after="120" w:line="480" w:lineRule="auto"/>
    </w:pPr>
  </w:style>
  <w:style w:type="paragraph" w:styleId="Encabezado">
    <w:name w:val="header"/>
    <w:basedOn w:val="Normal"/>
    <w:rsid w:val="00A2785C"/>
    <w:pPr>
      <w:tabs>
        <w:tab w:val="center" w:pos="4252"/>
        <w:tab w:val="right" w:pos="8504"/>
      </w:tabs>
    </w:pPr>
  </w:style>
  <w:style w:type="paragraph" w:styleId="Piedepgina">
    <w:name w:val="footer"/>
    <w:basedOn w:val="Normal"/>
    <w:link w:val="PiedepginaCar"/>
    <w:uiPriority w:val="99"/>
    <w:rsid w:val="00A2785C"/>
    <w:pPr>
      <w:tabs>
        <w:tab w:val="center" w:pos="4252"/>
        <w:tab w:val="right" w:pos="8504"/>
      </w:tabs>
    </w:pPr>
  </w:style>
  <w:style w:type="character" w:styleId="Nmerodepgina">
    <w:name w:val="page number"/>
    <w:basedOn w:val="Fuentedeprrafopredeter"/>
    <w:rsid w:val="0080773A"/>
  </w:style>
  <w:style w:type="paragraph" w:styleId="NormalWeb">
    <w:name w:val="Normal (Web)"/>
    <w:basedOn w:val="Normal"/>
    <w:uiPriority w:val="99"/>
    <w:rsid w:val="00BA450F"/>
    <w:pPr>
      <w:spacing w:before="100" w:beforeAutospacing="1" w:after="100" w:afterAutospacing="1"/>
    </w:pPr>
    <w:rPr>
      <w:rFonts w:ascii="Arial Unicode MS" w:eastAsia="Arial Unicode MS" w:hAnsi="Arial Unicode MS" w:cs="Arial Unicode MS"/>
      <w:sz w:val="24"/>
      <w:szCs w:val="24"/>
    </w:rPr>
  </w:style>
  <w:style w:type="character" w:styleId="Refdecomentario">
    <w:name w:val="annotation reference"/>
    <w:semiHidden/>
    <w:rsid w:val="00885E7D"/>
    <w:rPr>
      <w:sz w:val="16"/>
      <w:szCs w:val="16"/>
    </w:rPr>
  </w:style>
  <w:style w:type="paragraph" w:styleId="Textocomentario">
    <w:name w:val="annotation text"/>
    <w:basedOn w:val="Normal"/>
    <w:semiHidden/>
    <w:rsid w:val="00885E7D"/>
  </w:style>
  <w:style w:type="paragraph" w:styleId="Asuntodelcomentario">
    <w:name w:val="annotation subject"/>
    <w:basedOn w:val="Textocomentario"/>
    <w:next w:val="Textocomentario"/>
    <w:semiHidden/>
    <w:rsid w:val="00885E7D"/>
    <w:rPr>
      <w:b/>
      <w:bCs/>
    </w:rPr>
  </w:style>
  <w:style w:type="paragraph" w:styleId="Textodeglobo">
    <w:name w:val="Balloon Text"/>
    <w:basedOn w:val="Normal"/>
    <w:semiHidden/>
    <w:rsid w:val="00885E7D"/>
    <w:rPr>
      <w:rFonts w:ascii="Tahoma" w:hAnsi="Tahoma" w:cs="Tahoma"/>
      <w:sz w:val="16"/>
      <w:szCs w:val="16"/>
    </w:rPr>
  </w:style>
  <w:style w:type="paragraph" w:customStyle="1" w:styleId="Listavistosa-nfasis11">
    <w:name w:val="Lista vistosa - Énfasis 11"/>
    <w:aliases w:val="Normal. Viñetas"/>
    <w:basedOn w:val="Normal"/>
    <w:link w:val="Listavistosa-nfasis1Car"/>
    <w:uiPriority w:val="34"/>
    <w:qFormat/>
    <w:rsid w:val="009C537F"/>
    <w:pPr>
      <w:spacing w:after="200" w:line="276" w:lineRule="auto"/>
      <w:ind w:left="720"/>
      <w:contextualSpacing/>
    </w:pPr>
    <w:rPr>
      <w:rFonts w:ascii="Calibri" w:hAnsi="Calibri"/>
      <w:sz w:val="22"/>
      <w:szCs w:val="22"/>
      <w:lang w:val="es-CO" w:eastAsia="es-CO"/>
    </w:rPr>
  </w:style>
  <w:style w:type="paragraph" w:customStyle="1" w:styleId="Default">
    <w:name w:val="Default"/>
    <w:rsid w:val="00DF1E66"/>
    <w:pPr>
      <w:autoSpaceDE w:val="0"/>
      <w:autoSpaceDN w:val="0"/>
      <w:adjustRightInd w:val="0"/>
    </w:pPr>
    <w:rPr>
      <w:rFonts w:ascii="Arial" w:hAnsi="Arial" w:cs="Arial"/>
      <w:color w:val="000000"/>
      <w:sz w:val="24"/>
      <w:szCs w:val="24"/>
    </w:rPr>
  </w:style>
  <w:style w:type="paragraph" w:customStyle="1" w:styleId="Cuerpo">
    <w:name w:val="Cuerpo"/>
    <w:rsid w:val="00DF1E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PiedepginaCar">
    <w:name w:val="Pie de página Car"/>
    <w:link w:val="Piedepgina"/>
    <w:uiPriority w:val="99"/>
    <w:rsid w:val="00B4178F"/>
    <w:rPr>
      <w:rFonts w:ascii="Arial" w:hAnsi="Arial"/>
      <w:lang w:val="es-ES" w:eastAsia="es-ES"/>
    </w:rPr>
  </w:style>
  <w:style w:type="paragraph" w:customStyle="1" w:styleId="xmsonormal">
    <w:name w:val="x_msonormal"/>
    <w:basedOn w:val="Normal"/>
    <w:rsid w:val="00715DD5"/>
    <w:pPr>
      <w:spacing w:before="100" w:beforeAutospacing="1" w:after="100" w:afterAutospacing="1"/>
    </w:pPr>
    <w:rPr>
      <w:rFonts w:ascii="Times New Roman" w:hAnsi="Times New Roman"/>
      <w:sz w:val="24"/>
      <w:szCs w:val="24"/>
      <w:lang w:val="es-CO" w:eastAsia="es-CO"/>
    </w:rPr>
  </w:style>
  <w:style w:type="paragraph" w:customStyle="1" w:styleId="xmsolistparagraph">
    <w:name w:val="x_msolistparagraph"/>
    <w:basedOn w:val="Normal"/>
    <w:rsid w:val="00715DD5"/>
    <w:pPr>
      <w:spacing w:before="100" w:beforeAutospacing="1" w:after="100" w:afterAutospacing="1"/>
    </w:pPr>
    <w:rPr>
      <w:rFonts w:ascii="Times New Roman" w:hAnsi="Times New Roman"/>
      <w:sz w:val="24"/>
      <w:szCs w:val="24"/>
      <w:lang w:val="es-CO" w:eastAsia="es-CO"/>
    </w:rPr>
  </w:style>
  <w:style w:type="character" w:customStyle="1" w:styleId="apple-converted-space">
    <w:name w:val="apple-converted-space"/>
    <w:basedOn w:val="Fuentedeprrafopredeter"/>
    <w:rsid w:val="00715DD5"/>
  </w:style>
  <w:style w:type="paragraph" w:customStyle="1" w:styleId="xcuerpo">
    <w:name w:val="x_cuerpo"/>
    <w:basedOn w:val="Normal"/>
    <w:rsid w:val="00715DD5"/>
    <w:pPr>
      <w:spacing w:before="100" w:beforeAutospacing="1" w:after="100" w:afterAutospacing="1"/>
    </w:pPr>
    <w:rPr>
      <w:rFonts w:ascii="Times New Roman" w:hAnsi="Times New Roman"/>
      <w:sz w:val="24"/>
      <w:szCs w:val="24"/>
      <w:lang w:val="es-CO" w:eastAsia="es-CO"/>
    </w:rPr>
  </w:style>
  <w:style w:type="paragraph" w:styleId="Textonotapie">
    <w:name w:val="footnote text"/>
    <w:basedOn w:val="Normal"/>
    <w:link w:val="TextonotapieCar"/>
    <w:uiPriority w:val="99"/>
    <w:rsid w:val="00925058"/>
    <w:rPr>
      <w:rFonts w:ascii="Times" w:eastAsia="Times" w:hAnsi="Times"/>
      <w:lang w:val="en-US"/>
    </w:rPr>
  </w:style>
  <w:style w:type="character" w:customStyle="1" w:styleId="TextonotapieCar">
    <w:name w:val="Texto nota pie Car"/>
    <w:link w:val="Textonotapie"/>
    <w:uiPriority w:val="99"/>
    <w:rsid w:val="00925058"/>
    <w:rPr>
      <w:rFonts w:ascii="Times" w:eastAsia="Times" w:hAnsi="Times"/>
      <w:lang w:val="en-US" w:eastAsia="es-ES"/>
    </w:rPr>
  </w:style>
  <w:style w:type="character" w:styleId="Refdenotaalpie">
    <w:name w:val="footnote reference"/>
    <w:uiPriority w:val="99"/>
    <w:rsid w:val="00925058"/>
    <w:rPr>
      <w:vertAlign w:val="superscript"/>
    </w:rPr>
  </w:style>
  <w:style w:type="paragraph" w:customStyle="1" w:styleId="Cuadrculamedia21">
    <w:name w:val="Cuadrícula media 21"/>
    <w:qFormat/>
    <w:rsid w:val="00236F62"/>
    <w:rPr>
      <w:rFonts w:ascii="Calibri" w:eastAsia="Calibri" w:hAnsi="Calibri"/>
      <w:sz w:val="22"/>
      <w:szCs w:val="22"/>
      <w:lang w:eastAsia="en-US"/>
    </w:rPr>
  </w:style>
  <w:style w:type="character" w:styleId="Fuerte">
    <w:name w:val="Strong"/>
    <w:uiPriority w:val="22"/>
    <w:qFormat/>
    <w:rsid w:val="002D2CB2"/>
    <w:rPr>
      <w:b/>
      <w:bCs/>
    </w:rPr>
  </w:style>
  <w:style w:type="paragraph" w:styleId="Ttulo">
    <w:name w:val="Title"/>
    <w:basedOn w:val="Normal"/>
    <w:link w:val="TtuloCar"/>
    <w:qFormat/>
    <w:rsid w:val="00AE03F3"/>
    <w:pPr>
      <w:jc w:val="center"/>
    </w:pPr>
    <w:rPr>
      <w:rFonts w:cs="Arial"/>
      <w:b/>
      <w:bCs/>
      <w:sz w:val="32"/>
      <w:szCs w:val="24"/>
    </w:rPr>
  </w:style>
  <w:style w:type="character" w:customStyle="1" w:styleId="TtuloCar">
    <w:name w:val="Título Car"/>
    <w:link w:val="Ttulo"/>
    <w:rsid w:val="00AE03F3"/>
    <w:rPr>
      <w:rFonts w:ascii="Arial" w:hAnsi="Arial" w:cs="Arial"/>
      <w:b/>
      <w:bCs/>
      <w:sz w:val="32"/>
      <w:szCs w:val="24"/>
      <w:lang w:val="es-ES" w:eastAsia="es-ES"/>
    </w:rPr>
  </w:style>
  <w:style w:type="character" w:customStyle="1" w:styleId="Listavistosa-nfasis1Car">
    <w:name w:val="Lista vistosa - Énfasis 1 Car"/>
    <w:aliases w:val="Normal. Viñetas Car"/>
    <w:link w:val="Listavistosa-nfasis11"/>
    <w:uiPriority w:val="34"/>
    <w:locked/>
    <w:rsid w:val="005629D0"/>
    <w:rPr>
      <w:rFonts w:ascii="Calibri" w:hAnsi="Calibri"/>
      <w:sz w:val="22"/>
      <w:szCs w:val="22"/>
    </w:rPr>
  </w:style>
  <w:style w:type="character" w:styleId="Hipervnculo">
    <w:name w:val="Hyperlink"/>
    <w:uiPriority w:val="99"/>
    <w:unhideWhenUsed/>
    <w:rsid w:val="00F80E07"/>
    <w:rPr>
      <w:color w:val="0000FF"/>
      <w:u w:val="single"/>
    </w:rPr>
  </w:style>
  <w:style w:type="table" w:styleId="Tablaconcuadrcula">
    <w:name w:val="Table Grid"/>
    <w:basedOn w:val="Tablanormal"/>
    <w:rsid w:val="003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3650D5"/>
  </w:style>
  <w:style w:type="paragraph" w:styleId="Prrafodelista">
    <w:name w:val="List Paragraph"/>
    <w:basedOn w:val="Normal"/>
    <w:uiPriority w:val="72"/>
    <w:qFormat/>
    <w:rsid w:val="00734827"/>
    <w:pPr>
      <w:ind w:left="720"/>
      <w:contextualSpacing/>
    </w:pPr>
  </w:style>
  <w:style w:type="paragraph" w:styleId="Descripcin">
    <w:name w:val="caption"/>
    <w:basedOn w:val="Normal"/>
    <w:next w:val="Normal"/>
    <w:link w:val="DescripcinCar"/>
    <w:uiPriority w:val="35"/>
    <w:unhideWhenUsed/>
    <w:qFormat/>
    <w:rsid w:val="00734827"/>
    <w:pPr>
      <w:keepNext/>
      <w:tabs>
        <w:tab w:val="center" w:pos="4252"/>
        <w:tab w:val="right" w:pos="8504"/>
      </w:tabs>
      <w:spacing w:after="200"/>
      <w:jc w:val="both"/>
    </w:pPr>
    <w:rPr>
      <w:rFonts w:ascii="Arial Narrow" w:hAnsi="Arial Narrow" w:cs="Arial"/>
      <w:b/>
      <w:bCs/>
      <w:color w:val="000000" w:themeColor="text1"/>
      <w:sz w:val="24"/>
      <w:szCs w:val="24"/>
      <w:lang w:val="es-ES_tradnl"/>
    </w:rPr>
  </w:style>
  <w:style w:type="character" w:customStyle="1" w:styleId="DescripcinCar">
    <w:name w:val="Descripción Car"/>
    <w:basedOn w:val="Fuentedeprrafopredeter"/>
    <w:link w:val="Descripcin"/>
    <w:uiPriority w:val="35"/>
    <w:rsid w:val="00734827"/>
    <w:rPr>
      <w:rFonts w:ascii="Arial Narrow" w:hAnsi="Arial Narrow" w:cs="Arial"/>
      <w:b/>
      <w:bCs/>
      <w:color w:val="000000" w:themeColor="text1"/>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61526">
      <w:bodyDiv w:val="1"/>
      <w:marLeft w:val="0"/>
      <w:marRight w:val="0"/>
      <w:marTop w:val="0"/>
      <w:marBottom w:val="0"/>
      <w:divBdr>
        <w:top w:val="none" w:sz="0" w:space="0" w:color="auto"/>
        <w:left w:val="none" w:sz="0" w:space="0" w:color="auto"/>
        <w:bottom w:val="none" w:sz="0" w:space="0" w:color="auto"/>
        <w:right w:val="none" w:sz="0" w:space="0" w:color="auto"/>
      </w:divBdr>
      <w:divsChild>
        <w:div w:id="1170489098">
          <w:marLeft w:val="0"/>
          <w:marRight w:val="0"/>
          <w:marTop w:val="0"/>
          <w:marBottom w:val="0"/>
          <w:divBdr>
            <w:top w:val="none" w:sz="0" w:space="0" w:color="auto"/>
            <w:left w:val="none" w:sz="0" w:space="0" w:color="auto"/>
            <w:bottom w:val="none" w:sz="0" w:space="0" w:color="auto"/>
            <w:right w:val="none" w:sz="0" w:space="0" w:color="auto"/>
          </w:divBdr>
        </w:div>
      </w:divsChild>
    </w:div>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378747799">
      <w:bodyDiv w:val="1"/>
      <w:marLeft w:val="0"/>
      <w:marRight w:val="0"/>
      <w:marTop w:val="0"/>
      <w:marBottom w:val="0"/>
      <w:divBdr>
        <w:top w:val="none" w:sz="0" w:space="0" w:color="auto"/>
        <w:left w:val="none" w:sz="0" w:space="0" w:color="auto"/>
        <w:bottom w:val="none" w:sz="0" w:space="0" w:color="auto"/>
        <w:right w:val="none" w:sz="0" w:space="0" w:color="auto"/>
      </w:divBdr>
      <w:divsChild>
        <w:div w:id="576328906">
          <w:marLeft w:val="0"/>
          <w:marRight w:val="0"/>
          <w:marTop w:val="0"/>
          <w:marBottom w:val="0"/>
          <w:divBdr>
            <w:top w:val="none" w:sz="0" w:space="0" w:color="auto"/>
            <w:left w:val="none" w:sz="0" w:space="0" w:color="auto"/>
            <w:bottom w:val="none" w:sz="0" w:space="0" w:color="auto"/>
            <w:right w:val="none" w:sz="0" w:space="0" w:color="auto"/>
          </w:divBdr>
        </w:div>
      </w:divsChild>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np.gov.co/plan-nacional-desarrollo/pnd-2022-2026"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343a738a-e1be-4a84-8cf9-e13d3dd389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9D0978E93353D479C8DC9570212469B" ma:contentTypeVersion="14" ma:contentTypeDescription="Crear nuevo documento." ma:contentTypeScope="" ma:versionID="4b9befa75a347ec10a62573a205a13ca">
  <xsd:schema xmlns:xsd="http://www.w3.org/2001/XMLSchema" xmlns:xs="http://www.w3.org/2001/XMLSchema" xmlns:p="http://schemas.microsoft.com/office/2006/metadata/properties" xmlns:ns3="4171c87d-3dc0-46bf-af47-d6e497ee0d41" xmlns:ns4="343a738a-e1be-4a84-8cf9-e13d3dd389bf" targetNamespace="http://schemas.microsoft.com/office/2006/metadata/properties" ma:root="true" ma:fieldsID="004ee174b04090ed933dad2e989209ce" ns3:_="" ns4:_="">
    <xsd:import namespace="4171c87d-3dc0-46bf-af47-d6e497ee0d41"/>
    <xsd:import namespace="343a738a-e1be-4a84-8cf9-e13d3dd389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1c87d-3dc0-46bf-af47-d6e497ee0d4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a738a-e1be-4a84-8cf9-e13d3dd389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144820-3BC2-4C6E-A2BA-EB9826C2936D}">
  <ds:schemaRefs>
    <ds:schemaRef ds:uri="http://schemas.openxmlformats.org/officeDocument/2006/bibliography"/>
  </ds:schemaRefs>
</ds:datastoreItem>
</file>

<file path=customXml/itemProps2.xml><?xml version="1.0" encoding="utf-8"?>
<ds:datastoreItem xmlns:ds="http://schemas.openxmlformats.org/officeDocument/2006/customXml" ds:itemID="{F4E3DD87-C0EE-4C7A-9939-5A0A5C323E27}">
  <ds:schemaRefs>
    <ds:schemaRef ds:uri="http://schemas.microsoft.com/office/2006/metadata/properties"/>
    <ds:schemaRef ds:uri="http://schemas.microsoft.com/office/infopath/2007/PartnerControls"/>
    <ds:schemaRef ds:uri="343a738a-e1be-4a84-8cf9-e13d3dd389bf"/>
  </ds:schemaRefs>
</ds:datastoreItem>
</file>

<file path=customXml/itemProps3.xml><?xml version="1.0" encoding="utf-8"?>
<ds:datastoreItem xmlns:ds="http://schemas.openxmlformats.org/officeDocument/2006/customXml" ds:itemID="{134A2C0C-43A8-4E0A-B224-1B702EFA9AFB}">
  <ds:schemaRefs>
    <ds:schemaRef ds:uri="http://schemas.microsoft.com/sharepoint/v3/contenttype/forms"/>
  </ds:schemaRefs>
</ds:datastoreItem>
</file>

<file path=customXml/itemProps4.xml><?xml version="1.0" encoding="utf-8"?>
<ds:datastoreItem xmlns:ds="http://schemas.openxmlformats.org/officeDocument/2006/customXml" ds:itemID="{93BAD9C4-874B-465E-8F6C-E5CCB23D4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1c87d-3dc0-46bf-af47-d6e497ee0d41"/>
    <ds:schemaRef ds:uri="343a738a-e1be-4a84-8cf9-e13d3dd38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5902</Words>
  <Characters>32461</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dafp</Company>
  <LinksUpToDate>false</LinksUpToDate>
  <CharactersWithSpaces>38287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sistemas</dc:creator>
  <cp:keywords/>
  <dc:description/>
  <cp:lastModifiedBy>Daniel Enrique Herrera Mendez</cp:lastModifiedBy>
  <cp:revision>2</cp:revision>
  <cp:lastPrinted>2019-07-08T22:30:00Z</cp:lastPrinted>
  <dcterms:created xsi:type="dcterms:W3CDTF">2026-05-08T23:39:00Z</dcterms:created>
  <dcterms:modified xsi:type="dcterms:W3CDTF">2026-05-08T23:39:00Z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0x01010039D0978E93353D479C8DC9570212469B</vt:lpwstr>
  </property>
  <property fmtid="{D5CDD505-2E9C-101B-9397-08002B2CF9AE}" pid="3" name="MSIP_Label_f8da2c01-e402-4fc9-beb9-bac87f3a3b75_Enabled">
    <vt:lpwstr>true</vt:lpwstr>
  </property>
  <property fmtid="{D5CDD505-2E9C-101B-9397-08002B2CF9AE}" pid="4" name="MSIP_Label_f8da2c01-e402-4fc9-beb9-bac87f3a3b75_SetDate">
    <vt:lpwstr>2023-05-11T19:52:28Z</vt:lpwstr>
  </property>
  <property fmtid="{D5CDD505-2E9C-101B-9397-08002B2CF9AE}" pid="5" name="MSIP_Label_f8da2c01-e402-4fc9-beb9-bac87f3a3b75_Method">
    <vt:lpwstr>Privileged</vt:lpwstr>
  </property>
  <property fmtid="{D5CDD505-2E9C-101B-9397-08002B2CF9AE}" pid="6" name="MSIP_Label_f8da2c01-e402-4fc9-beb9-bac87f3a3b75_Name">
    <vt:lpwstr>f8da2c01-e402-4fc9-beb9-bac87f3a3b75</vt:lpwstr>
  </property>
  <property fmtid="{D5CDD505-2E9C-101B-9397-08002B2CF9AE}" pid="7" name="MSIP_Label_f8da2c01-e402-4fc9-beb9-bac87f3a3b75_SiteId">
    <vt:lpwstr>1a0673c6-24e1-476d-bb4d-ba6a91a3c588</vt:lpwstr>
  </property>
  <property fmtid="{D5CDD505-2E9C-101B-9397-08002B2CF9AE}" pid="8" name="MSIP_Label_f8da2c01-e402-4fc9-beb9-bac87f3a3b75_ActionId">
    <vt:lpwstr>0cfa8002-b063-4185-b394-62ab8b253e5f</vt:lpwstr>
  </property>
  <property fmtid="{D5CDD505-2E9C-101B-9397-08002B2CF9AE}" pid="9" name="MSIP_Label_f8da2c01-e402-4fc9-beb9-bac87f3a3b75_ContentBits">
    <vt:lpwstr>2</vt:lpwstr>
  </property>
</Properties>
</file>