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99920" w14:textId="3F600ADB" w:rsidR="00916E2B" w:rsidRPr="00C46703"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C46703">
        <w:rPr>
          <w:rFonts w:ascii="Arial Narrow" w:eastAsia="Batang" w:hAnsi="Arial Narrow" w:cs="Arial"/>
          <w:b/>
          <w:caps/>
          <w:sz w:val="22"/>
          <w:szCs w:val="22"/>
          <w:lang w:eastAsia="ko-KR"/>
        </w:rPr>
        <w:t xml:space="preserve">Proyecto de </w:t>
      </w:r>
      <w:r w:rsidR="001673BD">
        <w:rPr>
          <w:rFonts w:ascii="Arial Narrow" w:eastAsia="Batang" w:hAnsi="Arial Narrow" w:cs="Arial"/>
          <w:b/>
          <w:caps/>
          <w:sz w:val="22"/>
          <w:szCs w:val="22"/>
          <w:lang w:eastAsia="ko-KR"/>
        </w:rPr>
        <w:t>DECRETO</w:t>
      </w:r>
    </w:p>
    <w:p w14:paraId="0C84543E" w14:textId="77777777" w:rsidR="00C46816" w:rsidRPr="00C46703"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03568792" w14:textId="1A43FB48" w:rsidR="00C46816" w:rsidRPr="00C46703" w:rsidRDefault="001673BD" w:rsidP="00C203D1">
      <w:pPr>
        <w:jc w:val="both"/>
        <w:rPr>
          <w:rFonts w:ascii="Arial Narrow" w:hAnsi="Arial Narrow" w:cs="Arial"/>
          <w:b/>
          <w:color w:val="000000"/>
          <w:sz w:val="22"/>
          <w:szCs w:val="22"/>
        </w:rPr>
      </w:pPr>
      <w:r w:rsidRPr="001673BD">
        <w:rPr>
          <w:rFonts w:ascii="Arial Narrow" w:eastAsia="Batang" w:hAnsi="Arial Narrow" w:cs="Arial"/>
          <w:b/>
          <w:caps/>
          <w:sz w:val="22"/>
          <w:szCs w:val="22"/>
          <w:lang w:val="es-ES" w:eastAsia="ko-KR"/>
        </w:rPr>
        <w:t>“Por el cual se adiciona el título 18 a la parte 2 del libro 2 del Decreto 1078 de 2015, Decreto Único Reglamentario del Sector de Tecnologías de la Información y las Comunicaciones, para establecer las reglas para implemen</w:t>
      </w:r>
      <w:bookmarkStart w:id="0" w:name="_GoBack"/>
      <w:bookmarkEnd w:id="0"/>
      <w:r w:rsidRPr="001673BD">
        <w:rPr>
          <w:rFonts w:ascii="Arial Narrow" w:eastAsia="Batang" w:hAnsi="Arial Narrow" w:cs="Arial"/>
          <w:b/>
          <w:caps/>
          <w:sz w:val="22"/>
          <w:szCs w:val="22"/>
          <w:lang w:val="es-ES" w:eastAsia="ko-KR"/>
        </w:rPr>
        <w:t>tar el artículo 154 de la Ley 1955 de 2019”</w:t>
      </w:r>
    </w:p>
    <w:p w14:paraId="60F91E12" w14:textId="77777777" w:rsidR="001673BD" w:rsidRDefault="001673BD" w:rsidP="00C46816">
      <w:pPr>
        <w:jc w:val="center"/>
        <w:rPr>
          <w:rFonts w:ascii="Arial Narrow" w:hAnsi="Arial Narrow" w:cs="Arial"/>
          <w:b/>
          <w:sz w:val="22"/>
          <w:szCs w:val="22"/>
        </w:rPr>
      </w:pPr>
    </w:p>
    <w:p w14:paraId="299BA1FD" w14:textId="1EB1644F" w:rsidR="00C46816" w:rsidRPr="00C46703" w:rsidRDefault="00C46816" w:rsidP="00C46816">
      <w:pPr>
        <w:jc w:val="center"/>
        <w:rPr>
          <w:rFonts w:ascii="Arial Narrow" w:hAnsi="Arial Narrow" w:cs="Arial"/>
          <w:b/>
          <w:sz w:val="22"/>
          <w:szCs w:val="22"/>
        </w:rPr>
      </w:pPr>
      <w:r w:rsidRPr="00C46703">
        <w:rPr>
          <w:rFonts w:ascii="Arial Narrow" w:hAnsi="Arial Narrow" w:cs="Arial"/>
          <w:b/>
          <w:sz w:val="22"/>
          <w:szCs w:val="22"/>
        </w:rPr>
        <w:t xml:space="preserve">Bogotá D.C., </w:t>
      </w:r>
      <w:r w:rsidR="001673BD">
        <w:rPr>
          <w:rFonts w:ascii="Arial Narrow" w:hAnsi="Arial Narrow" w:cs="Arial"/>
          <w:b/>
          <w:sz w:val="22"/>
          <w:szCs w:val="22"/>
        </w:rPr>
        <w:t xml:space="preserve">marzo </w:t>
      </w:r>
      <w:r w:rsidR="00884903">
        <w:rPr>
          <w:rFonts w:ascii="Arial Narrow" w:hAnsi="Arial Narrow" w:cs="Arial"/>
          <w:b/>
          <w:sz w:val="22"/>
          <w:szCs w:val="22"/>
        </w:rPr>
        <w:t>de 2020</w:t>
      </w:r>
    </w:p>
    <w:p w14:paraId="3458E5E8" w14:textId="77777777" w:rsidR="00C46816" w:rsidRPr="00C46703" w:rsidRDefault="00C46816" w:rsidP="00C46816">
      <w:pPr>
        <w:jc w:val="both"/>
        <w:rPr>
          <w:rFonts w:ascii="Arial Narrow" w:hAnsi="Arial Narrow" w:cs="Arial"/>
          <w:b/>
          <w:sz w:val="22"/>
          <w:szCs w:val="22"/>
        </w:rPr>
      </w:pPr>
    </w:p>
    <w:p w14:paraId="5178CFDE" w14:textId="77777777" w:rsidR="00584CD6" w:rsidRPr="00C46703" w:rsidRDefault="00584CD6" w:rsidP="00584CD6">
      <w:pPr>
        <w:ind w:left="705" w:hanging="705"/>
        <w:rPr>
          <w:rFonts w:ascii="Arial Narrow" w:hAnsi="Arial Narrow" w:cs="Arial"/>
          <w:b/>
          <w:sz w:val="22"/>
          <w:szCs w:val="22"/>
          <w:lang w:val="es-ES_tradnl"/>
        </w:rPr>
      </w:pPr>
      <w:r w:rsidRPr="00C46703">
        <w:rPr>
          <w:rFonts w:ascii="Arial Narrow" w:hAnsi="Arial Narrow" w:cs="Arial"/>
          <w:b/>
          <w:sz w:val="22"/>
          <w:szCs w:val="22"/>
          <w:lang w:val="es-ES_tradnl"/>
        </w:rPr>
        <w:t>1.</w:t>
      </w:r>
      <w:r w:rsidRPr="00C46703">
        <w:rPr>
          <w:rFonts w:ascii="Arial Narrow" w:hAnsi="Arial Narrow" w:cs="Arial"/>
          <w:b/>
          <w:sz w:val="22"/>
          <w:szCs w:val="22"/>
          <w:lang w:val="es-ES_tradnl"/>
        </w:rPr>
        <w:tab/>
        <w:t>Antecedentes y las razones de oportunidad y conveniencia que justifican la expedición de la norma</w:t>
      </w:r>
    </w:p>
    <w:p w14:paraId="22CB68A4" w14:textId="77777777" w:rsidR="00584CD6" w:rsidRPr="00C46703" w:rsidRDefault="00584CD6" w:rsidP="00584CD6">
      <w:pPr>
        <w:jc w:val="both"/>
        <w:rPr>
          <w:rFonts w:ascii="Arial Narrow" w:hAnsi="Arial Narrow" w:cs="Arial"/>
          <w:sz w:val="22"/>
          <w:szCs w:val="22"/>
          <w:lang w:val="es-ES_tradnl"/>
        </w:rPr>
      </w:pPr>
    </w:p>
    <w:p w14:paraId="3AC65402" w14:textId="3828CEAB" w:rsidR="00314538" w:rsidRPr="00314538" w:rsidRDefault="00314538" w:rsidP="00314538">
      <w:pPr>
        <w:jc w:val="both"/>
        <w:rPr>
          <w:rFonts w:ascii="Arial Narrow" w:hAnsi="Arial Narrow" w:cs="Arial"/>
          <w:sz w:val="22"/>
          <w:szCs w:val="22"/>
          <w:lang w:val="es-ES"/>
        </w:rPr>
      </w:pPr>
      <w:r>
        <w:rPr>
          <w:rFonts w:ascii="Arial Narrow" w:hAnsi="Arial Narrow" w:cs="Arial"/>
          <w:sz w:val="22"/>
          <w:szCs w:val="22"/>
          <w:lang w:val="es-ES"/>
        </w:rPr>
        <w:t>E</w:t>
      </w:r>
      <w:r w:rsidRPr="00314538">
        <w:rPr>
          <w:rFonts w:ascii="Arial Narrow" w:hAnsi="Arial Narrow" w:cs="Arial"/>
          <w:sz w:val="22"/>
          <w:szCs w:val="22"/>
          <w:lang w:val="es-ES"/>
        </w:rPr>
        <w:t>l literal a) del artículo 33 de la Ley 182 de 1995, “</w:t>
      </w:r>
      <w:r w:rsidRPr="00314538">
        <w:rPr>
          <w:rFonts w:ascii="Arial Narrow" w:hAnsi="Arial Narrow" w:cs="Arial"/>
          <w:iCs/>
          <w:sz w:val="22"/>
          <w:szCs w:val="22"/>
          <w:lang w:val="es-ES"/>
        </w:rPr>
        <w:t>por la cual se reglamenta el servicio de televisión (…)</w:t>
      </w:r>
      <w:r w:rsidRPr="00314538">
        <w:rPr>
          <w:rFonts w:ascii="Arial Narrow" w:hAnsi="Arial Narrow" w:cs="Arial"/>
          <w:sz w:val="22"/>
          <w:szCs w:val="22"/>
          <w:lang w:val="es-ES"/>
        </w:rPr>
        <w:t>”, define, para efectos de transmisión en televisión, como producciones de origen nacional aquellas de cualquier género realizadas en todas sus etapas por personal artístico y técnico colombiano, con la participación de actores nacionales en roles protagónicos y de reparto; que podrá tener hasta el 10 % de actores extranjeros en roles protagónicos.</w:t>
      </w:r>
    </w:p>
    <w:p w14:paraId="65919848" w14:textId="77777777" w:rsidR="00314538" w:rsidRPr="00314538" w:rsidRDefault="00314538" w:rsidP="00314538">
      <w:pPr>
        <w:jc w:val="both"/>
        <w:rPr>
          <w:rFonts w:ascii="Arial Narrow" w:hAnsi="Arial Narrow" w:cs="Arial"/>
          <w:sz w:val="22"/>
          <w:szCs w:val="22"/>
          <w:lang w:val="es-ES"/>
        </w:rPr>
      </w:pPr>
    </w:p>
    <w:p w14:paraId="1D8BEDE8" w14:textId="168995D4" w:rsidR="00314538" w:rsidRPr="00314538" w:rsidRDefault="00314538" w:rsidP="00314538">
      <w:pPr>
        <w:jc w:val="both"/>
        <w:rPr>
          <w:rFonts w:ascii="Arial Narrow" w:hAnsi="Arial Narrow" w:cs="Arial"/>
          <w:sz w:val="22"/>
          <w:szCs w:val="22"/>
          <w:lang w:val="es-ES"/>
        </w:rPr>
      </w:pPr>
      <w:r>
        <w:rPr>
          <w:rFonts w:ascii="Arial Narrow" w:hAnsi="Arial Narrow" w:cs="Arial"/>
          <w:sz w:val="22"/>
          <w:szCs w:val="22"/>
          <w:lang w:val="es-ES"/>
        </w:rPr>
        <w:t>D</w:t>
      </w:r>
      <w:r w:rsidRPr="00314538">
        <w:rPr>
          <w:rFonts w:ascii="Arial Narrow" w:hAnsi="Arial Narrow" w:cs="Arial"/>
          <w:sz w:val="22"/>
          <w:szCs w:val="22"/>
          <w:lang w:val="es-ES"/>
        </w:rPr>
        <w:t>e conformidad con lo previsto en el artículo 43 de la Ley 397 de 1997, “Por la cual se desarrollan los artículos 70, 71 y 72 y demás artículos concordantes de la Constitución Política y se dictan normas sobre patrimonio cultural, fomentos y estímulos a la cultura (…)”, para efectos de obras cinematográficas, son producciones nacionales las que cumplan con los siguientes requisitos: que el capital colombiano invertido no sea inferior al 51 %, que el personal técnico sea mínimo del 51 % y el artístico sea de mínimo el 70 %, que su duración en pantalla sea de 70 minutos o más y para televisión 52 minutos o más.</w:t>
      </w:r>
    </w:p>
    <w:p w14:paraId="1C329867" w14:textId="77777777" w:rsidR="00314538" w:rsidRPr="00314538" w:rsidRDefault="00314538" w:rsidP="00314538">
      <w:pPr>
        <w:jc w:val="both"/>
        <w:rPr>
          <w:rFonts w:ascii="Arial Narrow" w:hAnsi="Arial Narrow" w:cs="Arial"/>
          <w:sz w:val="22"/>
          <w:szCs w:val="22"/>
          <w:lang w:val="es-ES"/>
        </w:rPr>
      </w:pPr>
    </w:p>
    <w:p w14:paraId="5C0D66F5" w14:textId="068E0C63" w:rsidR="00314538" w:rsidRPr="00314538" w:rsidRDefault="00314538" w:rsidP="00314538">
      <w:pPr>
        <w:jc w:val="both"/>
        <w:rPr>
          <w:rFonts w:ascii="Arial Narrow" w:hAnsi="Arial Narrow" w:cs="Arial"/>
          <w:sz w:val="22"/>
          <w:szCs w:val="22"/>
        </w:rPr>
      </w:pPr>
      <w:r>
        <w:rPr>
          <w:rFonts w:ascii="Arial Narrow" w:hAnsi="Arial Narrow" w:cs="Arial"/>
          <w:sz w:val="22"/>
          <w:szCs w:val="22"/>
          <w:lang w:val="es-ES"/>
        </w:rPr>
        <w:t>E</w:t>
      </w:r>
      <w:r w:rsidRPr="00314538">
        <w:rPr>
          <w:rFonts w:ascii="Arial Narrow" w:hAnsi="Arial Narrow" w:cs="Arial"/>
          <w:sz w:val="22"/>
          <w:szCs w:val="22"/>
          <w:lang w:val="es-ES"/>
        </w:rPr>
        <w:t xml:space="preserve">l artículo 44 de la Ley 397 de 1997, para efectos de </w:t>
      </w:r>
      <w:r w:rsidRPr="00314538">
        <w:rPr>
          <w:rFonts w:ascii="Arial Narrow" w:hAnsi="Arial Narrow" w:cs="Arial"/>
          <w:sz w:val="22"/>
          <w:szCs w:val="22"/>
        </w:rPr>
        <w:t>coproducción cinematográfica colombiana de largometraje, define que estas deben ser: producida conjuntamente por empresas cinematográficas colombianas y extranjeras, con participación económica nacional que no sea inferior al veinte por ciento (20 %), y con participación artística colombiana que intervenga en ella sea equivalente al menos al 70 % de la participación económica nacional y compruebe su trayectoria o competencia en el sector cinematográfico.</w:t>
      </w:r>
    </w:p>
    <w:p w14:paraId="0933A00C" w14:textId="77777777" w:rsidR="00314538" w:rsidRPr="00314538" w:rsidRDefault="00314538" w:rsidP="00314538">
      <w:pPr>
        <w:jc w:val="both"/>
        <w:rPr>
          <w:rFonts w:ascii="Arial Narrow" w:hAnsi="Arial Narrow" w:cs="Arial"/>
          <w:sz w:val="22"/>
          <w:szCs w:val="22"/>
          <w:lang w:val="es-ES"/>
        </w:rPr>
      </w:pPr>
    </w:p>
    <w:p w14:paraId="1C8F9413" w14:textId="00FDA711" w:rsidR="00314538" w:rsidRPr="00314538" w:rsidRDefault="00314538" w:rsidP="00314538">
      <w:pPr>
        <w:jc w:val="both"/>
        <w:rPr>
          <w:rFonts w:ascii="Arial Narrow" w:hAnsi="Arial Narrow" w:cs="Arial"/>
          <w:sz w:val="22"/>
          <w:szCs w:val="22"/>
        </w:rPr>
      </w:pPr>
      <w:r>
        <w:rPr>
          <w:rFonts w:ascii="Arial Narrow" w:hAnsi="Arial Narrow" w:cs="Arial"/>
          <w:sz w:val="22"/>
          <w:szCs w:val="22"/>
        </w:rPr>
        <w:t>E</w:t>
      </w:r>
      <w:r w:rsidRPr="00314538">
        <w:rPr>
          <w:rFonts w:ascii="Arial Narrow" w:hAnsi="Arial Narrow" w:cs="Arial"/>
          <w:sz w:val="22"/>
          <w:szCs w:val="22"/>
        </w:rPr>
        <w:t>l artículo 154 de la Ley 1955 de 2019, “</w:t>
      </w:r>
      <w:r w:rsidRPr="00314538">
        <w:rPr>
          <w:rFonts w:ascii="Arial Narrow" w:hAnsi="Arial Narrow" w:cs="Arial"/>
          <w:sz w:val="22"/>
          <w:szCs w:val="22"/>
          <w:lang w:val="es-ES"/>
        </w:rPr>
        <w:t>Por el cual se expide el Plan Nacional de Desarrollo 2018-2022</w:t>
      </w:r>
      <w:r w:rsidRPr="00314538">
        <w:rPr>
          <w:rFonts w:ascii="Arial Narrow" w:hAnsi="Arial Narrow" w:cs="Arial"/>
          <w:sz w:val="22"/>
          <w:szCs w:val="22"/>
        </w:rPr>
        <w:t xml:space="preserve">”, dispone que los servicios de video bajo demanda que funcionan sobre Internet deberán disponer, para los usuarios en Colombia, de una sección fácilmente accesible con las obras audiovisuales de origen nacional. Con tal propósito, a través del mismo precepto el legislador facultó al Gobierno Nacional para </w:t>
      </w:r>
      <w:r w:rsidRPr="00314538">
        <w:rPr>
          <w:rFonts w:ascii="Arial Narrow" w:hAnsi="Arial Narrow" w:cs="Arial"/>
          <w:sz w:val="22"/>
          <w:szCs w:val="22"/>
          <w:lang w:val="es-ES"/>
        </w:rPr>
        <w:t>expedir los aspectos necesarios para dar cumplimiento a esas disposiciones.</w:t>
      </w:r>
      <w:r w:rsidRPr="00314538">
        <w:rPr>
          <w:rFonts w:ascii="Arial Narrow" w:hAnsi="Arial Narrow" w:cs="Arial"/>
          <w:sz w:val="22"/>
          <w:szCs w:val="22"/>
        </w:rPr>
        <w:t xml:space="preserve"> </w:t>
      </w:r>
    </w:p>
    <w:p w14:paraId="4B305AB8" w14:textId="77777777" w:rsidR="00314538" w:rsidRPr="00314538" w:rsidRDefault="00314538" w:rsidP="00314538">
      <w:pPr>
        <w:jc w:val="both"/>
        <w:rPr>
          <w:rFonts w:ascii="Arial Narrow" w:hAnsi="Arial Narrow" w:cs="Arial"/>
          <w:sz w:val="22"/>
          <w:szCs w:val="22"/>
          <w:lang w:val="es-ES"/>
        </w:rPr>
      </w:pPr>
    </w:p>
    <w:p w14:paraId="19151911" w14:textId="6C06772A" w:rsidR="00314538" w:rsidRPr="00314538" w:rsidRDefault="00314538" w:rsidP="00314538">
      <w:pPr>
        <w:jc w:val="both"/>
        <w:rPr>
          <w:rFonts w:ascii="Arial Narrow" w:hAnsi="Arial Narrow" w:cs="Arial"/>
          <w:sz w:val="22"/>
          <w:szCs w:val="22"/>
          <w:lang w:val="es-ES"/>
        </w:rPr>
      </w:pPr>
      <w:r>
        <w:rPr>
          <w:rFonts w:ascii="Arial Narrow" w:hAnsi="Arial Narrow" w:cs="Arial"/>
          <w:sz w:val="22"/>
          <w:szCs w:val="22"/>
          <w:lang w:val="es-ES"/>
        </w:rPr>
        <w:t>E</w:t>
      </w:r>
      <w:r w:rsidRPr="00314538">
        <w:rPr>
          <w:rFonts w:ascii="Arial Narrow" w:hAnsi="Arial Narrow" w:cs="Arial"/>
          <w:sz w:val="22"/>
          <w:szCs w:val="22"/>
          <w:lang w:val="es-ES"/>
        </w:rPr>
        <w:t>n virtud de los anteriores considerandos, es necesario adicionar el título 18 a la parte 2 del libro 2 del Decreto Único Reglamentario del Sector de Tecnologías de la Información y las Comunicaciones, Decreto 1078 de 2015, para establecer los aspectos necesarios que permitan al usuario en Colombia el fácil acceso a una sección de obras audiovisuales de origen nacional en los servicios de reproducción de video bajo demanda, en cumplimiento de lo previsto por el artículo 154 de la Ley 1955 de 2019.</w:t>
      </w:r>
    </w:p>
    <w:p w14:paraId="653304BC" w14:textId="77777777" w:rsidR="00314538" w:rsidRPr="00C24080" w:rsidRDefault="00314538" w:rsidP="00C24080">
      <w:pPr>
        <w:jc w:val="both"/>
        <w:rPr>
          <w:rFonts w:ascii="Arial Narrow" w:hAnsi="Arial Narrow" w:cs="Arial"/>
          <w:sz w:val="22"/>
          <w:szCs w:val="22"/>
        </w:rPr>
      </w:pPr>
    </w:p>
    <w:p w14:paraId="1C4D7193" w14:textId="77777777" w:rsidR="00584CD6" w:rsidRPr="00C46703" w:rsidRDefault="00584CD6" w:rsidP="00584CD6">
      <w:pPr>
        <w:jc w:val="both"/>
        <w:rPr>
          <w:rFonts w:ascii="Arial Narrow" w:hAnsi="Arial Narrow" w:cs="Arial"/>
          <w:b/>
          <w:sz w:val="22"/>
          <w:szCs w:val="22"/>
          <w:lang w:val="es-ES_tradnl"/>
        </w:rPr>
      </w:pPr>
      <w:r w:rsidRPr="00C46703">
        <w:rPr>
          <w:rFonts w:ascii="Arial Narrow" w:hAnsi="Arial Narrow" w:cs="Arial"/>
          <w:b/>
          <w:sz w:val="22"/>
          <w:szCs w:val="22"/>
          <w:lang w:val="es-ES_tradnl"/>
        </w:rPr>
        <w:t>2.</w:t>
      </w:r>
      <w:r w:rsidRPr="00C46703">
        <w:rPr>
          <w:rFonts w:ascii="Arial Narrow" w:hAnsi="Arial Narrow" w:cs="Arial"/>
          <w:b/>
          <w:sz w:val="22"/>
          <w:szCs w:val="22"/>
          <w:lang w:val="es-ES_tradnl"/>
        </w:rPr>
        <w:tab/>
        <w:t>Ámbito de aplicación del acto administrativo</w:t>
      </w:r>
    </w:p>
    <w:p w14:paraId="620ADD15" w14:textId="77777777" w:rsidR="00584CD6" w:rsidRPr="00C46703" w:rsidRDefault="00584CD6" w:rsidP="00584CD6">
      <w:pPr>
        <w:jc w:val="both"/>
        <w:rPr>
          <w:rFonts w:ascii="Arial Narrow" w:hAnsi="Arial Narrow" w:cs="Arial"/>
          <w:sz w:val="22"/>
          <w:szCs w:val="22"/>
          <w:lang w:val="es-ES_tradnl"/>
        </w:rPr>
      </w:pPr>
    </w:p>
    <w:p w14:paraId="55D04FCF" w14:textId="3E83C7B3" w:rsidR="00584CD6" w:rsidRPr="00C46703" w:rsidRDefault="00C24080" w:rsidP="00584CD6">
      <w:pPr>
        <w:jc w:val="both"/>
        <w:rPr>
          <w:rFonts w:ascii="Arial Narrow" w:hAnsi="Arial Narrow" w:cs="Arial"/>
          <w:sz w:val="22"/>
          <w:szCs w:val="22"/>
          <w:lang w:val="es-ES_tradnl"/>
        </w:rPr>
      </w:pPr>
      <w:r w:rsidRPr="00C46703">
        <w:rPr>
          <w:rFonts w:ascii="Arial Narrow" w:hAnsi="Arial Narrow" w:cs="Arial"/>
          <w:sz w:val="22"/>
          <w:szCs w:val="22"/>
          <w:lang w:val="es-ES_tradnl"/>
        </w:rPr>
        <w:t>Proveedores de</w:t>
      </w:r>
      <w:r w:rsidR="00314538">
        <w:rPr>
          <w:rFonts w:ascii="Arial Narrow" w:hAnsi="Arial Narrow" w:cs="Arial"/>
          <w:sz w:val="22"/>
          <w:szCs w:val="22"/>
          <w:lang w:val="es-ES_tradnl"/>
        </w:rPr>
        <w:t>l servicio de reproducción de video bajo demanda sobre Internet</w:t>
      </w:r>
    </w:p>
    <w:p w14:paraId="3392A898" w14:textId="77777777" w:rsidR="00584CD6" w:rsidRPr="00C46703" w:rsidRDefault="00584CD6" w:rsidP="00584CD6">
      <w:pPr>
        <w:jc w:val="both"/>
        <w:rPr>
          <w:rFonts w:ascii="Arial Narrow" w:hAnsi="Arial Narrow" w:cs="Arial"/>
          <w:sz w:val="22"/>
          <w:szCs w:val="22"/>
          <w:lang w:val="es-ES_tradnl"/>
        </w:rPr>
      </w:pPr>
    </w:p>
    <w:p w14:paraId="1C5A9461" w14:textId="77777777" w:rsidR="00584CD6" w:rsidRPr="00C46703" w:rsidRDefault="00584CD6" w:rsidP="00584CD6">
      <w:pPr>
        <w:jc w:val="both"/>
        <w:rPr>
          <w:rFonts w:ascii="Arial Narrow" w:hAnsi="Arial Narrow" w:cs="Arial"/>
          <w:b/>
          <w:sz w:val="22"/>
          <w:szCs w:val="22"/>
          <w:lang w:val="es-ES_tradnl"/>
        </w:rPr>
      </w:pPr>
      <w:r w:rsidRPr="00C46703">
        <w:rPr>
          <w:rFonts w:ascii="Arial Narrow" w:hAnsi="Arial Narrow" w:cs="Arial"/>
          <w:b/>
          <w:sz w:val="22"/>
          <w:szCs w:val="22"/>
          <w:lang w:val="es-ES_tradnl"/>
        </w:rPr>
        <w:t>3.</w:t>
      </w:r>
      <w:r w:rsidRPr="00C46703">
        <w:rPr>
          <w:rFonts w:ascii="Arial Narrow" w:hAnsi="Arial Narrow" w:cs="Arial"/>
          <w:b/>
          <w:sz w:val="22"/>
          <w:szCs w:val="22"/>
          <w:lang w:val="es-ES_tradnl"/>
        </w:rPr>
        <w:tab/>
        <w:t xml:space="preserve">Estudio preliminar de viabilidad jurídica de la expedición de la norma </w:t>
      </w:r>
    </w:p>
    <w:p w14:paraId="59FB19D0" w14:textId="77777777" w:rsidR="00584CD6" w:rsidRPr="00C46703" w:rsidRDefault="00584CD6" w:rsidP="00584CD6">
      <w:pPr>
        <w:jc w:val="both"/>
        <w:rPr>
          <w:rFonts w:ascii="Arial Narrow" w:hAnsi="Arial Narrow" w:cs="Arial"/>
          <w:sz w:val="22"/>
          <w:szCs w:val="22"/>
          <w:lang w:val="es-ES_tradnl"/>
        </w:rPr>
      </w:pPr>
    </w:p>
    <w:p w14:paraId="111A32D5" w14:textId="77777777" w:rsidR="00584CD6" w:rsidRPr="00C46703"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C46703">
        <w:rPr>
          <w:rFonts w:ascii="Arial Narrow" w:hAnsi="Arial Narrow" w:cs="Arial"/>
          <w:b/>
          <w:sz w:val="22"/>
          <w:szCs w:val="22"/>
        </w:rPr>
        <w:t>3.1.</w:t>
      </w:r>
      <w:r w:rsidRPr="00C46703">
        <w:rPr>
          <w:rFonts w:ascii="Arial Narrow" w:hAnsi="Arial Narrow" w:cs="Arial"/>
          <w:b/>
          <w:sz w:val="22"/>
          <w:szCs w:val="22"/>
        </w:rPr>
        <w:tab/>
      </w:r>
      <w:r w:rsidRPr="00C46703">
        <w:rPr>
          <w:rFonts w:ascii="Arial Narrow" w:hAnsi="Arial Narrow" w:cs="Arial"/>
          <w:sz w:val="22"/>
          <w:szCs w:val="22"/>
        </w:rPr>
        <w:t xml:space="preserve">Análisis expreso y detallado de las normas que otorgan competencia para la expedición del </w:t>
      </w:r>
      <w:r w:rsidRPr="00C46703">
        <w:rPr>
          <w:rFonts w:ascii="Arial Narrow" w:hAnsi="Arial Narrow" w:cs="Arial"/>
          <w:sz w:val="22"/>
          <w:szCs w:val="22"/>
          <w:lang w:val="es-ES_tradnl"/>
        </w:rPr>
        <w:t>acto administrativo:</w:t>
      </w:r>
    </w:p>
    <w:p w14:paraId="351CC8EE" w14:textId="77777777" w:rsidR="00584CD6" w:rsidRPr="00C46703" w:rsidRDefault="00584CD6" w:rsidP="00584CD6">
      <w:pPr>
        <w:widowControl w:val="0"/>
        <w:autoSpaceDE w:val="0"/>
        <w:autoSpaceDN w:val="0"/>
        <w:adjustRightInd w:val="0"/>
        <w:contextualSpacing/>
        <w:jc w:val="both"/>
        <w:rPr>
          <w:rFonts w:ascii="Arial Narrow" w:hAnsi="Arial Narrow" w:cs="Arial"/>
          <w:b/>
          <w:sz w:val="22"/>
          <w:szCs w:val="22"/>
        </w:rPr>
      </w:pPr>
    </w:p>
    <w:p w14:paraId="2C552B1A" w14:textId="77777777" w:rsidR="00584CD6" w:rsidRPr="00C46703" w:rsidRDefault="00584CD6" w:rsidP="00584CD6">
      <w:pPr>
        <w:contextualSpacing/>
        <w:jc w:val="both"/>
        <w:rPr>
          <w:rFonts w:ascii="Arial Narrow" w:hAnsi="Arial Narrow" w:cs="Arial"/>
          <w:sz w:val="22"/>
          <w:szCs w:val="22"/>
        </w:rPr>
      </w:pPr>
      <w:r w:rsidRPr="00C46703">
        <w:rPr>
          <w:rFonts w:ascii="Arial Narrow" w:hAnsi="Arial Narrow" w:cs="Arial"/>
          <w:sz w:val="22"/>
          <w:szCs w:val="22"/>
        </w:rPr>
        <w:t xml:space="preserve">Las normas que otorgan la competencia para la expedición del acto administrativo están contenidas en las siguientes normas: </w:t>
      </w:r>
    </w:p>
    <w:p w14:paraId="5A6359B6" w14:textId="77777777" w:rsidR="00C24080" w:rsidRPr="00C46703" w:rsidRDefault="00C24080" w:rsidP="00584CD6">
      <w:pPr>
        <w:contextualSpacing/>
        <w:jc w:val="both"/>
        <w:rPr>
          <w:rFonts w:ascii="Arial Narrow" w:hAnsi="Arial Narrow" w:cs="Tahoma"/>
          <w:sz w:val="22"/>
          <w:szCs w:val="22"/>
        </w:rPr>
      </w:pPr>
    </w:p>
    <w:p w14:paraId="17B055CA" w14:textId="7564FF98" w:rsidR="00584CD6" w:rsidRDefault="00314538" w:rsidP="00584CD6">
      <w:pPr>
        <w:contextualSpacing/>
        <w:jc w:val="both"/>
        <w:rPr>
          <w:rFonts w:ascii="Arial Narrow" w:hAnsi="Arial Narrow" w:cs="Arial"/>
          <w:sz w:val="22"/>
          <w:szCs w:val="22"/>
        </w:rPr>
      </w:pPr>
      <w:r>
        <w:rPr>
          <w:rFonts w:ascii="Arial Narrow" w:hAnsi="Arial Narrow" w:cs="Arial"/>
          <w:sz w:val="22"/>
          <w:szCs w:val="22"/>
        </w:rPr>
        <w:lastRenderedPageBreak/>
        <w:t>El artículo 154 de la Ley 1955 de 2019 dispone que el Gobierno Nacional reglamentará las condiciones para cumplir lo dispuesto en dicha norma.</w:t>
      </w:r>
    </w:p>
    <w:p w14:paraId="00A10A10" w14:textId="77777777" w:rsidR="0023508E" w:rsidRPr="00C46703" w:rsidRDefault="0023508E" w:rsidP="00584CD6">
      <w:pPr>
        <w:contextualSpacing/>
        <w:jc w:val="both"/>
        <w:rPr>
          <w:rFonts w:ascii="Arial Narrow" w:hAnsi="Arial Narrow" w:cs="Arial"/>
          <w:sz w:val="22"/>
          <w:szCs w:val="22"/>
        </w:rPr>
      </w:pPr>
    </w:p>
    <w:p w14:paraId="62D7E94B" w14:textId="77777777" w:rsidR="00584CD6" w:rsidRPr="00C46703" w:rsidRDefault="00584CD6" w:rsidP="00584CD6">
      <w:pPr>
        <w:spacing w:line="276" w:lineRule="atLeast"/>
        <w:jc w:val="both"/>
        <w:rPr>
          <w:rFonts w:ascii="Arial Narrow" w:hAnsi="Arial Narrow" w:cs="Arial"/>
          <w:sz w:val="22"/>
          <w:szCs w:val="22"/>
        </w:rPr>
      </w:pPr>
      <w:r w:rsidRPr="00C46703">
        <w:rPr>
          <w:rFonts w:ascii="Arial Narrow" w:hAnsi="Arial Narrow" w:cs="Arial"/>
          <w:b/>
          <w:sz w:val="22"/>
          <w:szCs w:val="22"/>
          <w:lang w:eastAsia="en-US"/>
        </w:rPr>
        <w:t>3.2.</w:t>
      </w:r>
      <w:r w:rsidRPr="00C46703">
        <w:rPr>
          <w:rFonts w:ascii="Arial Narrow" w:hAnsi="Arial Narrow" w:cs="Arial"/>
          <w:b/>
          <w:sz w:val="22"/>
          <w:szCs w:val="22"/>
          <w:lang w:eastAsia="en-US"/>
        </w:rPr>
        <w:tab/>
      </w:r>
      <w:r w:rsidRPr="00C46703">
        <w:rPr>
          <w:rFonts w:ascii="Arial Narrow" w:hAnsi="Arial Narrow" w:cs="Arial"/>
          <w:sz w:val="22"/>
          <w:szCs w:val="22"/>
          <w:lang w:eastAsia="en-US"/>
        </w:rPr>
        <w:t xml:space="preserve">Vigencia de la ley o norma reglamentada o desarrollada con el </w:t>
      </w:r>
      <w:r w:rsidRPr="00C46703">
        <w:rPr>
          <w:rFonts w:ascii="Arial Narrow" w:hAnsi="Arial Narrow" w:cs="Arial"/>
          <w:sz w:val="22"/>
          <w:szCs w:val="22"/>
          <w:lang w:val="es-ES_tradnl"/>
        </w:rPr>
        <w:t>acto administrativo</w:t>
      </w:r>
      <w:r w:rsidRPr="00C46703">
        <w:rPr>
          <w:rFonts w:ascii="Arial Narrow" w:hAnsi="Arial Narrow" w:cs="Arial"/>
          <w:sz w:val="22"/>
          <w:szCs w:val="22"/>
          <w:lang w:eastAsia="en-US"/>
        </w:rPr>
        <w:t>:</w:t>
      </w:r>
    </w:p>
    <w:p w14:paraId="101DC3F5" w14:textId="77777777" w:rsidR="00584CD6" w:rsidRPr="00C46703" w:rsidRDefault="00584CD6" w:rsidP="00584CD6">
      <w:pPr>
        <w:jc w:val="both"/>
        <w:rPr>
          <w:rFonts w:ascii="Arial Narrow" w:hAnsi="Arial Narrow" w:cs="Arial"/>
          <w:sz w:val="22"/>
          <w:szCs w:val="22"/>
          <w:lang w:val="es-ES_tradnl"/>
        </w:rPr>
      </w:pPr>
    </w:p>
    <w:p w14:paraId="60F33C15" w14:textId="32A4B612" w:rsidR="00584CD6" w:rsidRPr="00C46703" w:rsidRDefault="00584CD6" w:rsidP="00584CD6">
      <w:pPr>
        <w:jc w:val="both"/>
        <w:rPr>
          <w:rFonts w:ascii="Arial Narrow" w:hAnsi="Arial Narrow" w:cs="Arial"/>
          <w:sz w:val="22"/>
          <w:szCs w:val="22"/>
          <w:lang w:val="es-ES_tradnl"/>
        </w:rPr>
      </w:pPr>
      <w:r w:rsidRPr="00C46703">
        <w:rPr>
          <w:rFonts w:ascii="Arial Narrow" w:hAnsi="Arial Narrow" w:cs="Arial"/>
          <w:sz w:val="22"/>
          <w:szCs w:val="22"/>
          <w:lang w:val="es-ES_tradnl"/>
        </w:rPr>
        <w:t xml:space="preserve">Las disposiciones de la Ley </w:t>
      </w:r>
      <w:r w:rsidR="00314538">
        <w:rPr>
          <w:rFonts w:ascii="Arial Narrow" w:hAnsi="Arial Narrow" w:cs="Arial"/>
          <w:sz w:val="22"/>
          <w:szCs w:val="22"/>
          <w:lang w:val="es-ES_tradnl"/>
        </w:rPr>
        <w:t>1955 de 2019</w:t>
      </w:r>
      <w:r w:rsidR="00C24080" w:rsidRPr="00C46703">
        <w:rPr>
          <w:rFonts w:ascii="Arial Narrow" w:hAnsi="Arial Narrow" w:cs="Arial"/>
          <w:sz w:val="22"/>
          <w:szCs w:val="22"/>
          <w:lang w:val="es-ES_tradnl"/>
        </w:rPr>
        <w:t xml:space="preserve"> </w:t>
      </w:r>
      <w:r w:rsidRPr="00C46703">
        <w:rPr>
          <w:rFonts w:ascii="Arial Narrow" w:hAnsi="Arial Narrow" w:cs="Arial"/>
          <w:sz w:val="22"/>
          <w:szCs w:val="22"/>
          <w:lang w:val="es-ES_tradnl"/>
        </w:rPr>
        <w:t>que sustentan la expedición del proyecto normativo se encuentran actualmente vigentes y no han tenido limitaciones vía jurisprudencia.</w:t>
      </w:r>
    </w:p>
    <w:p w14:paraId="6E54E6AA" w14:textId="77777777" w:rsidR="00584CD6" w:rsidRPr="00C46703" w:rsidRDefault="00584CD6" w:rsidP="00584CD6">
      <w:pPr>
        <w:jc w:val="both"/>
        <w:rPr>
          <w:rFonts w:ascii="Arial Narrow" w:hAnsi="Arial Narrow" w:cs="Arial"/>
          <w:sz w:val="22"/>
          <w:szCs w:val="22"/>
          <w:lang w:val="es-ES_tradnl"/>
        </w:rPr>
      </w:pPr>
    </w:p>
    <w:p w14:paraId="4A21FD52" w14:textId="77777777" w:rsidR="00584CD6" w:rsidRPr="00C46703" w:rsidRDefault="00584CD6" w:rsidP="00584CD6">
      <w:pPr>
        <w:spacing w:after="262" w:line="271" w:lineRule="atLeast"/>
        <w:ind w:right="49"/>
        <w:jc w:val="both"/>
        <w:rPr>
          <w:rFonts w:ascii="Arial Narrow" w:hAnsi="Arial Narrow" w:cs="Arial"/>
          <w:sz w:val="22"/>
          <w:szCs w:val="22"/>
        </w:rPr>
      </w:pPr>
      <w:r w:rsidRPr="00C46703">
        <w:rPr>
          <w:rFonts w:ascii="Arial Narrow" w:hAnsi="Arial Narrow" w:cs="Arial"/>
          <w:b/>
          <w:color w:val="000000"/>
          <w:sz w:val="22"/>
          <w:szCs w:val="22"/>
          <w:lang w:eastAsia="en-US"/>
        </w:rPr>
        <w:t>3.3.</w:t>
      </w:r>
      <w:r w:rsidRPr="00C46703">
        <w:rPr>
          <w:rFonts w:ascii="Arial Narrow" w:hAnsi="Arial Narrow" w:cs="Arial"/>
          <w:b/>
          <w:color w:val="000000"/>
          <w:sz w:val="22"/>
          <w:szCs w:val="22"/>
          <w:lang w:eastAsia="en-US"/>
        </w:rPr>
        <w:tab/>
      </w:r>
      <w:r w:rsidRPr="00C46703">
        <w:rPr>
          <w:rFonts w:ascii="Arial Narrow" w:hAnsi="Arial Narrow" w:cs="Arial"/>
          <w:color w:val="000000"/>
          <w:sz w:val="22"/>
          <w:szCs w:val="22"/>
          <w:lang w:eastAsia="en-US"/>
        </w:rPr>
        <w:t xml:space="preserve">Disposiciones que se derogan, subrogan, modifican, adicionan o desarrollan con el </w:t>
      </w:r>
      <w:r w:rsidRPr="00C46703">
        <w:rPr>
          <w:rFonts w:ascii="Arial Narrow" w:hAnsi="Arial Narrow" w:cs="Arial"/>
          <w:sz w:val="22"/>
          <w:szCs w:val="22"/>
          <w:lang w:val="es-ES_tradnl"/>
        </w:rPr>
        <w:t>acto administrativo</w:t>
      </w:r>
      <w:r w:rsidRPr="00C46703">
        <w:rPr>
          <w:rFonts w:ascii="Arial Narrow" w:hAnsi="Arial Narrow" w:cs="Arial"/>
          <w:color w:val="000000"/>
          <w:sz w:val="22"/>
          <w:szCs w:val="22"/>
          <w:lang w:eastAsia="en-US"/>
        </w:rPr>
        <w:t>:</w:t>
      </w:r>
    </w:p>
    <w:p w14:paraId="15000C7B" w14:textId="699BB2B0" w:rsidR="00584CD6" w:rsidRPr="00C46703" w:rsidRDefault="00C24080" w:rsidP="00584CD6">
      <w:pPr>
        <w:jc w:val="both"/>
        <w:rPr>
          <w:rFonts w:ascii="Arial Narrow" w:hAnsi="Arial Narrow" w:cs="Arial"/>
          <w:sz w:val="22"/>
          <w:szCs w:val="22"/>
        </w:rPr>
      </w:pPr>
      <w:r w:rsidRPr="00C46703">
        <w:rPr>
          <w:rFonts w:ascii="Arial Narrow" w:hAnsi="Arial Narrow" w:cs="Arial"/>
          <w:sz w:val="22"/>
          <w:szCs w:val="22"/>
        </w:rPr>
        <w:t xml:space="preserve">El proyecto de Decreto </w:t>
      </w:r>
      <w:r w:rsidR="00765135" w:rsidRPr="00765135">
        <w:rPr>
          <w:rFonts w:ascii="Arial Narrow" w:hAnsi="Arial Narrow" w:cs="Arial"/>
          <w:sz w:val="22"/>
          <w:szCs w:val="22"/>
        </w:rPr>
        <w:t>adiciona el título 18 a la parte 2 del libro 2 del Decreto 1078 de 2015, Decreto Único Reglamentario del Sector de Tecnologías de la Información y las Comunicaciones, para establecer las reglas para implementar el artículo 154 de la Ley 1955 de 2019</w:t>
      </w:r>
      <w:r w:rsidR="0023508E">
        <w:rPr>
          <w:rFonts w:ascii="Arial Narrow" w:hAnsi="Arial Narrow" w:cs="Arial"/>
          <w:sz w:val="22"/>
          <w:szCs w:val="22"/>
        </w:rPr>
        <w:t>.</w:t>
      </w:r>
    </w:p>
    <w:p w14:paraId="10C38082" w14:textId="77777777" w:rsidR="00584CD6" w:rsidRPr="00C46703" w:rsidRDefault="00584CD6" w:rsidP="00584CD6">
      <w:pPr>
        <w:jc w:val="both"/>
        <w:rPr>
          <w:rFonts w:ascii="Arial Narrow" w:hAnsi="Arial Narrow" w:cs="Arial"/>
          <w:sz w:val="22"/>
          <w:szCs w:val="22"/>
        </w:rPr>
      </w:pPr>
    </w:p>
    <w:p w14:paraId="3725A257" w14:textId="77777777" w:rsidR="00584CD6" w:rsidRPr="00C46703" w:rsidRDefault="00584CD6" w:rsidP="00584CD6">
      <w:pPr>
        <w:ind w:left="705" w:hanging="705"/>
        <w:jc w:val="both"/>
        <w:rPr>
          <w:rFonts w:ascii="Arial Narrow" w:hAnsi="Arial Narrow" w:cs="Arial"/>
          <w:sz w:val="22"/>
          <w:szCs w:val="22"/>
        </w:rPr>
      </w:pPr>
      <w:r w:rsidRPr="00C46703">
        <w:rPr>
          <w:rFonts w:ascii="Arial Narrow" w:hAnsi="Arial Narrow" w:cs="Arial"/>
          <w:b/>
          <w:sz w:val="22"/>
          <w:szCs w:val="22"/>
        </w:rPr>
        <w:t>3.4.</w:t>
      </w:r>
      <w:r w:rsidRPr="00C46703">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39D1B667" w14:textId="77777777" w:rsidR="00C24080" w:rsidRPr="00C46703" w:rsidRDefault="00C24080" w:rsidP="00584CD6">
      <w:pPr>
        <w:jc w:val="both"/>
        <w:rPr>
          <w:rFonts w:ascii="Arial Narrow" w:hAnsi="Arial Narrow" w:cs="Arial"/>
          <w:sz w:val="22"/>
          <w:szCs w:val="22"/>
        </w:rPr>
      </w:pPr>
    </w:p>
    <w:p w14:paraId="3D4F5C3E" w14:textId="77777777" w:rsidR="00584CD6" w:rsidRPr="00C46703" w:rsidRDefault="00584CD6" w:rsidP="00584CD6">
      <w:pPr>
        <w:jc w:val="both"/>
        <w:rPr>
          <w:rFonts w:ascii="Arial Narrow" w:hAnsi="Arial Narrow" w:cs="Arial"/>
          <w:sz w:val="22"/>
          <w:szCs w:val="22"/>
        </w:rPr>
      </w:pPr>
      <w:r w:rsidRPr="00C46703">
        <w:rPr>
          <w:rFonts w:ascii="Arial Narrow" w:hAnsi="Arial Narrow" w:cs="Arial"/>
          <w:sz w:val="22"/>
          <w:szCs w:val="22"/>
        </w:rPr>
        <w:t>A la fecha no hay precedentes jurisprudenciales que puedan tener impacto o ser relevantes para la expedición del acto</w:t>
      </w:r>
    </w:p>
    <w:p w14:paraId="289293A9" w14:textId="77777777" w:rsidR="00584CD6" w:rsidRPr="00C46703" w:rsidRDefault="00584CD6" w:rsidP="00584CD6">
      <w:pPr>
        <w:ind w:left="705" w:hanging="705"/>
        <w:jc w:val="both"/>
        <w:rPr>
          <w:rFonts w:ascii="Arial Narrow" w:hAnsi="Arial Narrow" w:cs="Arial"/>
          <w:b/>
          <w:sz w:val="22"/>
          <w:szCs w:val="22"/>
        </w:rPr>
      </w:pPr>
    </w:p>
    <w:p w14:paraId="1A378BC5" w14:textId="77777777" w:rsidR="00584CD6" w:rsidRPr="00C46703" w:rsidRDefault="00584CD6" w:rsidP="00584CD6">
      <w:pPr>
        <w:ind w:left="705" w:hanging="705"/>
        <w:jc w:val="both"/>
        <w:rPr>
          <w:rFonts w:ascii="Arial Narrow" w:hAnsi="Arial Narrow" w:cs="Arial"/>
          <w:sz w:val="22"/>
          <w:szCs w:val="22"/>
        </w:rPr>
      </w:pPr>
      <w:r w:rsidRPr="00C46703">
        <w:rPr>
          <w:rFonts w:ascii="Arial Narrow" w:hAnsi="Arial Narrow" w:cs="Arial"/>
          <w:b/>
          <w:sz w:val="22"/>
          <w:szCs w:val="22"/>
        </w:rPr>
        <w:t>3.5.</w:t>
      </w:r>
      <w:r w:rsidRPr="00C46703">
        <w:rPr>
          <w:rFonts w:ascii="Arial Narrow" w:hAnsi="Arial Narrow" w:cs="Arial"/>
          <w:sz w:val="22"/>
          <w:szCs w:val="22"/>
        </w:rPr>
        <w:tab/>
        <w:t>Advertencia de cualquier otra circunstancia jurídica que pueda ser relevante para la expedición del acto:</w:t>
      </w:r>
    </w:p>
    <w:p w14:paraId="5FF9C215" w14:textId="77777777" w:rsidR="00584CD6" w:rsidRPr="00C46703" w:rsidRDefault="00584CD6" w:rsidP="00584CD6">
      <w:pPr>
        <w:jc w:val="both"/>
        <w:rPr>
          <w:rFonts w:ascii="Arial Narrow" w:hAnsi="Arial Narrow" w:cs="Arial"/>
          <w:sz w:val="22"/>
          <w:szCs w:val="22"/>
        </w:rPr>
      </w:pPr>
    </w:p>
    <w:p w14:paraId="0B977E57" w14:textId="77777777" w:rsidR="00B2776D" w:rsidRPr="00C46703" w:rsidRDefault="00B2776D" w:rsidP="00B2776D">
      <w:pPr>
        <w:jc w:val="both"/>
        <w:rPr>
          <w:rFonts w:ascii="Arial Narrow" w:hAnsi="Arial Narrow" w:cs="Arial"/>
          <w:sz w:val="22"/>
          <w:szCs w:val="22"/>
        </w:rPr>
      </w:pPr>
      <w:r w:rsidRPr="00C46703">
        <w:rPr>
          <w:rFonts w:ascii="Arial Narrow" w:hAnsi="Arial Narrow" w:cs="Arial"/>
          <w:sz w:val="22"/>
          <w:szCs w:val="22"/>
        </w:rPr>
        <w:t>No se advierten situaciones jurídicas relevantes adicionales para la expedición del acto.</w:t>
      </w:r>
    </w:p>
    <w:p w14:paraId="4DD699DC" w14:textId="77777777" w:rsidR="00584CD6" w:rsidRPr="00C46703" w:rsidRDefault="00584CD6" w:rsidP="00584CD6">
      <w:pPr>
        <w:jc w:val="both"/>
        <w:rPr>
          <w:rFonts w:ascii="Arial Narrow" w:hAnsi="Arial Narrow" w:cs="Arial"/>
          <w:sz w:val="22"/>
          <w:szCs w:val="22"/>
        </w:rPr>
      </w:pPr>
    </w:p>
    <w:p w14:paraId="3CD966FC" w14:textId="77777777" w:rsidR="00584CD6" w:rsidRPr="00C46703" w:rsidRDefault="00584CD6" w:rsidP="00584CD6">
      <w:pPr>
        <w:jc w:val="both"/>
        <w:rPr>
          <w:rFonts w:ascii="Arial Narrow" w:hAnsi="Arial Narrow" w:cs="Arial"/>
          <w:b/>
          <w:sz w:val="22"/>
          <w:szCs w:val="22"/>
          <w:lang w:val="es-ES_tradnl"/>
        </w:rPr>
      </w:pPr>
      <w:r w:rsidRPr="00C46703">
        <w:rPr>
          <w:rFonts w:ascii="Arial Narrow" w:hAnsi="Arial Narrow" w:cs="Arial"/>
          <w:b/>
          <w:sz w:val="22"/>
          <w:szCs w:val="22"/>
          <w:lang w:val="es-ES_tradnl"/>
        </w:rPr>
        <w:t>4.</w:t>
      </w:r>
      <w:r w:rsidRPr="00C46703">
        <w:rPr>
          <w:rFonts w:ascii="Arial Narrow" w:hAnsi="Arial Narrow" w:cs="Arial"/>
          <w:b/>
          <w:sz w:val="22"/>
          <w:szCs w:val="22"/>
          <w:lang w:val="es-ES_tradnl"/>
        </w:rPr>
        <w:tab/>
        <w:t>Estudio preliminar sobre posible impacto económico de la norma a expedir</w:t>
      </w:r>
    </w:p>
    <w:p w14:paraId="7B50B81F" w14:textId="77777777" w:rsidR="00584CD6" w:rsidRPr="00C46703" w:rsidRDefault="00584CD6" w:rsidP="00584CD6">
      <w:pPr>
        <w:autoSpaceDE w:val="0"/>
        <w:autoSpaceDN w:val="0"/>
        <w:adjustRightInd w:val="0"/>
        <w:jc w:val="both"/>
        <w:rPr>
          <w:rFonts w:ascii="Arial Narrow" w:hAnsi="Arial Narrow" w:cs="Arial"/>
          <w:sz w:val="22"/>
          <w:szCs w:val="22"/>
        </w:rPr>
      </w:pPr>
    </w:p>
    <w:p w14:paraId="3F528604" w14:textId="2BEA7036" w:rsidR="0095351A" w:rsidRPr="00C46703" w:rsidRDefault="00765135" w:rsidP="0095351A">
      <w:pPr>
        <w:jc w:val="both"/>
        <w:rPr>
          <w:rFonts w:ascii="Arial Narrow" w:hAnsi="Arial Narrow"/>
          <w:sz w:val="22"/>
          <w:szCs w:val="22"/>
        </w:rPr>
      </w:pPr>
      <w:r>
        <w:rPr>
          <w:rFonts w:ascii="Arial Narrow" w:hAnsi="Arial Narrow" w:cs="Arial"/>
          <w:sz w:val="22"/>
          <w:szCs w:val="22"/>
        </w:rPr>
        <w:t xml:space="preserve">La norma </w:t>
      </w:r>
      <w:r w:rsidR="00F71CF8">
        <w:rPr>
          <w:rFonts w:ascii="Arial Narrow" w:hAnsi="Arial Narrow" w:cs="Arial"/>
          <w:sz w:val="22"/>
          <w:szCs w:val="22"/>
        </w:rPr>
        <w:t xml:space="preserve">por </w:t>
      </w:r>
      <w:r>
        <w:rPr>
          <w:rFonts w:ascii="Arial Narrow" w:hAnsi="Arial Narrow" w:cs="Arial"/>
          <w:sz w:val="22"/>
          <w:szCs w:val="22"/>
        </w:rPr>
        <w:t xml:space="preserve">expedir no genera impacto económico </w:t>
      </w:r>
      <w:r w:rsidR="00F71CF8">
        <w:rPr>
          <w:rFonts w:ascii="Arial Narrow" w:hAnsi="Arial Narrow" w:cs="Arial"/>
          <w:sz w:val="22"/>
          <w:szCs w:val="22"/>
        </w:rPr>
        <w:t>porque determina una forma para que el usuario acceda al servicio.</w:t>
      </w:r>
    </w:p>
    <w:p w14:paraId="5BEC2F01" w14:textId="77777777" w:rsidR="00584CD6" w:rsidRPr="00C46703" w:rsidRDefault="00584CD6" w:rsidP="00584CD6">
      <w:pPr>
        <w:autoSpaceDE w:val="0"/>
        <w:autoSpaceDN w:val="0"/>
        <w:adjustRightInd w:val="0"/>
        <w:jc w:val="both"/>
        <w:rPr>
          <w:rFonts w:ascii="Arial Narrow" w:hAnsi="Arial Narrow" w:cs="Arial"/>
          <w:sz w:val="22"/>
          <w:szCs w:val="22"/>
        </w:rPr>
      </w:pPr>
    </w:p>
    <w:p w14:paraId="0ED41441" w14:textId="77777777" w:rsidR="00584CD6" w:rsidRPr="00C46703" w:rsidRDefault="00584CD6" w:rsidP="00584CD6">
      <w:pPr>
        <w:autoSpaceDE w:val="0"/>
        <w:autoSpaceDN w:val="0"/>
        <w:adjustRightInd w:val="0"/>
        <w:jc w:val="both"/>
        <w:rPr>
          <w:rFonts w:ascii="Arial Narrow" w:hAnsi="Arial Narrow" w:cs="Arial"/>
          <w:b/>
          <w:bCs/>
          <w:sz w:val="22"/>
          <w:szCs w:val="22"/>
        </w:rPr>
      </w:pPr>
      <w:r w:rsidRPr="00C46703">
        <w:rPr>
          <w:rFonts w:ascii="Arial Narrow" w:hAnsi="Arial Narrow" w:cs="Arial"/>
          <w:b/>
          <w:bCs/>
          <w:sz w:val="22"/>
          <w:szCs w:val="22"/>
        </w:rPr>
        <w:t>5.</w:t>
      </w:r>
      <w:r w:rsidRPr="00C46703">
        <w:rPr>
          <w:rFonts w:ascii="Arial Narrow" w:hAnsi="Arial Narrow" w:cs="Arial"/>
          <w:b/>
          <w:bCs/>
          <w:sz w:val="22"/>
          <w:szCs w:val="22"/>
        </w:rPr>
        <w:tab/>
        <w:t>Disponibilidad presupuestal</w:t>
      </w:r>
    </w:p>
    <w:p w14:paraId="7919C1C0" w14:textId="77777777" w:rsidR="00584CD6" w:rsidRPr="00C46703" w:rsidRDefault="00584CD6" w:rsidP="00584CD6">
      <w:pPr>
        <w:autoSpaceDE w:val="0"/>
        <w:autoSpaceDN w:val="0"/>
        <w:adjustRightInd w:val="0"/>
        <w:jc w:val="both"/>
        <w:rPr>
          <w:rFonts w:ascii="Arial Narrow" w:hAnsi="Arial Narrow" w:cs="Arial"/>
          <w:b/>
          <w:bCs/>
          <w:sz w:val="22"/>
          <w:szCs w:val="22"/>
        </w:rPr>
      </w:pPr>
    </w:p>
    <w:p w14:paraId="31684480" w14:textId="57719062" w:rsidR="0023508E" w:rsidRPr="00C46703" w:rsidRDefault="001E4960" w:rsidP="0023508E">
      <w:pPr>
        <w:jc w:val="both"/>
        <w:rPr>
          <w:rFonts w:ascii="Arial Narrow" w:hAnsi="Arial Narrow"/>
          <w:sz w:val="22"/>
          <w:szCs w:val="22"/>
        </w:rPr>
      </w:pPr>
      <w:r>
        <w:rPr>
          <w:rFonts w:ascii="Arial Narrow" w:hAnsi="Arial Narrow" w:cs="Arial"/>
          <w:sz w:val="22"/>
          <w:szCs w:val="22"/>
        </w:rPr>
        <w:t>La norma no supone</w:t>
      </w:r>
      <w:r w:rsidR="0023508E">
        <w:rPr>
          <w:rFonts w:ascii="Arial Narrow" w:hAnsi="Arial Narrow" w:cs="Arial"/>
          <w:sz w:val="22"/>
          <w:szCs w:val="22"/>
        </w:rPr>
        <w:t xml:space="preserve"> </w:t>
      </w:r>
      <w:r>
        <w:rPr>
          <w:rFonts w:ascii="Arial Narrow" w:hAnsi="Arial Narrow" w:cs="Arial"/>
          <w:sz w:val="22"/>
          <w:szCs w:val="22"/>
        </w:rPr>
        <w:t xml:space="preserve">la realización de </w:t>
      </w:r>
      <w:r w:rsidR="0023508E">
        <w:rPr>
          <w:rFonts w:ascii="Arial Narrow" w:hAnsi="Arial Narrow" w:cs="Arial"/>
          <w:sz w:val="22"/>
          <w:szCs w:val="22"/>
        </w:rPr>
        <w:t>erogación presupuestal</w:t>
      </w:r>
    </w:p>
    <w:p w14:paraId="415A9E88" w14:textId="77777777" w:rsidR="00584CD6" w:rsidRPr="00C46703" w:rsidRDefault="00584CD6" w:rsidP="00584CD6">
      <w:pPr>
        <w:autoSpaceDE w:val="0"/>
        <w:autoSpaceDN w:val="0"/>
        <w:adjustRightInd w:val="0"/>
        <w:jc w:val="both"/>
        <w:rPr>
          <w:rFonts w:ascii="Arial Narrow" w:hAnsi="Arial Narrow" w:cs="Arial"/>
          <w:b/>
          <w:bCs/>
          <w:sz w:val="22"/>
          <w:szCs w:val="22"/>
        </w:rPr>
      </w:pPr>
    </w:p>
    <w:p w14:paraId="4C808F43" w14:textId="77777777" w:rsidR="00584CD6" w:rsidRPr="00C46703" w:rsidRDefault="00584CD6" w:rsidP="00584CD6">
      <w:pPr>
        <w:autoSpaceDE w:val="0"/>
        <w:autoSpaceDN w:val="0"/>
        <w:adjustRightInd w:val="0"/>
        <w:ind w:left="705" w:hanging="705"/>
        <w:jc w:val="both"/>
        <w:rPr>
          <w:rFonts w:ascii="Arial Narrow" w:hAnsi="Arial Narrow" w:cs="Arial"/>
          <w:b/>
          <w:bCs/>
          <w:sz w:val="22"/>
          <w:szCs w:val="22"/>
        </w:rPr>
      </w:pPr>
      <w:r w:rsidRPr="00C46703">
        <w:rPr>
          <w:rFonts w:ascii="Arial Narrow" w:hAnsi="Arial Narrow" w:cs="Arial"/>
          <w:b/>
          <w:bCs/>
          <w:sz w:val="22"/>
          <w:szCs w:val="22"/>
        </w:rPr>
        <w:t>6.</w:t>
      </w:r>
      <w:r w:rsidRPr="00C46703">
        <w:rPr>
          <w:rFonts w:ascii="Arial Narrow" w:hAnsi="Arial Narrow" w:cs="Arial"/>
          <w:b/>
          <w:bCs/>
          <w:sz w:val="22"/>
          <w:szCs w:val="22"/>
        </w:rPr>
        <w:tab/>
      </w:r>
      <w:r w:rsidRPr="00C46703">
        <w:rPr>
          <w:rFonts w:ascii="Arial Narrow" w:hAnsi="Arial Narrow" w:cs="Arial"/>
          <w:b/>
          <w:sz w:val="22"/>
          <w:szCs w:val="22"/>
          <w:lang w:val="es-ES_tradnl"/>
        </w:rPr>
        <w:t>Estudio preliminar sobre posible impacto</w:t>
      </w:r>
      <w:r w:rsidRPr="00C46703">
        <w:rPr>
          <w:rFonts w:ascii="Arial Narrow" w:hAnsi="Arial Narrow" w:cs="Arial"/>
          <w:b/>
          <w:bCs/>
          <w:sz w:val="22"/>
          <w:szCs w:val="22"/>
        </w:rPr>
        <w:t xml:space="preserve"> medioambiental o sobre el patrimonio cultural de la Nación</w:t>
      </w:r>
    </w:p>
    <w:p w14:paraId="7B04DE98" w14:textId="77777777" w:rsidR="00584CD6" w:rsidRPr="00C46703" w:rsidRDefault="00584CD6" w:rsidP="00584CD6">
      <w:pPr>
        <w:autoSpaceDE w:val="0"/>
        <w:autoSpaceDN w:val="0"/>
        <w:adjustRightInd w:val="0"/>
        <w:jc w:val="both"/>
        <w:rPr>
          <w:rFonts w:ascii="Arial Narrow" w:hAnsi="Arial Narrow" w:cs="Arial"/>
          <w:sz w:val="22"/>
          <w:szCs w:val="22"/>
        </w:rPr>
      </w:pPr>
    </w:p>
    <w:p w14:paraId="04DC6495" w14:textId="77777777" w:rsidR="00584CD6" w:rsidRPr="00C46703" w:rsidRDefault="0095351A" w:rsidP="00584CD6">
      <w:pPr>
        <w:autoSpaceDE w:val="0"/>
        <w:autoSpaceDN w:val="0"/>
        <w:adjustRightInd w:val="0"/>
        <w:jc w:val="both"/>
        <w:rPr>
          <w:rFonts w:ascii="Arial Narrow" w:hAnsi="Arial Narrow" w:cs="Arial"/>
          <w:sz w:val="22"/>
          <w:szCs w:val="22"/>
        </w:rPr>
      </w:pPr>
      <w:r w:rsidRPr="00C46703">
        <w:rPr>
          <w:rFonts w:ascii="Arial Narrow" w:hAnsi="Arial Narrow" w:cs="Arial"/>
          <w:sz w:val="22"/>
          <w:szCs w:val="22"/>
        </w:rPr>
        <w:t>La norma para expedir no</w:t>
      </w:r>
      <w:r w:rsidR="00584CD6" w:rsidRPr="00C46703">
        <w:rPr>
          <w:rFonts w:ascii="Arial Narrow" w:hAnsi="Arial Narrow" w:cs="Arial"/>
          <w:sz w:val="22"/>
          <w:szCs w:val="22"/>
        </w:rPr>
        <w:t xml:space="preserve"> genera impacto medioambiental o sobre el patrimonio cultural de la Nación.</w:t>
      </w:r>
    </w:p>
    <w:p w14:paraId="160B693F" w14:textId="77777777" w:rsidR="00584CD6" w:rsidRPr="00C46703" w:rsidRDefault="00584CD6" w:rsidP="00584CD6">
      <w:pPr>
        <w:contextualSpacing/>
        <w:jc w:val="both"/>
        <w:rPr>
          <w:rFonts w:ascii="Arial Narrow" w:hAnsi="Arial Narrow" w:cs="Arial"/>
          <w:b/>
          <w:sz w:val="22"/>
          <w:szCs w:val="22"/>
        </w:rPr>
      </w:pPr>
    </w:p>
    <w:p w14:paraId="40F92288" w14:textId="3AE177AE" w:rsidR="00946CAD" w:rsidRDefault="00946CAD" w:rsidP="00252479">
      <w:pPr>
        <w:jc w:val="both"/>
        <w:rPr>
          <w:rFonts w:ascii="Arial Narrow" w:hAnsi="Arial Narrow" w:cs="Arial"/>
          <w:b/>
          <w:color w:val="000000"/>
          <w:sz w:val="22"/>
          <w:szCs w:val="22"/>
        </w:rPr>
      </w:pPr>
    </w:p>
    <w:p w14:paraId="76B9249A" w14:textId="37BE1258" w:rsidR="0023508E" w:rsidRDefault="0023508E" w:rsidP="00252479">
      <w:pPr>
        <w:jc w:val="both"/>
        <w:rPr>
          <w:rFonts w:ascii="Arial Narrow" w:hAnsi="Arial Narrow" w:cs="Arial"/>
          <w:b/>
          <w:color w:val="000000"/>
          <w:sz w:val="22"/>
          <w:szCs w:val="22"/>
        </w:rPr>
      </w:pPr>
    </w:p>
    <w:p w14:paraId="11D2911D" w14:textId="77777777" w:rsidR="0023508E" w:rsidRDefault="0023508E" w:rsidP="00252479">
      <w:pPr>
        <w:jc w:val="both"/>
        <w:rPr>
          <w:rFonts w:ascii="Arial Narrow" w:hAnsi="Arial Narrow" w:cs="Arial"/>
          <w:b/>
          <w:color w:val="000000"/>
          <w:sz w:val="22"/>
          <w:szCs w:val="22"/>
        </w:rPr>
      </w:pPr>
    </w:p>
    <w:p w14:paraId="2C6FAEBA" w14:textId="77777777" w:rsidR="00C203D1" w:rsidRPr="00C46703" w:rsidRDefault="00C203D1" w:rsidP="00252479">
      <w:pPr>
        <w:jc w:val="both"/>
        <w:rPr>
          <w:rFonts w:ascii="Arial Narrow" w:hAnsi="Arial Narrow" w:cs="Arial"/>
          <w:b/>
          <w:color w:val="000000"/>
          <w:sz w:val="22"/>
          <w:szCs w:val="22"/>
        </w:rPr>
      </w:pPr>
    </w:p>
    <w:p w14:paraId="30AE9266" w14:textId="249FCEC7" w:rsidR="004C3D7B" w:rsidRDefault="004C3D7B" w:rsidP="00946CAD">
      <w:pPr>
        <w:pStyle w:val="NormalWeb"/>
        <w:spacing w:before="0" w:beforeAutospacing="0" w:after="0" w:afterAutospacing="0"/>
        <w:jc w:val="both"/>
        <w:rPr>
          <w:rFonts w:ascii="Arial Narrow" w:hAnsi="Arial Narrow" w:cs="Arial"/>
          <w:b/>
          <w:sz w:val="22"/>
          <w:szCs w:val="22"/>
        </w:rPr>
      </w:pPr>
    </w:p>
    <w:p w14:paraId="34332879" w14:textId="1F1744F9" w:rsidR="00946CAD" w:rsidRPr="00C46703" w:rsidRDefault="00946CAD" w:rsidP="00946CAD">
      <w:pPr>
        <w:pStyle w:val="NormalWeb"/>
        <w:spacing w:before="0" w:beforeAutospacing="0" w:after="0" w:afterAutospacing="0"/>
        <w:jc w:val="both"/>
        <w:rPr>
          <w:rFonts w:ascii="Arial Narrow" w:hAnsi="Arial Narrow" w:cs="Arial"/>
          <w:b/>
          <w:sz w:val="22"/>
          <w:szCs w:val="22"/>
        </w:rPr>
      </w:pPr>
    </w:p>
    <w:p w14:paraId="27C87621" w14:textId="77777777" w:rsidR="00946CAD" w:rsidRPr="00C46703" w:rsidRDefault="00946CAD" w:rsidP="00946CAD">
      <w:pPr>
        <w:pStyle w:val="NormalWeb"/>
        <w:spacing w:before="0" w:beforeAutospacing="0" w:after="0" w:afterAutospacing="0"/>
        <w:jc w:val="both"/>
        <w:rPr>
          <w:rFonts w:ascii="Arial Narrow" w:hAnsi="Arial Narrow" w:cs="Arial"/>
          <w:sz w:val="22"/>
          <w:szCs w:val="22"/>
        </w:rPr>
      </w:pPr>
    </w:p>
    <w:p w14:paraId="5068881C" w14:textId="77777777" w:rsidR="00946CAD" w:rsidRPr="00C46703" w:rsidRDefault="00946CAD" w:rsidP="00946CAD">
      <w:pPr>
        <w:pStyle w:val="NormalWeb"/>
        <w:spacing w:before="0" w:beforeAutospacing="0" w:after="0" w:afterAutospacing="0"/>
        <w:jc w:val="both"/>
        <w:rPr>
          <w:rFonts w:ascii="Arial Narrow" w:hAnsi="Arial Narrow" w:cs="Arial"/>
          <w:sz w:val="22"/>
          <w:szCs w:val="22"/>
        </w:rPr>
      </w:pPr>
    </w:p>
    <w:p w14:paraId="553A75E2" w14:textId="77777777" w:rsidR="00946CAD" w:rsidRPr="00C46703" w:rsidRDefault="00946CAD" w:rsidP="00946CAD">
      <w:pPr>
        <w:pStyle w:val="NormalWeb"/>
        <w:spacing w:before="0" w:beforeAutospacing="0" w:after="0" w:afterAutospacing="0"/>
        <w:jc w:val="both"/>
        <w:rPr>
          <w:rFonts w:ascii="Arial Narrow" w:hAnsi="Arial Narrow" w:cs="Arial"/>
          <w:sz w:val="22"/>
          <w:szCs w:val="22"/>
        </w:rPr>
      </w:pPr>
    </w:p>
    <w:sectPr w:rsidR="00946CAD" w:rsidRPr="00C46703" w:rsidSect="00C203D1">
      <w:headerReference w:type="default" r:id="rId7"/>
      <w:footerReference w:type="default" r:id="rId8"/>
      <w:pgSz w:w="12240" w:h="15840"/>
      <w:pgMar w:top="1417" w:right="1041" w:bottom="1135" w:left="851"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59362" w14:textId="77777777" w:rsidR="00B71BE9" w:rsidRDefault="00B71BE9" w:rsidP="001C31D5">
      <w:r>
        <w:separator/>
      </w:r>
    </w:p>
  </w:endnote>
  <w:endnote w:type="continuationSeparator" w:id="0">
    <w:p w14:paraId="32CC81E8" w14:textId="77777777" w:rsidR="00B71BE9" w:rsidRDefault="00B71BE9"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1221484594"/>
      <w:docPartObj>
        <w:docPartGallery w:val="Page Numbers (Bottom of Page)"/>
        <w:docPartUnique/>
      </w:docPartObj>
    </w:sdtPr>
    <w:sdtEndPr/>
    <w:sdtContent>
      <w:sdt>
        <w:sdtPr>
          <w:rPr>
            <w:rFonts w:ascii="Arial Narrow" w:hAnsi="Arial Narrow"/>
            <w:sz w:val="16"/>
            <w:szCs w:val="16"/>
          </w:rPr>
          <w:id w:val="-1201937970"/>
          <w:docPartObj>
            <w:docPartGallery w:val="Page Numbers (Top of Page)"/>
            <w:docPartUnique/>
          </w:docPartObj>
        </w:sdtPr>
        <w:sdtEndPr/>
        <w:sdtContent>
          <w:p w14:paraId="56FA8715" w14:textId="77777777" w:rsidR="00CB061F" w:rsidRDefault="00CB061F" w:rsidP="00CB061F">
            <w:pPr>
              <w:pStyle w:val="Piedepgina"/>
              <w:rPr>
                <w:rFonts w:ascii="Arial Narrow" w:hAnsi="Arial Narrow"/>
                <w:sz w:val="16"/>
                <w:szCs w:val="16"/>
              </w:rPr>
            </w:pPr>
          </w:p>
          <w:p w14:paraId="641D06DF" w14:textId="5C7DA40C" w:rsidR="00CB061F" w:rsidRDefault="00CB061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9C6135">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9C6135">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489D7579" w14:textId="6BD2299E" w:rsidR="00CB061F" w:rsidRPr="00374DDE" w:rsidRDefault="00C203D1" w:rsidP="00CB061F">
            <w:pPr>
              <w:pStyle w:val="Piedepgina"/>
              <w:rPr>
                <w:rFonts w:ascii="Arial Narrow" w:hAnsi="Arial Narrow"/>
                <w:sz w:val="16"/>
                <w:szCs w:val="16"/>
              </w:rPr>
            </w:pPr>
            <w:r>
              <w:rPr>
                <w:rFonts w:ascii="Arial Narrow" w:hAnsi="Arial Narrow"/>
                <w:noProof/>
                <w:sz w:val="16"/>
                <w:szCs w:val="16"/>
              </w:rPr>
              <w:drawing>
                <wp:inline distT="0" distB="0" distL="0" distR="0" wp14:anchorId="78937FB7" wp14:editId="4D979048">
                  <wp:extent cx="930303" cy="309399"/>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sidR="00CB061F">
              <w:rPr>
                <w:rFonts w:ascii="Arial Narrow" w:hAnsi="Arial Narrow"/>
                <w:bCs/>
                <w:sz w:val="16"/>
                <w:szCs w:val="16"/>
              </w:rPr>
              <w:tab/>
            </w:r>
            <w:r w:rsidR="00CB061F">
              <w:rPr>
                <w:rFonts w:ascii="Arial Narrow" w:hAnsi="Arial Narrow"/>
                <w:bCs/>
                <w:sz w:val="16"/>
                <w:szCs w:val="16"/>
              </w:rPr>
              <w:tab/>
              <w:t>V 1.0</w:t>
            </w:r>
          </w:p>
        </w:sdtContent>
      </w:sdt>
    </w:sdtContent>
  </w:sdt>
  <w:p w14:paraId="5BB08257" w14:textId="4215A7CA"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B0E13" w14:textId="77777777" w:rsidR="00B71BE9" w:rsidRDefault="00B71BE9" w:rsidP="001C31D5">
      <w:r>
        <w:separator/>
      </w:r>
    </w:p>
  </w:footnote>
  <w:footnote w:type="continuationSeparator" w:id="0">
    <w:p w14:paraId="3A690DC4" w14:textId="77777777" w:rsidR="00B71BE9" w:rsidRDefault="00B71BE9"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1302"/>
    </w:tblGrid>
    <w:tr w:rsidR="001F260D" w:rsidRPr="00384075" w14:paraId="6B7AA85F" w14:textId="77777777" w:rsidTr="00CC5B2F">
      <w:trPr>
        <w:trHeight w:val="565"/>
        <w:jc w:val="center"/>
      </w:trPr>
      <w:tc>
        <w:tcPr>
          <w:tcW w:w="9889" w:type="dxa"/>
          <w:vAlign w:val="center"/>
        </w:tcPr>
        <w:p w14:paraId="2B609067"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282E9D" w14:paraId="28876A4C" w14:textId="77777777" w:rsidTr="00374F93">
            <w:trPr>
              <w:trHeight w:val="1275"/>
            </w:trPr>
            <w:tc>
              <w:tcPr>
                <w:tcW w:w="2183" w:type="dxa"/>
                <w:vAlign w:val="center"/>
              </w:tcPr>
              <w:p w14:paraId="329081BB" w14:textId="77777777" w:rsidR="00282E9D" w:rsidRDefault="009C6135" w:rsidP="00282E9D">
                <w:pPr>
                  <w:pStyle w:val="Encabezado"/>
                  <w:jc w:val="center"/>
                </w:pPr>
                <w:r>
                  <w:rPr>
                    <w:noProof/>
                    <w:lang w:val="es-CO" w:eastAsia="es-CO"/>
                  </w:rPr>
                  <w:drawing>
                    <wp:anchor distT="0" distB="0" distL="114300" distR="114300" simplePos="0" relativeHeight="251658240" behindDoc="0" locked="0" layoutInCell="1" allowOverlap="1" wp14:anchorId="396DC5E8" wp14:editId="434E2801">
                      <wp:simplePos x="0" y="0"/>
                      <wp:positionH relativeFrom="column">
                        <wp:posOffset>29210</wp:posOffset>
                      </wp:positionH>
                      <wp:positionV relativeFrom="paragraph">
                        <wp:posOffset>-469900</wp:posOffset>
                      </wp:positionV>
                      <wp:extent cx="2251075" cy="5778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6CCDB341"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2A62BA07" w14:textId="77777777" w:rsidR="00282E9D" w:rsidRDefault="00282E9D" w:rsidP="00282E9D">
                <w:pPr>
                  <w:pStyle w:val="Encabezado"/>
                  <w:jc w:val="center"/>
                </w:pPr>
                <w:r w:rsidRPr="004161E7">
                  <w:rPr>
                    <w:noProof/>
                    <w:lang w:val="es-CO" w:eastAsia="es-CO"/>
                  </w:rPr>
                  <w:drawing>
                    <wp:inline distT="0" distB="0" distL="0" distR="0" wp14:anchorId="6DEEAE05" wp14:editId="7896D7AB">
                      <wp:extent cx="791570" cy="768114"/>
                      <wp:effectExtent l="0" t="0" r="8890" b="0"/>
                      <wp:docPr id="3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05B196" w14:textId="77777777" w:rsidR="001F260D" w:rsidRPr="00384075" w:rsidRDefault="001F260D" w:rsidP="009320D2">
          <w:pPr>
            <w:pStyle w:val="Estilo2"/>
            <w:numPr>
              <w:ilvl w:val="0"/>
              <w:numId w:val="0"/>
            </w:numPr>
            <w:ind w:left="360"/>
            <w:jc w:val="right"/>
            <w:rPr>
              <w:rFonts w:ascii="Arial" w:hAnsi="Arial" w:cs="Arial"/>
            </w:rPr>
          </w:pPr>
        </w:p>
      </w:tc>
    </w:tr>
  </w:tbl>
  <w:p w14:paraId="5B9A3F78"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673BD"/>
    <w:rsid w:val="001735FB"/>
    <w:rsid w:val="00175AB9"/>
    <w:rsid w:val="001901F2"/>
    <w:rsid w:val="00194B79"/>
    <w:rsid w:val="001A20FC"/>
    <w:rsid w:val="001B18A5"/>
    <w:rsid w:val="001C31D5"/>
    <w:rsid w:val="001D14B5"/>
    <w:rsid w:val="001D63D4"/>
    <w:rsid w:val="001D6A5B"/>
    <w:rsid w:val="001D7E05"/>
    <w:rsid w:val="001E42C9"/>
    <w:rsid w:val="001E4960"/>
    <w:rsid w:val="001E65DF"/>
    <w:rsid w:val="001F1161"/>
    <w:rsid w:val="001F260D"/>
    <w:rsid w:val="001F62F8"/>
    <w:rsid w:val="001F6AE2"/>
    <w:rsid w:val="00204A22"/>
    <w:rsid w:val="002050FD"/>
    <w:rsid w:val="00205B64"/>
    <w:rsid w:val="00210D18"/>
    <w:rsid w:val="0021268B"/>
    <w:rsid w:val="002137A2"/>
    <w:rsid w:val="00214BE5"/>
    <w:rsid w:val="0021700F"/>
    <w:rsid w:val="002213F4"/>
    <w:rsid w:val="00233523"/>
    <w:rsid w:val="0023508E"/>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14538"/>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B7188"/>
    <w:rsid w:val="004C3D7B"/>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35E6F"/>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65135"/>
    <w:rsid w:val="00774725"/>
    <w:rsid w:val="00780350"/>
    <w:rsid w:val="007828D9"/>
    <w:rsid w:val="007833BA"/>
    <w:rsid w:val="007844D4"/>
    <w:rsid w:val="00794273"/>
    <w:rsid w:val="00797F92"/>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84903"/>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6CAD"/>
    <w:rsid w:val="0095351A"/>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B7F6F"/>
    <w:rsid w:val="009C0D0B"/>
    <w:rsid w:val="009C121F"/>
    <w:rsid w:val="009C6135"/>
    <w:rsid w:val="009D1616"/>
    <w:rsid w:val="009D7CC2"/>
    <w:rsid w:val="009E4F5E"/>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C3641"/>
    <w:rsid w:val="00AD4282"/>
    <w:rsid w:val="00AE0B9D"/>
    <w:rsid w:val="00AE3C74"/>
    <w:rsid w:val="00AE69E0"/>
    <w:rsid w:val="00AF0356"/>
    <w:rsid w:val="00AF254C"/>
    <w:rsid w:val="00AF3EB6"/>
    <w:rsid w:val="00B01E85"/>
    <w:rsid w:val="00B04D6A"/>
    <w:rsid w:val="00B11AC7"/>
    <w:rsid w:val="00B11DBD"/>
    <w:rsid w:val="00B16DC4"/>
    <w:rsid w:val="00B1763D"/>
    <w:rsid w:val="00B17B94"/>
    <w:rsid w:val="00B24F3F"/>
    <w:rsid w:val="00B26B5A"/>
    <w:rsid w:val="00B2721C"/>
    <w:rsid w:val="00B2776D"/>
    <w:rsid w:val="00B34B70"/>
    <w:rsid w:val="00B443C1"/>
    <w:rsid w:val="00B51CD1"/>
    <w:rsid w:val="00B5450E"/>
    <w:rsid w:val="00B545E6"/>
    <w:rsid w:val="00B55046"/>
    <w:rsid w:val="00B70E32"/>
    <w:rsid w:val="00B71BE9"/>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3D1"/>
    <w:rsid w:val="00C20B2F"/>
    <w:rsid w:val="00C20EDC"/>
    <w:rsid w:val="00C223DF"/>
    <w:rsid w:val="00C24080"/>
    <w:rsid w:val="00C318B9"/>
    <w:rsid w:val="00C334F8"/>
    <w:rsid w:val="00C4025B"/>
    <w:rsid w:val="00C450E3"/>
    <w:rsid w:val="00C4670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C5B2F"/>
    <w:rsid w:val="00CD2E3D"/>
    <w:rsid w:val="00CD663A"/>
    <w:rsid w:val="00CD738F"/>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32DE"/>
    <w:rsid w:val="00EA3D50"/>
    <w:rsid w:val="00EA6778"/>
    <w:rsid w:val="00EB2796"/>
    <w:rsid w:val="00EB526F"/>
    <w:rsid w:val="00EB6858"/>
    <w:rsid w:val="00EC15FA"/>
    <w:rsid w:val="00EC21C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71CF8"/>
    <w:rsid w:val="00F81894"/>
    <w:rsid w:val="00F82506"/>
    <w:rsid w:val="00F870A8"/>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2C66"/>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806</Words>
  <Characters>4434</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Juliana Ramirez Echeverry</cp:lastModifiedBy>
  <cp:revision>25</cp:revision>
  <cp:lastPrinted>2015-12-03T17:27:00Z</cp:lastPrinted>
  <dcterms:created xsi:type="dcterms:W3CDTF">2017-05-09T16:42:00Z</dcterms:created>
  <dcterms:modified xsi:type="dcterms:W3CDTF">2020-03-10T22:23:00Z</dcterms:modified>
</cp:coreProperties>
</file>